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8551E">
      <w:pPr>
        <w:rPr>
          <w:rFonts w:hint="eastAsia" w:ascii="Times New Roman" w:hAnsi="Times New Roman" w:eastAsia="黑体" w:cs="Times New Roman"/>
          <w:sz w:val="32"/>
          <w:szCs w:val="32"/>
          <w:highlight w:val="none"/>
        </w:rPr>
      </w:pPr>
      <w:r>
        <w:rPr>
          <w:rFonts w:hint="eastAsia" w:ascii="Times New Roman" w:hAnsi="Times New Roman" w:cs="Times New Roman"/>
          <w:szCs w:val="22"/>
          <w:highlight w:val="none"/>
        </w:rPr>
        <w:drawing>
          <wp:anchor distT="0" distB="0" distL="114300" distR="114300" simplePos="0" relativeHeight="251665408" behindDoc="0" locked="0" layoutInCell="1" allowOverlap="1">
            <wp:simplePos x="0" y="0"/>
            <wp:positionH relativeFrom="page">
              <wp:posOffset>4733925</wp:posOffset>
            </wp:positionH>
            <wp:positionV relativeFrom="page">
              <wp:posOffset>869315</wp:posOffset>
            </wp:positionV>
            <wp:extent cx="1720215" cy="800100"/>
            <wp:effectExtent l="0" t="0" r="13335" b="0"/>
            <wp:wrapNone/>
            <wp:docPr id="2"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说明: GD"/>
                    <pic:cNvPicPr>
                      <a:picLocks noChangeAspect="1"/>
                    </pic:cNvPicPr>
                  </pic:nvPicPr>
                  <pic:blipFill>
                    <a:blip r:embed="rId10"/>
                    <a:stretch>
                      <a:fillRect/>
                    </a:stretch>
                  </pic:blipFill>
                  <pic:spPr>
                    <a:xfrm>
                      <a:off x="0" y="0"/>
                      <a:ext cx="1720215" cy="800100"/>
                    </a:xfrm>
                    <a:prstGeom prst="rect">
                      <a:avLst/>
                    </a:prstGeom>
                    <a:noFill/>
                    <a:ln>
                      <a:noFill/>
                    </a:ln>
                  </pic:spPr>
                </pic:pic>
              </a:graphicData>
            </a:graphic>
          </wp:anchor>
        </w:drawing>
      </w:r>
      <w:r>
        <w:rPr>
          <w:rFonts w:hint="eastAsia" w:ascii="Times New Roman" w:hAnsi="Times New Roman" w:eastAsia="黑体" w:cs="Times New Roman"/>
          <w:sz w:val="32"/>
          <w:szCs w:val="32"/>
          <w:highlight w:val="none"/>
        </w:rPr>
        <w:t xml:space="preserve">  </w:t>
      </w:r>
    </w:p>
    <w:p w14:paraId="70421581">
      <w:pPr>
        <w:rPr>
          <w:rFonts w:ascii="Times New Roman" w:hAnsi="Times New Roman" w:eastAsia="MS Gothic" w:cs="Times New Roman"/>
          <w:b/>
          <w:sz w:val="84"/>
          <w:szCs w:val="84"/>
          <w:highlight w:val="none"/>
        </w:rPr>
      </w:pP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pacing w:val="28"/>
          <w:sz w:val="48"/>
          <w:szCs w:val="48"/>
          <w:highlight w:val="none"/>
        </w:rPr>
        <w:t>广东省标准</w:t>
      </w:r>
      <w:r>
        <w:rPr>
          <w:rFonts w:ascii="Times New Roman" w:hAnsi="Times New Roman" w:eastAsia="黑体" w:cs="Times New Roman"/>
          <w:sz w:val="32"/>
          <w:szCs w:val="32"/>
          <w:highlight w:val="none"/>
        </w:rPr>
        <w:t xml:space="preserve">            </w:t>
      </w:r>
      <w:r>
        <w:rPr>
          <w:rFonts w:hint="eastAsia" w:ascii="Times New Roman" w:hAnsi="Times New Roman" w:cs="Times New Roman"/>
          <w:sz w:val="52"/>
          <w:szCs w:val="22"/>
          <w:highlight w:val="none"/>
        </w:rPr>
        <w:t xml:space="preserve">   </w:t>
      </w:r>
    </w:p>
    <w:p w14:paraId="020AE065">
      <w:pPr>
        <w:rPr>
          <w:rFonts w:ascii="Times New Roman" w:hAnsi="Times New Roman" w:cs="Times New Roman"/>
          <w:szCs w:val="22"/>
          <w:highlight w:val="none"/>
        </w:rPr>
      </w:pPr>
    </w:p>
    <w:p w14:paraId="23FD46A0">
      <w:pPr>
        <w:spacing w:line="400" w:lineRule="exact"/>
        <w:jc w:val="right"/>
        <w:rPr>
          <w:rFonts w:hint="eastAsia" w:ascii="Times New Roman" w:hAnsi="Times New Roman" w:cs="Times New Roman"/>
          <w:spacing w:val="17"/>
          <w:sz w:val="30"/>
          <w:szCs w:val="30"/>
          <w:highlight w:val="none"/>
        </w:rPr>
      </w:pPr>
      <w:bookmarkStart w:id="0" w:name="_Toc337542810"/>
      <w:r>
        <w:rPr>
          <w:rFonts w:ascii="Times New Roman" w:hAnsi="Times New Roman" w:cs="Times New Roman"/>
          <w:spacing w:val="23"/>
          <w:sz w:val="30"/>
          <w:szCs w:val="30"/>
          <w:highlight w:val="none"/>
        </w:rPr>
        <w:t>DBJ</w:t>
      </w:r>
      <w:r>
        <w:rPr>
          <w:rFonts w:hint="eastAsia" w:cs="Times New Roman"/>
          <w:spacing w:val="23"/>
          <w:sz w:val="30"/>
          <w:szCs w:val="30"/>
          <w:highlight w:val="none"/>
          <w:lang w:val="en-US" w:eastAsia="zh-CN"/>
        </w:rPr>
        <w:t xml:space="preserve"> </w:t>
      </w:r>
      <w:r>
        <w:rPr>
          <w:rFonts w:hint="eastAsia" w:ascii="Times New Roman" w:hAnsi="Times New Roman" w:cs="Times New Roman"/>
          <w:spacing w:val="23"/>
          <w:sz w:val="30"/>
          <w:szCs w:val="30"/>
          <w:highlight w:val="none"/>
        </w:rPr>
        <w:t>/</w:t>
      </w:r>
      <w:r>
        <w:rPr>
          <w:rFonts w:ascii="Times New Roman" w:hAnsi="Times New Roman" w:cs="Times New Roman"/>
          <w:spacing w:val="23"/>
          <w:sz w:val="30"/>
          <w:szCs w:val="30"/>
          <w:highlight w:val="none"/>
        </w:rPr>
        <w:t>T</w:t>
      </w:r>
      <w:r>
        <w:rPr>
          <w:rFonts w:hint="eastAsia" w:ascii="Times New Roman" w:hAnsi="Times New Roman" w:cs="Times New Roman"/>
          <w:spacing w:val="23"/>
          <w:sz w:val="30"/>
          <w:szCs w:val="30"/>
          <w:highlight w:val="none"/>
        </w:rPr>
        <w:t xml:space="preserve"> </w:t>
      </w:r>
      <w:r>
        <w:rPr>
          <w:rFonts w:hint="eastAsia" w:ascii="Times New Roman" w:hAnsi="Times New Roman" w:cs="Times New Roman"/>
          <w:spacing w:val="23"/>
          <w:sz w:val="30"/>
          <w:szCs w:val="30"/>
          <w:highlight w:val="none"/>
          <w:lang w:val="en-US" w:eastAsia="zh-CN"/>
        </w:rPr>
        <w:t>21</w:t>
      </w:r>
      <w:r>
        <w:rPr>
          <w:rFonts w:ascii="Times New Roman" w:hAnsi="Times New Roman" w:cs="Times New Roman"/>
          <w:spacing w:val="23"/>
          <w:sz w:val="30"/>
          <w:szCs w:val="30"/>
          <w:highlight w:val="none"/>
        </w:rPr>
        <w:t>-</w:t>
      </w:r>
      <w:r>
        <w:rPr>
          <w:rFonts w:hint="eastAsia" w:ascii="Times New Roman" w:hAnsi="Times New Roman" w:cs="Times New Roman"/>
          <w:spacing w:val="23"/>
          <w:sz w:val="30"/>
          <w:szCs w:val="30"/>
          <w:highlight w:val="none"/>
        </w:rPr>
        <w:t>XX</w:t>
      </w:r>
      <w:r>
        <w:rPr>
          <w:rFonts w:ascii="Times New Roman" w:hAnsi="Times New Roman" w:cs="Times New Roman"/>
          <w:spacing w:val="23"/>
          <w:sz w:val="30"/>
          <w:szCs w:val="30"/>
          <w:highlight w:val="none"/>
        </w:rPr>
        <w:t>-</w:t>
      </w:r>
      <w:bookmarkEnd w:id="0"/>
      <w:r>
        <w:rPr>
          <w:rFonts w:ascii="Times New Roman" w:hAnsi="Times New Roman" w:cs="Times New Roman"/>
          <w:sz w:val="30"/>
          <w:szCs w:val="30"/>
          <w:highlight w:val="none"/>
        </w:rPr>
        <w:t>20</w:t>
      </w:r>
      <w:r>
        <w:rPr>
          <w:rFonts w:hint="eastAsia" w:ascii="Times New Roman" w:hAnsi="Times New Roman" w:cs="Times New Roman"/>
          <w:sz w:val="30"/>
          <w:szCs w:val="30"/>
          <w:highlight w:val="none"/>
          <w:lang w:val="en-US" w:eastAsia="zh-CN"/>
        </w:rPr>
        <w:t>2</w:t>
      </w:r>
      <w:r>
        <w:rPr>
          <w:rFonts w:ascii="Times New Roman" w:hAnsi="Times New Roman" w:cs="Times New Roman"/>
          <w:sz w:val="30"/>
          <w:szCs w:val="30"/>
          <w:highlight w:val="none"/>
        </w:rPr>
        <w:t>X</w:t>
      </w:r>
    </w:p>
    <w:p w14:paraId="6FABEA5C">
      <w:pPr>
        <w:spacing w:line="400" w:lineRule="exact"/>
        <w:jc w:val="right"/>
        <w:rPr>
          <w:rFonts w:hint="eastAsia" w:ascii="Times New Roman" w:hAnsi="Times New Roman" w:cs="Times New Roman"/>
          <w:sz w:val="28"/>
          <w:szCs w:val="28"/>
          <w:highlight w:val="none"/>
        </w:rPr>
      </w:pPr>
      <w:r>
        <w:rPr>
          <w:rFonts w:hint="eastAsia" w:ascii="Times New Roman" w:hAnsi="Times New Roman" w:eastAsia="黑体" w:cs="Times New Roman"/>
          <w:sz w:val="28"/>
          <w:szCs w:val="28"/>
          <w:highlight w:val="none"/>
        </w:rPr>
        <w:t>备案号 J XXXXX-20</w:t>
      </w:r>
      <w:r>
        <w:rPr>
          <w:rFonts w:hint="eastAsia" w:ascii="Times New Roman" w:hAnsi="Times New Roman" w:eastAsia="黑体" w:cs="Times New Roman"/>
          <w:sz w:val="28"/>
          <w:szCs w:val="28"/>
          <w:highlight w:val="none"/>
          <w:lang w:val="en-US" w:eastAsia="zh-CN"/>
        </w:rPr>
        <w:t>2</w:t>
      </w:r>
      <w:r>
        <w:rPr>
          <w:rFonts w:ascii="Times New Roman" w:hAnsi="Times New Roman" w:eastAsia="黑体" w:cs="Times New Roman"/>
          <w:sz w:val="28"/>
          <w:szCs w:val="28"/>
          <w:highlight w:val="none"/>
        </w:rPr>
        <w:t>X</w:t>
      </w:r>
    </w:p>
    <w:p w14:paraId="6A50B7CB">
      <w:pPr>
        <w:jc w:val="center"/>
        <w:rPr>
          <w:rFonts w:ascii="Times New Roman" w:hAnsi="Times New Roman" w:cs="Times New Roman"/>
          <w:b/>
          <w:sz w:val="48"/>
          <w:szCs w:val="48"/>
          <w:highlight w:val="none"/>
        </w:rPr>
      </w:pPr>
      <w:r>
        <w:rPr>
          <w:rFonts w:ascii="Times New Roman" w:hAnsi="Times New Roman" w:eastAsia="黑体" w:cs="Times New Roman"/>
          <w:spacing w:val="20"/>
          <w:sz w:val="24"/>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149860</wp:posOffset>
                </wp:positionV>
                <wp:extent cx="54864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8pt;height:0pt;width:432pt;z-index:251663360;mso-width-relative:page;mso-height-relative:page;" filled="f" stroked="t" coordsize="21600,21600" o:gfxdata="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4pYd1QAAAAYBAAAPAAAAAAAAAAEAIAAAACIAAABkcnMvZG93bnJldi54bWxQSwEC&#10;FAAUAAAACACHTuJASuKh//cBAADlAwAADgAAAAAAAAABACAAAAAkAQAAZHJzL2Uyb0RvYy54bWxQ&#10;SwUGAAAAAAYABgBZAQAAjQUAAAAA&#10;">
                <v:fill on="f" focussize="0,0"/>
                <v:stroke weight="1.25pt" color="#000000" joinstyle="round"/>
                <v:imagedata o:title=""/>
                <o:lock v:ext="edit" aspectratio="f"/>
              </v:line>
            </w:pict>
          </mc:Fallback>
        </mc:AlternateContent>
      </w:r>
    </w:p>
    <w:p w14:paraId="696C3BB8">
      <w:pPr>
        <w:autoSpaceDE w:val="0"/>
        <w:autoSpaceDN w:val="0"/>
        <w:adjustRightInd w:val="0"/>
        <w:jc w:val="center"/>
        <w:rPr>
          <w:rFonts w:hint="eastAsia" w:ascii="Times New Roman" w:hAnsi="Times New Roman" w:eastAsia="黑体" w:cs="Times New Roman"/>
          <w:kern w:val="0"/>
          <w:sz w:val="44"/>
          <w:szCs w:val="44"/>
          <w:highlight w:val="none"/>
        </w:rPr>
      </w:pPr>
    </w:p>
    <w:p w14:paraId="6A481807">
      <w:pPr>
        <w:autoSpaceDE w:val="0"/>
        <w:autoSpaceDN w:val="0"/>
        <w:adjustRightInd w:val="0"/>
        <w:jc w:val="center"/>
        <w:rPr>
          <w:rFonts w:hint="eastAsia" w:ascii="Times New Roman" w:hAnsi="Times New Roman" w:eastAsia="黑体" w:cs="Times New Roman"/>
          <w:kern w:val="0"/>
          <w:sz w:val="44"/>
          <w:szCs w:val="44"/>
          <w:highlight w:val="none"/>
        </w:rPr>
      </w:pPr>
    </w:p>
    <w:p w14:paraId="5570D5C3">
      <w:pPr>
        <w:autoSpaceDE w:val="0"/>
        <w:autoSpaceDN w:val="0"/>
        <w:adjustRightInd w:val="0"/>
        <w:jc w:val="center"/>
        <w:rPr>
          <w:rFonts w:hint="eastAsia" w:ascii="Times New Roman" w:hAnsi="Times New Roman" w:cs="Times New Roman"/>
          <w:b/>
          <w:spacing w:val="-20"/>
          <w:sz w:val="48"/>
          <w:szCs w:val="48"/>
          <w:highlight w:val="none"/>
          <w:lang w:val="en-US" w:eastAsia="zh-CN"/>
        </w:rPr>
      </w:pPr>
      <w:r>
        <w:rPr>
          <w:rFonts w:hint="eastAsia" w:ascii="Times New Roman" w:hAnsi="Times New Roman" w:cs="Times New Roman"/>
          <w:b/>
          <w:spacing w:val="-20"/>
          <w:sz w:val="48"/>
          <w:szCs w:val="48"/>
          <w:highlight w:val="none"/>
        </w:rPr>
        <w:t>建筑边坡工程监测技术</w:t>
      </w:r>
      <w:r>
        <w:rPr>
          <w:rFonts w:hint="eastAsia" w:cs="Times New Roman"/>
          <w:b/>
          <w:spacing w:val="-20"/>
          <w:sz w:val="48"/>
          <w:szCs w:val="48"/>
          <w:highlight w:val="none"/>
          <w:lang w:val="en-US" w:eastAsia="zh-CN"/>
        </w:rPr>
        <w:t>标准</w:t>
      </w:r>
    </w:p>
    <w:p w14:paraId="14056887">
      <w:pPr>
        <w:autoSpaceDE w:val="0"/>
        <w:autoSpaceDN w:val="0"/>
        <w:adjustRightInd w:val="0"/>
        <w:jc w:val="center"/>
        <w:rPr>
          <w:rFonts w:hint="eastAsia" w:ascii="Times New Roman" w:hAnsi="Times New Roman" w:cs="Times New Roman"/>
          <w:b/>
          <w:spacing w:val="-20"/>
          <w:sz w:val="32"/>
          <w:szCs w:val="32"/>
          <w:highlight w:val="none"/>
          <w:lang w:val="en-US" w:eastAsia="zh-CN"/>
        </w:rPr>
      </w:pPr>
      <w:r>
        <w:rPr>
          <w:rFonts w:hint="eastAsia" w:ascii="Times New Roman" w:hAnsi="Times New Roman" w:cs="Times New Roman"/>
          <w:b/>
          <w:spacing w:val="-20"/>
          <w:sz w:val="32"/>
          <w:szCs w:val="32"/>
          <w:highlight w:val="none"/>
          <w:lang w:val="en-US" w:eastAsia="zh-CN"/>
        </w:rPr>
        <w:t>（征求意见稿）</w:t>
      </w:r>
    </w:p>
    <w:p w14:paraId="122DFBA5">
      <w:pPr>
        <w:autoSpaceDE w:val="0"/>
        <w:autoSpaceDN w:val="0"/>
        <w:adjustRightInd w:val="0"/>
        <w:jc w:val="center"/>
        <w:rPr>
          <w:rFonts w:hint="default" w:ascii="Times New Roman" w:hAnsi="Times New Roman" w:cs="Times New Roman"/>
          <w:b/>
          <w:spacing w:val="-20"/>
          <w:sz w:val="32"/>
          <w:szCs w:val="32"/>
          <w:highlight w:val="none"/>
          <w:lang w:val="en-US" w:eastAsia="zh-CN"/>
        </w:rPr>
      </w:pPr>
    </w:p>
    <w:p w14:paraId="7E1016D6">
      <w:pPr>
        <w:jc w:val="center"/>
        <w:rPr>
          <w:rFonts w:hint="eastAsia" w:ascii="Times New Roman" w:hAnsi="Times New Roman" w:cs="Times New Roman"/>
          <w:b/>
          <w:sz w:val="30"/>
          <w:szCs w:val="30"/>
          <w:highlight w:val="none"/>
        </w:rPr>
      </w:pPr>
      <w:r>
        <w:rPr>
          <w:rFonts w:hint="eastAsia" w:ascii="Times New Roman" w:hAnsi="Times New Roman" w:eastAsia="黑体" w:cs="Times New Roman"/>
          <w:kern w:val="0"/>
          <w:sz w:val="32"/>
          <w:highlight w:val="none"/>
        </w:rPr>
        <w:t>Technical standard for monitoring of building slope engineering</w:t>
      </w:r>
    </w:p>
    <w:p w14:paraId="025B83A9">
      <w:pPr>
        <w:autoSpaceDE w:val="0"/>
        <w:autoSpaceDN w:val="0"/>
        <w:adjustRightInd w:val="0"/>
        <w:jc w:val="center"/>
        <w:rPr>
          <w:rFonts w:hint="eastAsia" w:ascii="Times New Roman" w:hAnsi="Times New Roman" w:cs="Times New Roman"/>
          <w:kern w:val="0"/>
          <w:sz w:val="32"/>
          <w:szCs w:val="32"/>
          <w:highlight w:val="none"/>
        </w:rPr>
      </w:pPr>
    </w:p>
    <w:p w14:paraId="3A699CA5">
      <w:pPr>
        <w:autoSpaceDE w:val="0"/>
        <w:autoSpaceDN w:val="0"/>
        <w:adjustRightInd w:val="0"/>
        <w:jc w:val="center"/>
        <w:rPr>
          <w:rFonts w:hint="eastAsia" w:ascii="Times New Roman" w:hAnsi="Times New Roman" w:cs="Times New Roman"/>
          <w:kern w:val="0"/>
          <w:sz w:val="32"/>
          <w:szCs w:val="32"/>
          <w:highlight w:val="none"/>
        </w:rPr>
      </w:pPr>
    </w:p>
    <w:p w14:paraId="4C3ACFB3">
      <w:pPr>
        <w:autoSpaceDE w:val="0"/>
        <w:autoSpaceDN w:val="0"/>
        <w:adjustRightInd w:val="0"/>
        <w:jc w:val="center"/>
        <w:rPr>
          <w:rFonts w:hint="eastAsia" w:ascii="Times New Roman" w:hAnsi="Times New Roman" w:cs="Times New Roman"/>
          <w:kern w:val="0"/>
          <w:sz w:val="32"/>
          <w:szCs w:val="32"/>
          <w:highlight w:val="none"/>
        </w:rPr>
      </w:pPr>
    </w:p>
    <w:p w14:paraId="32992BB6">
      <w:pPr>
        <w:autoSpaceDE w:val="0"/>
        <w:autoSpaceDN w:val="0"/>
        <w:adjustRightInd w:val="0"/>
        <w:jc w:val="center"/>
        <w:rPr>
          <w:rFonts w:hint="eastAsia" w:ascii="Times New Roman" w:hAnsi="Times New Roman" w:cs="Times New Roman"/>
          <w:kern w:val="0"/>
          <w:sz w:val="32"/>
          <w:szCs w:val="32"/>
          <w:highlight w:val="none"/>
        </w:rPr>
      </w:pPr>
    </w:p>
    <w:p w14:paraId="53F3CACC">
      <w:pPr>
        <w:autoSpaceDE w:val="0"/>
        <w:autoSpaceDN w:val="0"/>
        <w:adjustRightInd w:val="0"/>
        <w:jc w:val="left"/>
        <w:rPr>
          <w:rFonts w:hint="eastAsia" w:ascii="Times New Roman" w:hAnsi="Times New Roman" w:eastAsia="黑体" w:cs="Times New Roman"/>
          <w:kern w:val="0"/>
          <w:sz w:val="28"/>
          <w:szCs w:val="28"/>
          <w:highlight w:val="none"/>
        </w:rPr>
      </w:pPr>
      <w:r>
        <w:rPr>
          <w:rFonts w:hint="eastAsia" w:ascii="Times New Roman" w:hAnsi="Times New Roman" w:eastAsia="黑体" w:cs="Times New Roman"/>
          <w:kern w:val="0"/>
          <w:sz w:val="28"/>
          <w:szCs w:val="28"/>
          <w:highlight w:val="none"/>
        </w:rPr>
        <w:t>20XX-XX-XX发布                              20XX-XX-XX实施</w:t>
      </w:r>
    </w:p>
    <w:p w14:paraId="54EBC245">
      <w:pPr>
        <w:autoSpaceDE w:val="0"/>
        <w:autoSpaceDN w:val="0"/>
        <w:adjustRightInd w:val="0"/>
        <w:jc w:val="center"/>
        <w:rPr>
          <w:rFonts w:hint="eastAsia" w:ascii="Times New Roman" w:hAnsi="Times New Roman" w:cs="Times New Roman"/>
          <w:kern w:val="0"/>
          <w:sz w:val="32"/>
          <w:szCs w:val="32"/>
          <w:highlight w:val="none"/>
        </w:rPr>
      </w:pPr>
      <w:r>
        <w:rPr>
          <w:rFonts w:ascii="Times New Roman" w:hAnsi="Times New Roman" w:cs="Times New Roman"/>
          <w:sz w:val="32"/>
          <w:szCs w:val="20"/>
          <w:highlight w:val="none"/>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73660</wp:posOffset>
                </wp:positionV>
                <wp:extent cx="534352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435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5pt;margin-top:5.8pt;height:0.05pt;width:420.75pt;z-index:251662336;mso-width-relative:page;mso-height-relative:page;" filled="f" stroked="t" coordsize="21600,21600" o:gfxdata="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NNEA1gAAAAgBAAAPAAAAAAAAAAEAIAAAACIAAABkcnMvZG93bnJldi54bWxQSwECFAAU&#10;AAAACACHTuJAUoKI9PMBAADmAwAADgAAAAAAAAABACAAAAAlAQAAZHJzL2Uyb0RvYy54bWxQSwUG&#10;AAAAAAYABgBZAQAAigUAAAAA&#10;">
                <v:fill on="f" focussize="0,0"/>
                <v:stroke color="#000000" joinstyle="round"/>
                <v:imagedata o:title=""/>
                <o:lock v:ext="edit" aspectratio="f"/>
              </v:line>
            </w:pict>
          </mc:Fallback>
        </mc:AlternateContent>
      </w:r>
    </w:p>
    <w:p w14:paraId="56459322">
      <w:pPr>
        <w:autoSpaceDE w:val="0"/>
        <w:autoSpaceDN w:val="0"/>
        <w:adjustRightInd w:val="0"/>
        <w:spacing w:line="360" w:lineRule="auto"/>
        <w:jc w:val="center"/>
        <w:rPr>
          <w:rFonts w:hint="eastAsia" w:ascii="Times New Roman" w:hAnsi="Times New Roman" w:eastAsia="黑体" w:cs="Times New Roman"/>
          <w:kern w:val="0"/>
          <w:sz w:val="32"/>
          <w:szCs w:val="32"/>
          <w:highlight w:val="none"/>
        </w:rPr>
      </w:pPr>
      <w:r>
        <w:rPr>
          <w:rFonts w:hint="eastAsia" w:ascii="Times New Roman" w:hAnsi="Times New Roman" w:eastAsia="黑体" w:cs="Times New Roman"/>
          <w:kern w:val="0"/>
          <w:sz w:val="32"/>
          <w:szCs w:val="32"/>
          <w:highlight w:val="none"/>
        </w:rPr>
        <w:t>广东省住房和城乡建设厅    发布</w:t>
      </w:r>
    </w:p>
    <w:p w14:paraId="51928108">
      <w:pPr>
        <w:jc w:val="right"/>
        <w:rPr>
          <w:rFonts w:hint="eastAsia" w:ascii="Times New Roman" w:hAnsi="Times New Roman" w:eastAsia="黑体" w:cs="Times New Roman"/>
          <w:kern w:val="0"/>
          <w:sz w:val="32"/>
          <w:szCs w:val="32"/>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s="Times New Roman"/>
          <w:highlight w:val="none"/>
          <w:lang w:eastAsia="zh-CN"/>
        </w:rPr>
        <w:t>本</w:t>
      </w:r>
      <w:r>
        <w:rPr>
          <w:rFonts w:hint="eastAsia" w:cs="Times New Roman"/>
          <w:highlight w:val="none"/>
          <w:lang w:eastAsia="zh-CN"/>
        </w:rPr>
        <w:t>标准</w:t>
      </w:r>
      <w:r>
        <w:rPr>
          <w:rFonts w:hint="eastAsia" w:ascii="Times New Roman" w:hAnsi="Times New Roman" w:cs="Times New Roman"/>
          <w:highlight w:val="none"/>
        </w:rPr>
        <w:t>不涉及专利</w:t>
      </w:r>
    </w:p>
    <w:tbl>
      <w:tblPr>
        <w:tblStyle w:val="1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tblGrid>
      <w:tr w14:paraId="6D0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695" w:type="dxa"/>
            <w:noWrap w:val="0"/>
            <w:vAlign w:val="top"/>
          </w:tcPr>
          <w:p w14:paraId="7575C486">
            <w:pPr>
              <w:pStyle w:val="23"/>
              <w:rPr>
                <w:b w:val="0"/>
                <w:bCs/>
                <w:spacing w:val="20"/>
                <w:sz w:val="18"/>
                <w:szCs w:val="18"/>
              </w:rPr>
            </w:pPr>
            <w:r>
              <w:rPr>
                <w:b w:val="0"/>
                <w:bCs/>
                <w:sz w:val="18"/>
                <w:szCs w:val="18"/>
              </w:rPr>
              <w:t>本标准不涉及专利</w:t>
            </w:r>
          </w:p>
        </w:tc>
      </w:tr>
    </w:tbl>
    <w:p w14:paraId="58D1436C">
      <w:pPr>
        <w:widowControl/>
        <w:ind w:firstLine="0" w:firstLineChars="0"/>
        <w:jc w:val="left"/>
      </w:pPr>
    </w:p>
    <w:p w14:paraId="4FE49F6E">
      <w:pPr>
        <w:widowControl/>
        <w:spacing w:line="240" w:lineRule="auto"/>
        <w:ind w:firstLine="0" w:firstLineChars="0"/>
        <w:jc w:val="left"/>
        <w:rPr>
          <w:szCs w:val="24"/>
        </w:rPr>
      </w:pPr>
      <w:r>
        <w:rPr>
          <w:szCs w:val="24"/>
        </w:rPr>
        <w:t>广东省标准</w:t>
      </w:r>
    </w:p>
    <w:p w14:paraId="68563815">
      <w:pPr>
        <w:pStyle w:val="24"/>
      </w:pPr>
    </w:p>
    <w:p w14:paraId="5D6E2AEF">
      <w:pPr>
        <w:pStyle w:val="24"/>
      </w:pPr>
    </w:p>
    <w:p w14:paraId="088966B5">
      <w:pPr>
        <w:pStyle w:val="23"/>
        <w:ind w:left="-161" w:leftChars="-67"/>
        <w:rPr>
          <w:rFonts w:hint="eastAsia"/>
        </w:rPr>
      </w:pPr>
      <w:r>
        <w:rPr>
          <w:rFonts w:hint="eastAsia"/>
        </w:rPr>
        <w:t>建筑边坡工程监测技术标准</w:t>
      </w:r>
    </w:p>
    <w:p w14:paraId="5D79B6F3">
      <w:pPr>
        <w:pStyle w:val="23"/>
        <w:ind w:left="-161" w:leftChars="-67"/>
        <w:rPr>
          <w:rFonts w:eastAsia="黑体"/>
          <w:b w:val="0"/>
          <w:bCs/>
          <w:sz w:val="24"/>
          <w:szCs w:val="24"/>
        </w:rPr>
      </w:pPr>
      <w:r>
        <w:rPr>
          <w:rFonts w:hint="eastAsia" w:eastAsia="黑体"/>
          <w:b w:val="0"/>
          <w:bCs/>
          <w:sz w:val="24"/>
          <w:szCs w:val="24"/>
        </w:rPr>
        <w:t>Technical standard for monitoring of building slope engineering</w:t>
      </w:r>
    </w:p>
    <w:p w14:paraId="5752AC76">
      <w:pPr>
        <w:pStyle w:val="23"/>
        <w:ind w:left="-161" w:leftChars="-67"/>
        <w:rPr>
          <w:rFonts w:hint="eastAsia" w:eastAsia="黑体"/>
          <w:b w:val="0"/>
          <w:bCs/>
          <w:sz w:val="24"/>
          <w:szCs w:val="24"/>
          <w:lang w:eastAsia="zh-CN"/>
        </w:rPr>
      </w:pPr>
      <w:r>
        <w:rPr>
          <w:rFonts w:eastAsia="黑体"/>
          <w:b w:val="0"/>
          <w:bCs/>
          <w:sz w:val="24"/>
          <w:szCs w:val="24"/>
        </w:rPr>
        <w:t>DBJ 20-XX-202</w:t>
      </w:r>
      <w:r>
        <w:rPr>
          <w:rFonts w:hint="eastAsia" w:eastAsia="黑体"/>
          <w:b w:val="0"/>
          <w:bCs/>
          <w:sz w:val="24"/>
          <w:szCs w:val="24"/>
          <w:lang w:val="en-US" w:eastAsia="zh-CN"/>
        </w:rPr>
        <w:t>4</w:t>
      </w:r>
    </w:p>
    <w:p w14:paraId="5F431F36">
      <w:pPr>
        <w:pStyle w:val="24"/>
        <w:rPr>
          <w:sz w:val="24"/>
          <w:szCs w:val="24"/>
        </w:rPr>
      </w:pPr>
    </w:p>
    <w:p w14:paraId="1E9D16A3">
      <w:pPr>
        <w:pStyle w:val="24"/>
        <w:rPr>
          <w:sz w:val="24"/>
          <w:szCs w:val="24"/>
        </w:rPr>
      </w:pPr>
    </w:p>
    <w:p w14:paraId="603132D9">
      <w:pPr>
        <w:pStyle w:val="24"/>
        <w:rPr>
          <w:sz w:val="24"/>
          <w:szCs w:val="24"/>
        </w:rPr>
      </w:pPr>
    </w:p>
    <w:p w14:paraId="04056784">
      <w:pPr>
        <w:pStyle w:val="24"/>
        <w:rPr>
          <w:sz w:val="24"/>
          <w:szCs w:val="24"/>
        </w:rPr>
      </w:pPr>
    </w:p>
    <w:p w14:paraId="1270C548">
      <w:pPr>
        <w:pStyle w:val="24"/>
        <w:rPr>
          <w:sz w:val="24"/>
          <w:szCs w:val="24"/>
        </w:rPr>
      </w:pPr>
    </w:p>
    <w:p w14:paraId="1B77E8C4">
      <w:pPr>
        <w:pStyle w:val="24"/>
        <w:ind w:firstLine="2400" w:firstLineChars="1000"/>
        <w:jc w:val="both"/>
        <w:rPr>
          <w:rFonts w:hint="eastAsia"/>
          <w:sz w:val="24"/>
          <w:szCs w:val="24"/>
        </w:rPr>
      </w:pPr>
      <w:r>
        <w:rPr>
          <w:rFonts w:hint="eastAsia"/>
          <w:sz w:val="24"/>
          <w:szCs w:val="24"/>
        </w:rPr>
        <w:t>住房和城乡建设部备案号：</w:t>
      </w:r>
    </w:p>
    <w:p w14:paraId="23719718">
      <w:pPr>
        <w:pStyle w:val="24"/>
        <w:keepNext w:val="0"/>
        <w:keepLines w:val="0"/>
        <w:pageBreakBefore w:val="0"/>
        <w:widowControl w:val="0"/>
        <w:kinsoku/>
        <w:wordWrap/>
        <w:overflowPunct/>
        <w:topLinePunct w:val="0"/>
        <w:autoSpaceDE/>
        <w:autoSpaceDN/>
        <w:bidi w:val="0"/>
        <w:adjustRightInd/>
        <w:snapToGrid/>
        <w:ind w:firstLine="2400" w:firstLineChars="1000"/>
        <w:jc w:val="both"/>
        <w:textAlignment w:val="auto"/>
        <w:rPr>
          <w:sz w:val="24"/>
          <w:szCs w:val="24"/>
        </w:rPr>
      </w:pPr>
      <w:r>
        <w:rPr>
          <w:sz w:val="24"/>
          <w:szCs w:val="24"/>
        </w:rPr>
        <w:t>批准部门：广东省住房和城乡建设厅</w:t>
      </w:r>
    </w:p>
    <w:p w14:paraId="518A29F6">
      <w:pPr>
        <w:pStyle w:val="24"/>
        <w:ind w:firstLine="2400" w:firstLineChars="1000"/>
        <w:jc w:val="both"/>
        <w:rPr>
          <w:sz w:val="24"/>
          <w:szCs w:val="24"/>
        </w:rPr>
      </w:pPr>
      <w:r>
        <w:rPr>
          <w:sz w:val="24"/>
          <w:szCs w:val="24"/>
        </w:rPr>
        <w:t>施行日期：202</w:t>
      </w:r>
      <w:r>
        <w:rPr>
          <w:rFonts w:hint="eastAsia"/>
          <w:sz w:val="24"/>
          <w:szCs w:val="24"/>
          <w:lang w:val="en-US" w:eastAsia="zh-CN"/>
        </w:rPr>
        <w:t>4</w:t>
      </w:r>
      <w:r>
        <w:rPr>
          <w:sz w:val="24"/>
          <w:szCs w:val="24"/>
        </w:rPr>
        <w:t>年xx月 xx日</w:t>
      </w:r>
    </w:p>
    <w:p w14:paraId="73F055FD">
      <w:pPr>
        <w:pStyle w:val="24"/>
      </w:pPr>
    </w:p>
    <w:p w14:paraId="1E12323B">
      <w:pPr>
        <w:spacing w:line="460" w:lineRule="exact"/>
        <w:ind w:firstLine="0" w:firstLineChars="0"/>
        <w:jc w:val="center"/>
        <w:rPr>
          <w:rFonts w:hint="eastAsia" w:ascii="黑体" w:hAnsi="新宋体" w:eastAsia="黑体" w:cs="Times New Roman"/>
          <w:sz w:val="32"/>
          <w:szCs w:val="32"/>
        </w:rPr>
      </w:pPr>
      <w:r>
        <w:br w:type="page"/>
      </w:r>
      <w:r>
        <w:rPr>
          <w:rFonts w:hint="eastAsia" w:ascii="黑体" w:hAnsi="新宋体" w:eastAsia="黑体" w:cs="Times New Roman"/>
          <w:sz w:val="32"/>
          <w:szCs w:val="32"/>
        </w:rPr>
        <w:t>广东省住房和城乡建设厅关于发布广东省标准</w:t>
      </w:r>
    </w:p>
    <w:p w14:paraId="5A8BA22C">
      <w:pPr>
        <w:spacing w:line="460" w:lineRule="exact"/>
        <w:ind w:firstLine="0" w:firstLineChars="0"/>
        <w:jc w:val="center"/>
        <w:rPr>
          <w:rFonts w:hint="eastAsia" w:ascii="黑体" w:hAnsi="新宋体" w:eastAsia="黑体" w:cs="Times New Roman"/>
          <w:sz w:val="32"/>
          <w:szCs w:val="32"/>
        </w:rPr>
      </w:pPr>
      <w:bookmarkStart w:id="1" w:name="_Hlk38892718"/>
      <w:r>
        <w:rPr>
          <w:rFonts w:hint="eastAsia" w:ascii="黑体" w:hAnsi="新宋体" w:eastAsia="黑体" w:cs="Times New Roman"/>
          <w:sz w:val="32"/>
          <w:szCs w:val="32"/>
        </w:rPr>
        <w:t>《建筑边坡工程监测技术标准》</w:t>
      </w:r>
      <w:bookmarkEnd w:id="1"/>
      <w:r>
        <w:rPr>
          <w:rFonts w:hint="eastAsia" w:ascii="黑体" w:hAnsi="新宋体" w:eastAsia="黑体" w:cs="Times New Roman"/>
          <w:sz w:val="32"/>
          <w:szCs w:val="32"/>
        </w:rPr>
        <w:t>的公告</w:t>
      </w:r>
    </w:p>
    <w:p w14:paraId="059767EF">
      <w:pPr>
        <w:spacing w:before="312" w:beforeLines="100" w:line="460" w:lineRule="exact"/>
        <w:jc w:val="center"/>
        <w:rPr>
          <w:rFonts w:ascii="宋体" w:hAnsi="宋体"/>
          <w:sz w:val="24"/>
        </w:rPr>
      </w:pPr>
      <w:r>
        <w:rPr>
          <w:rFonts w:hint="eastAsia" w:ascii="宋体" w:hAnsi="宋体"/>
          <w:sz w:val="24"/>
        </w:rPr>
        <w:t>粤建公告〔20</w:t>
      </w:r>
      <w:r>
        <w:rPr>
          <w:rFonts w:hint="eastAsia" w:ascii="宋体" w:hAnsi="宋体"/>
          <w:sz w:val="24"/>
          <w:lang w:val="en-US" w:eastAsia="zh-CN"/>
        </w:rPr>
        <w:t>xx</w:t>
      </w:r>
      <w:r>
        <w:rPr>
          <w:rFonts w:hint="eastAsia" w:ascii="宋体" w:hAnsi="宋体"/>
          <w:sz w:val="24"/>
        </w:rPr>
        <w:t>〕</w:t>
      </w:r>
      <w:r>
        <w:rPr>
          <w:rFonts w:hint="eastAsia" w:ascii="宋体" w:hAnsi="宋体"/>
          <w:sz w:val="24"/>
          <w:lang w:val="en-US" w:eastAsia="zh-CN"/>
        </w:rPr>
        <w:t>xx</w:t>
      </w:r>
      <w:r>
        <w:rPr>
          <w:rFonts w:hint="eastAsia" w:ascii="宋体" w:hAnsi="宋体"/>
          <w:sz w:val="24"/>
        </w:rPr>
        <w:t>号</w:t>
      </w:r>
    </w:p>
    <w:p w14:paraId="76D7F202">
      <w:pPr>
        <w:spacing w:line="460" w:lineRule="exact"/>
        <w:jc w:val="center"/>
        <w:rPr>
          <w:rFonts w:ascii="黑体" w:hAnsi="新宋体" w:eastAsia="黑体"/>
          <w:sz w:val="28"/>
          <w:szCs w:val="28"/>
        </w:rPr>
      </w:pPr>
    </w:p>
    <w:p w14:paraId="143B4223">
      <w:pPr>
        <w:spacing w:line="460" w:lineRule="exact"/>
        <w:ind w:firstLine="480" w:firstLineChars="200"/>
        <w:rPr>
          <w:rFonts w:ascii="宋体" w:hAnsi="宋体"/>
          <w:sz w:val="24"/>
          <w:szCs w:val="24"/>
        </w:rPr>
      </w:pPr>
      <w:r>
        <w:rPr>
          <w:rFonts w:hint="eastAsia" w:ascii="宋体" w:hAnsi="宋体"/>
          <w:sz w:val="24"/>
          <w:szCs w:val="24"/>
        </w:rPr>
        <w:t>经组织专家委员会审查，现</w:t>
      </w:r>
      <w:r>
        <w:rPr>
          <w:rFonts w:hint="eastAsia" w:ascii="宋体" w:hAnsi="宋体" w:eastAsia="宋体" w:cs="Times New Roman"/>
          <w:sz w:val="24"/>
          <w:szCs w:val="24"/>
        </w:rPr>
        <w:t>批准《</w:t>
      </w:r>
      <w:r>
        <w:rPr>
          <w:rFonts w:hint="eastAsia" w:ascii="宋体" w:hAnsi="宋体" w:eastAsia="宋体" w:cs="Times New Roman"/>
        </w:rPr>
        <w:t>建筑边坡工程监测技术标准</w:t>
      </w:r>
      <w:r>
        <w:rPr>
          <w:rFonts w:hint="eastAsia" w:ascii="宋体" w:hAnsi="宋体" w:eastAsia="宋体" w:cs="Times New Roman"/>
          <w:sz w:val="24"/>
          <w:szCs w:val="24"/>
        </w:rPr>
        <w:t>》为广东省工程建设地</w:t>
      </w:r>
      <w:r>
        <w:rPr>
          <w:rFonts w:hint="eastAsia" w:ascii="宋体" w:hAnsi="宋体"/>
          <w:sz w:val="24"/>
          <w:szCs w:val="24"/>
        </w:rPr>
        <w:t>方标准，编号为</w:t>
      </w:r>
      <w:r>
        <w:rPr>
          <w:rFonts w:ascii="宋体" w:hAnsi="宋体"/>
          <w:sz w:val="24"/>
          <w:szCs w:val="24"/>
        </w:rPr>
        <w:t xml:space="preserve">DBJ/T </w:t>
      </w:r>
      <w:r>
        <w:rPr>
          <w:rFonts w:hint="eastAsia" w:ascii="宋体" w:hAnsi="宋体"/>
          <w:sz w:val="24"/>
          <w:szCs w:val="24"/>
          <w:lang w:val="en-US" w:eastAsia="zh-CN"/>
        </w:rPr>
        <w:t>xx</w:t>
      </w:r>
      <w:r>
        <w:rPr>
          <w:rFonts w:ascii="宋体" w:hAnsi="宋体"/>
          <w:sz w:val="24"/>
          <w:szCs w:val="24"/>
        </w:rPr>
        <w:t>-</w:t>
      </w:r>
      <w:r>
        <w:rPr>
          <w:rFonts w:hint="eastAsia" w:ascii="宋体" w:hAnsi="宋体"/>
          <w:sz w:val="24"/>
          <w:szCs w:val="24"/>
          <w:lang w:val="en-US" w:eastAsia="zh-CN"/>
        </w:rPr>
        <w:t>xx</w:t>
      </w:r>
      <w:r>
        <w:rPr>
          <w:rFonts w:ascii="宋体" w:hAnsi="宋体"/>
          <w:sz w:val="24"/>
          <w:szCs w:val="24"/>
        </w:rPr>
        <w:t>-20</w:t>
      </w:r>
      <w:r>
        <w:rPr>
          <w:rFonts w:hint="eastAsia" w:ascii="宋体" w:hAnsi="宋体"/>
          <w:sz w:val="24"/>
          <w:szCs w:val="24"/>
          <w:lang w:val="en-US" w:eastAsia="zh-CN"/>
        </w:rPr>
        <w:t>xx</w:t>
      </w:r>
      <w:r>
        <w:rPr>
          <w:rFonts w:hint="eastAsia" w:ascii="宋体" w:hAnsi="宋体"/>
          <w:sz w:val="24"/>
          <w:szCs w:val="24"/>
        </w:rPr>
        <w:t>。本标准自</w:t>
      </w:r>
      <w:r>
        <w:rPr>
          <w:rFonts w:ascii="宋体" w:hAnsi="宋体"/>
          <w:sz w:val="24"/>
          <w:szCs w:val="24"/>
        </w:rPr>
        <w:t>20</w:t>
      </w:r>
      <w:r>
        <w:rPr>
          <w:rFonts w:hint="eastAsia" w:ascii="宋体" w:hAnsi="宋体"/>
          <w:sz w:val="24"/>
          <w:szCs w:val="24"/>
          <w:lang w:val="en-US" w:eastAsia="zh-CN"/>
        </w:rPr>
        <w:t>xx</w:t>
      </w:r>
      <w:r>
        <w:rPr>
          <w:rFonts w:hint="eastAsia" w:ascii="宋体" w:hAnsi="宋体"/>
          <w:sz w:val="24"/>
          <w:szCs w:val="24"/>
        </w:rPr>
        <w:t>年</w:t>
      </w:r>
      <w:r>
        <w:rPr>
          <w:rFonts w:hint="eastAsia" w:ascii="宋体" w:hAnsi="宋体"/>
          <w:sz w:val="24"/>
          <w:szCs w:val="24"/>
          <w:lang w:val="en-US" w:eastAsia="zh-CN"/>
        </w:rPr>
        <w:t>xx</w:t>
      </w:r>
      <w:r>
        <w:rPr>
          <w:rFonts w:hint="eastAsia" w:ascii="宋体" w:hAnsi="宋体"/>
          <w:sz w:val="24"/>
          <w:szCs w:val="24"/>
        </w:rPr>
        <w:t>月</w:t>
      </w:r>
      <w:r>
        <w:rPr>
          <w:rFonts w:hint="eastAsia" w:ascii="宋体" w:hAnsi="宋体"/>
          <w:sz w:val="24"/>
          <w:szCs w:val="24"/>
          <w:lang w:val="en-US" w:eastAsia="zh-CN"/>
        </w:rPr>
        <w:t>xx</w:t>
      </w:r>
      <w:r>
        <w:rPr>
          <w:rFonts w:hint="eastAsia" w:ascii="宋体" w:hAnsi="宋体"/>
          <w:sz w:val="24"/>
          <w:szCs w:val="24"/>
        </w:rPr>
        <w:t>日起实施。</w:t>
      </w:r>
    </w:p>
    <w:p w14:paraId="45D97CEC">
      <w:pPr>
        <w:spacing w:line="460" w:lineRule="exact"/>
        <w:ind w:firstLine="480" w:firstLineChars="200"/>
        <w:rPr>
          <w:rFonts w:ascii="宋体" w:hAnsi="宋体"/>
          <w:sz w:val="24"/>
          <w:szCs w:val="24"/>
        </w:rPr>
      </w:pPr>
      <w:r>
        <w:rPr>
          <w:rFonts w:hint="eastAsia" w:ascii="宋体" w:hAnsi="宋体"/>
          <w:sz w:val="24"/>
          <w:szCs w:val="24"/>
        </w:rPr>
        <w:t>本标准由广东省住房和城乡建设厅负责管理，由主编单位负责具体技术内容的解释，并于出版后在广东省住房和城乡建设厅门户网站(http://zfcxjst.gd.gov.cn)公开标准全文。</w:t>
      </w:r>
    </w:p>
    <w:p w14:paraId="2239B152">
      <w:pPr>
        <w:spacing w:line="460" w:lineRule="exact"/>
        <w:ind w:firstLine="480" w:firstLineChars="200"/>
        <w:rPr>
          <w:rFonts w:ascii="宋体" w:hAnsi="宋体"/>
          <w:szCs w:val="21"/>
        </w:rPr>
      </w:pPr>
    </w:p>
    <w:p w14:paraId="35F9A25B">
      <w:pPr>
        <w:spacing w:line="460" w:lineRule="exact"/>
        <w:ind w:firstLine="480" w:firstLineChars="200"/>
        <w:rPr>
          <w:rFonts w:ascii="宋体" w:hAnsi="宋体"/>
          <w:szCs w:val="21"/>
        </w:rPr>
      </w:pPr>
    </w:p>
    <w:p w14:paraId="4F914736">
      <w:pPr>
        <w:spacing w:line="460" w:lineRule="exact"/>
        <w:ind w:firstLine="480" w:firstLineChars="200"/>
        <w:jc w:val="right"/>
        <w:rPr>
          <w:rFonts w:ascii="宋体" w:hAnsi="宋体"/>
          <w:szCs w:val="21"/>
        </w:rPr>
      </w:pPr>
      <w:r>
        <w:rPr>
          <w:rFonts w:hint="eastAsia" w:ascii="宋体" w:hAnsi="宋体"/>
          <w:szCs w:val="21"/>
        </w:rPr>
        <w:t>广东省住房和城乡建设厅</w:t>
      </w:r>
    </w:p>
    <w:p w14:paraId="191FEC74">
      <w:pPr>
        <w:wordWrap w:val="0"/>
        <w:spacing w:line="460" w:lineRule="exact"/>
        <w:ind w:firstLine="480" w:firstLineChars="200"/>
        <w:jc w:val="right"/>
        <w:rPr>
          <w:rFonts w:ascii="宋体" w:hAnsi="宋体"/>
          <w:szCs w:val="21"/>
        </w:rPr>
      </w:pPr>
      <w:r>
        <w:rPr>
          <w:rFonts w:hint="eastAsia" w:ascii="宋体" w:hAnsi="宋体"/>
          <w:szCs w:val="21"/>
        </w:rPr>
        <w:t>20</w:t>
      </w:r>
      <w:r>
        <w:rPr>
          <w:rFonts w:hint="eastAsia" w:ascii="宋体" w:hAnsi="宋体"/>
          <w:szCs w:val="21"/>
          <w:lang w:val="en-US" w:eastAsia="zh-CN"/>
        </w:rPr>
        <w:t>xx</w:t>
      </w:r>
      <w:r>
        <w:rPr>
          <w:rFonts w:hint="eastAsia" w:ascii="宋体" w:hAnsi="宋体"/>
          <w:szCs w:val="21"/>
        </w:rPr>
        <w:t>年</w:t>
      </w:r>
      <w:r>
        <w:rPr>
          <w:rFonts w:hint="eastAsia" w:ascii="宋体" w:hAnsi="宋体"/>
          <w:szCs w:val="21"/>
          <w:lang w:val="en-US" w:eastAsia="zh-CN"/>
        </w:rPr>
        <w:t>xx</w:t>
      </w:r>
      <w:r>
        <w:rPr>
          <w:rFonts w:hint="eastAsia" w:ascii="宋体" w:hAnsi="宋体"/>
          <w:szCs w:val="21"/>
        </w:rPr>
        <w:t>月</w:t>
      </w:r>
      <w:r>
        <w:rPr>
          <w:rFonts w:hint="eastAsia" w:ascii="宋体" w:hAnsi="宋体"/>
          <w:szCs w:val="21"/>
          <w:lang w:val="en-US" w:eastAsia="zh-CN"/>
        </w:rPr>
        <w:t>xx</w:t>
      </w:r>
      <w:r>
        <w:rPr>
          <w:rFonts w:hint="eastAsia" w:ascii="宋体" w:hAnsi="宋体"/>
          <w:szCs w:val="21"/>
        </w:rPr>
        <w:t>日</w:t>
      </w:r>
    </w:p>
    <w:p w14:paraId="05342EC1">
      <w:pPr>
        <w:pStyle w:val="25"/>
      </w:pPr>
    </w:p>
    <w:p w14:paraId="32773E01">
      <w:pPr>
        <w:autoSpaceDE w:val="0"/>
        <w:autoSpaceDN w:val="0"/>
        <w:adjustRightInd w:val="0"/>
        <w:spacing w:line="360" w:lineRule="auto"/>
        <w:jc w:val="center"/>
        <w:rPr>
          <w:rFonts w:hint="eastAsia" w:ascii="Times New Roman" w:hAnsi="Times New Roman" w:eastAsia="黑体" w:cs="Times New Roman"/>
          <w:kern w:val="0"/>
          <w:sz w:val="32"/>
          <w:szCs w:val="32"/>
          <w:highlight w:val="none"/>
        </w:rPr>
        <w:sectPr>
          <w:footerReference r:id="rId6" w:type="default"/>
          <w:pgSz w:w="11906" w:h="16838"/>
          <w:pgMar w:top="1440" w:right="1800" w:bottom="1440" w:left="1800" w:header="851" w:footer="992" w:gutter="0"/>
          <w:pgNumType w:fmt="decimal"/>
          <w:cols w:space="425" w:num="1"/>
          <w:docGrid w:type="lines" w:linePitch="312" w:charSpace="0"/>
        </w:sectPr>
      </w:pPr>
    </w:p>
    <w:p w14:paraId="194AF2F5">
      <w:pPr>
        <w:autoSpaceDE w:val="0"/>
        <w:autoSpaceDN w:val="0"/>
        <w:adjustRightInd w:val="0"/>
        <w:spacing w:line="360" w:lineRule="auto"/>
        <w:jc w:val="center"/>
        <w:rPr>
          <w:rFonts w:ascii="Times New Roman" w:hAnsi="Times New Roman" w:eastAsia="黑体" w:cs="Times New Roman"/>
          <w:kern w:val="0"/>
          <w:sz w:val="32"/>
          <w:szCs w:val="32"/>
          <w:highlight w:val="none"/>
        </w:rPr>
      </w:pPr>
      <w:r>
        <w:rPr>
          <w:rFonts w:hint="eastAsia" w:ascii="Times New Roman" w:hAnsi="Times New Roman" w:eastAsia="黑体" w:cs="Times New Roman"/>
          <w:kern w:val="0"/>
          <w:sz w:val="32"/>
          <w:szCs w:val="32"/>
          <w:highlight w:val="none"/>
        </w:rPr>
        <w:t>前言</w:t>
      </w:r>
    </w:p>
    <w:p w14:paraId="4F908764">
      <w:pPr>
        <w:autoSpaceDE w:val="0"/>
        <w:autoSpaceDN w:val="0"/>
        <w:adjustRightInd w:val="0"/>
        <w:spacing w:line="360" w:lineRule="auto"/>
        <w:ind w:firstLine="480" w:firstLineChars="2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根据《</w:t>
      </w:r>
      <w:r>
        <w:rPr>
          <w:rFonts w:hint="eastAsia" w:ascii="Times New Roman" w:hAnsi="Times New Roman" w:cs="Times New Roman"/>
          <w:color w:val="auto"/>
          <w:kern w:val="0"/>
          <w:sz w:val="24"/>
          <w:highlight w:val="none"/>
          <w:lang w:val="en-US" w:eastAsia="zh-CN"/>
        </w:rPr>
        <w:t>广东省市场监督管理局关于批准下达住房城乡建设类地方标准修订计划项目的通知</w:t>
      </w:r>
      <w:r>
        <w:rPr>
          <w:rFonts w:hint="eastAsia" w:ascii="Times New Roman" w:hAnsi="Times New Roman" w:cs="Times New Roman"/>
          <w:color w:val="auto"/>
          <w:kern w:val="0"/>
          <w:sz w:val="24"/>
          <w:highlight w:val="none"/>
        </w:rPr>
        <w:t>》</w:t>
      </w:r>
      <w:r>
        <w:rPr>
          <w:rFonts w:hint="eastAsia" w:ascii="Times New Roman" w:hAnsi="Times New Roman" w:cs="Times New Roman"/>
          <w:color w:val="auto"/>
          <w:kern w:val="0"/>
          <w:sz w:val="24"/>
          <w:highlight w:val="none"/>
          <w:lang w:eastAsia="zh-CN"/>
        </w:rPr>
        <w:t>（</w:t>
      </w:r>
      <w:r>
        <w:rPr>
          <w:rFonts w:hint="eastAsia" w:ascii="Times New Roman" w:hAnsi="Times New Roman" w:cs="Times New Roman"/>
          <w:color w:val="auto"/>
          <w:kern w:val="0"/>
          <w:sz w:val="24"/>
          <w:highlight w:val="none"/>
          <w:lang w:val="en-US" w:eastAsia="zh-CN"/>
        </w:rPr>
        <w:t>粤市监标准〔</w:t>
      </w:r>
      <w:r>
        <w:rPr>
          <w:rFonts w:hint="eastAsia" w:ascii="Times New Roman" w:hAnsi="Times New Roman" w:eastAsia="宋体" w:cs="Times New Roman"/>
          <w:color w:val="auto"/>
          <w:kern w:val="0"/>
          <w:sz w:val="24"/>
          <w:highlight w:val="none"/>
          <w:lang w:val="en-US" w:eastAsia="zh-CN"/>
        </w:rPr>
        <w:t>2022</w:t>
      </w:r>
      <w:r>
        <w:rPr>
          <w:rFonts w:hint="eastAsia" w:ascii="Times New Roman" w:hAnsi="Times New Roman" w:cs="Times New Roman"/>
          <w:color w:val="auto"/>
          <w:kern w:val="0"/>
          <w:sz w:val="24"/>
          <w:highlight w:val="none"/>
          <w:lang w:val="en-US" w:eastAsia="zh-CN"/>
        </w:rPr>
        <w:t>〕</w:t>
      </w:r>
      <w:r>
        <w:rPr>
          <w:rFonts w:hint="eastAsia" w:ascii="Times New Roman" w:hAnsi="Times New Roman" w:eastAsia="宋体" w:cs="Times New Roman"/>
          <w:color w:val="auto"/>
          <w:kern w:val="0"/>
          <w:sz w:val="24"/>
          <w:highlight w:val="none"/>
          <w:lang w:val="en-US" w:eastAsia="zh-CN"/>
        </w:rPr>
        <w:t>27号</w:t>
      </w:r>
      <w:r>
        <w:rPr>
          <w:rFonts w:hint="eastAsia" w:ascii="Times New Roman" w:hAnsi="Times New Roman" w:cs="Times New Roman"/>
          <w:color w:val="auto"/>
          <w:kern w:val="0"/>
          <w:sz w:val="24"/>
          <w:highlight w:val="none"/>
          <w:lang w:eastAsia="zh-CN"/>
        </w:rPr>
        <w:t>）</w:t>
      </w:r>
      <w:r>
        <w:rPr>
          <w:rFonts w:hint="eastAsia" w:ascii="Times New Roman" w:hAnsi="Times New Roman" w:cs="Times New Roman"/>
          <w:color w:val="auto"/>
          <w:kern w:val="0"/>
          <w:sz w:val="24"/>
          <w:highlight w:val="none"/>
          <w:lang w:val="en-US" w:eastAsia="zh-CN"/>
        </w:rPr>
        <w:t>的要求</w:t>
      </w:r>
      <w:r>
        <w:rPr>
          <w:rFonts w:hint="eastAsia" w:ascii="Times New Roman" w:hAnsi="Times New Roman" w:cs="Times New Roman"/>
          <w:color w:val="auto"/>
          <w:kern w:val="0"/>
          <w:sz w:val="24"/>
          <w:highlight w:val="none"/>
        </w:rPr>
        <w:t>，广东省建筑科学研究院集团股份有限公司会同参编单位开展了《</w:t>
      </w:r>
      <w:r>
        <w:rPr>
          <w:rFonts w:hint="eastAsia" w:ascii="Times New Roman" w:hAnsi="Times New Roman" w:cs="Times New Roman"/>
          <w:color w:val="auto"/>
          <w:kern w:val="0"/>
          <w:sz w:val="24"/>
          <w:highlight w:val="none"/>
          <w:lang w:eastAsia="zh-CN"/>
        </w:rPr>
        <w:t>建筑边坡工程监测技术</w:t>
      </w:r>
      <w:r>
        <w:rPr>
          <w:rFonts w:hint="eastAsia" w:cs="Times New Roman"/>
          <w:color w:val="auto"/>
          <w:kern w:val="0"/>
          <w:sz w:val="24"/>
          <w:highlight w:val="none"/>
          <w:lang w:eastAsia="zh-CN"/>
        </w:rPr>
        <w:t>标准</w:t>
      </w:r>
      <w:r>
        <w:rPr>
          <w:rFonts w:hint="eastAsia" w:ascii="Times New Roman" w:hAnsi="Times New Roman" w:cs="Times New Roman"/>
          <w:color w:val="auto"/>
          <w:kern w:val="0"/>
          <w:sz w:val="24"/>
          <w:highlight w:val="none"/>
        </w:rPr>
        <w:t>》的编制工作。</w:t>
      </w:r>
    </w:p>
    <w:p w14:paraId="48B94FD2">
      <w:pPr>
        <w:autoSpaceDE w:val="0"/>
        <w:autoSpaceDN w:val="0"/>
        <w:adjustRightInd w:val="0"/>
        <w:spacing w:line="360" w:lineRule="auto"/>
        <w:ind w:firstLine="480" w:firstLineChars="2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在编制过程中，编制组调查总结了近年来我省及省外相关单位的建筑边坡工程监测及其它领域的监测实施经验，借鉴了国内外相关科技成果，开展了多项专题研究并将专题研究报告成果引用到</w:t>
      </w:r>
      <w:r>
        <w:rPr>
          <w:rFonts w:hint="eastAsia" w:ascii="Times New Roman" w:hAnsi="Times New Roman" w:cs="Times New Roman"/>
          <w:color w:val="auto"/>
          <w:kern w:val="0"/>
          <w:sz w:val="24"/>
          <w:highlight w:val="none"/>
          <w:lang w:val="en-US" w:eastAsia="zh-CN"/>
        </w:rPr>
        <w:t>本</w:t>
      </w:r>
      <w:r>
        <w:rPr>
          <w:rFonts w:hint="eastAsia" w:cs="Times New Roman"/>
          <w:color w:val="auto"/>
          <w:kern w:val="0"/>
          <w:sz w:val="24"/>
          <w:highlight w:val="none"/>
          <w:lang w:val="en-US" w:eastAsia="zh-CN"/>
        </w:rPr>
        <w:t>标准</w:t>
      </w:r>
      <w:r>
        <w:rPr>
          <w:rFonts w:hint="eastAsia" w:ascii="Times New Roman" w:hAnsi="Times New Roman" w:cs="Times New Roman"/>
          <w:color w:val="auto"/>
          <w:kern w:val="0"/>
          <w:sz w:val="24"/>
          <w:highlight w:val="none"/>
        </w:rPr>
        <w:t>中。</w:t>
      </w:r>
      <w:r>
        <w:rPr>
          <w:rFonts w:hint="eastAsia" w:ascii="Times New Roman" w:hAnsi="Times New Roman" w:cs="Times New Roman"/>
          <w:color w:val="auto"/>
          <w:kern w:val="0"/>
          <w:sz w:val="24"/>
          <w:highlight w:val="none"/>
          <w:lang w:eastAsia="zh-CN"/>
        </w:rPr>
        <w:t>本</w:t>
      </w:r>
      <w:r>
        <w:rPr>
          <w:rFonts w:hint="eastAsia" w:cs="Times New Roman"/>
          <w:color w:val="auto"/>
          <w:kern w:val="0"/>
          <w:sz w:val="24"/>
          <w:highlight w:val="none"/>
          <w:lang w:eastAsia="zh-CN"/>
        </w:rPr>
        <w:t>标准</w:t>
      </w:r>
      <w:r>
        <w:rPr>
          <w:rFonts w:hint="eastAsia" w:ascii="Times New Roman" w:hAnsi="Times New Roman" w:cs="Times New Roman"/>
          <w:color w:val="auto"/>
          <w:kern w:val="0"/>
          <w:sz w:val="24"/>
          <w:highlight w:val="none"/>
        </w:rPr>
        <w:t>的初稿、征求意见稿通过各种方式在全省范围内广泛征求了意见并经多次编制工作会议讨论反复进行了修改。</w:t>
      </w:r>
    </w:p>
    <w:p w14:paraId="7C7A9020">
      <w:pPr>
        <w:autoSpaceDE w:val="0"/>
        <w:autoSpaceDN w:val="0"/>
        <w:adjustRightInd w:val="0"/>
        <w:spacing w:line="360" w:lineRule="auto"/>
        <w:ind w:firstLine="480" w:firstLineChars="200"/>
        <w:jc w:val="left"/>
        <w:rPr>
          <w:rFonts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本</w:t>
      </w:r>
      <w:r>
        <w:rPr>
          <w:rFonts w:hint="eastAsia" w:cs="Times New Roman"/>
          <w:color w:val="auto"/>
          <w:kern w:val="0"/>
          <w:sz w:val="24"/>
          <w:highlight w:val="none"/>
          <w:lang w:val="en-US" w:eastAsia="zh-CN"/>
        </w:rPr>
        <w:t>标准</w:t>
      </w:r>
      <w:r>
        <w:rPr>
          <w:rFonts w:hint="eastAsia" w:ascii="Times New Roman" w:hAnsi="Times New Roman" w:cs="Times New Roman"/>
          <w:color w:val="auto"/>
          <w:kern w:val="0"/>
          <w:sz w:val="24"/>
          <w:highlight w:val="none"/>
        </w:rPr>
        <w:t>共分</w:t>
      </w:r>
      <w:r>
        <w:rPr>
          <w:rFonts w:hint="eastAsia" w:ascii="Times New Roman" w:hAnsi="Times New Roman" w:cs="Times New Roman"/>
          <w:color w:val="auto"/>
          <w:kern w:val="0"/>
          <w:sz w:val="24"/>
          <w:highlight w:val="none"/>
          <w:lang w:val="en-US" w:eastAsia="zh-CN"/>
        </w:rPr>
        <w:t>9</w:t>
      </w:r>
      <w:r>
        <w:rPr>
          <w:rFonts w:hint="eastAsia" w:ascii="Times New Roman" w:hAnsi="Times New Roman" w:cs="Times New Roman"/>
          <w:color w:val="auto"/>
          <w:kern w:val="0"/>
          <w:sz w:val="24"/>
          <w:highlight w:val="none"/>
        </w:rPr>
        <w:t>章。含总则、术语、基本规定、监测项目、监测点布置、监测方法及精度要求、监测</w:t>
      </w:r>
      <w:r>
        <w:rPr>
          <w:rFonts w:hint="eastAsia" w:ascii="Times New Roman" w:hAnsi="Times New Roman" w:cs="Times New Roman"/>
          <w:color w:val="auto"/>
          <w:kern w:val="0"/>
          <w:sz w:val="24"/>
          <w:highlight w:val="none"/>
          <w:lang w:val="en-US" w:eastAsia="zh-CN"/>
        </w:rPr>
        <w:t>期限及频率</w:t>
      </w:r>
      <w:r>
        <w:rPr>
          <w:rFonts w:hint="eastAsia" w:ascii="Times New Roman" w:hAnsi="Times New Roman" w:cs="Times New Roman"/>
          <w:color w:val="auto"/>
          <w:kern w:val="0"/>
          <w:sz w:val="24"/>
          <w:highlight w:val="none"/>
        </w:rPr>
        <w:t>、监测预警值、</w:t>
      </w:r>
      <w:r>
        <w:rPr>
          <w:rFonts w:hint="eastAsia" w:ascii="Times New Roman" w:hAnsi="Times New Roman" w:cs="Times New Roman"/>
          <w:color w:val="auto"/>
          <w:kern w:val="0"/>
          <w:sz w:val="24"/>
          <w:highlight w:val="none"/>
          <w:lang w:val="en-US" w:eastAsia="zh-CN"/>
        </w:rPr>
        <w:t>数据处理及信息反馈</w:t>
      </w:r>
      <w:r>
        <w:rPr>
          <w:rFonts w:hint="eastAsia" w:ascii="Times New Roman" w:hAnsi="Times New Roman" w:cs="Times New Roman"/>
          <w:color w:val="auto"/>
          <w:kern w:val="0"/>
          <w:sz w:val="24"/>
          <w:highlight w:val="none"/>
        </w:rPr>
        <w:t>。</w:t>
      </w:r>
    </w:p>
    <w:p w14:paraId="6FC2B6A4">
      <w:pPr>
        <w:autoSpaceDE w:val="0"/>
        <w:autoSpaceDN w:val="0"/>
        <w:adjustRightInd w:val="0"/>
        <w:spacing w:line="360" w:lineRule="auto"/>
        <w:ind w:firstLine="480" w:firstLineChars="2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本</w:t>
      </w:r>
      <w:r>
        <w:rPr>
          <w:rFonts w:hint="eastAsia" w:cs="Times New Roman"/>
          <w:color w:val="auto"/>
          <w:kern w:val="0"/>
          <w:sz w:val="24"/>
          <w:highlight w:val="none"/>
          <w:lang w:val="en-US" w:eastAsia="zh-CN"/>
        </w:rPr>
        <w:t>标准</w:t>
      </w:r>
      <w:r>
        <w:rPr>
          <w:rFonts w:hint="eastAsia" w:ascii="Times New Roman" w:hAnsi="Times New Roman" w:cs="Times New Roman"/>
          <w:color w:val="auto"/>
          <w:kern w:val="0"/>
          <w:sz w:val="24"/>
          <w:highlight w:val="none"/>
        </w:rPr>
        <w:t>由广东省住房和城乡建设厅负责管理，由广东省建筑科学研究院集团股份有限公司负责具体技术内容解释，</w:t>
      </w:r>
      <w:r>
        <w:rPr>
          <w:rFonts w:hint="eastAsia" w:ascii="Times New Roman" w:hAnsi="Times New Roman" w:cs="Times New Roman"/>
          <w:color w:val="auto"/>
          <w:kern w:val="0"/>
          <w:sz w:val="24"/>
          <w:highlight w:val="none"/>
          <w:lang w:eastAsia="zh-CN"/>
        </w:rPr>
        <w:t>本</w:t>
      </w:r>
      <w:r>
        <w:rPr>
          <w:rFonts w:hint="eastAsia" w:cs="Times New Roman"/>
          <w:color w:val="auto"/>
          <w:kern w:val="0"/>
          <w:sz w:val="24"/>
          <w:highlight w:val="none"/>
          <w:lang w:eastAsia="zh-CN"/>
        </w:rPr>
        <w:t>标准</w:t>
      </w:r>
      <w:r>
        <w:rPr>
          <w:rFonts w:hint="eastAsia" w:ascii="Times New Roman" w:hAnsi="Times New Roman" w:cs="Times New Roman"/>
          <w:color w:val="auto"/>
          <w:kern w:val="0"/>
          <w:sz w:val="24"/>
          <w:highlight w:val="none"/>
        </w:rPr>
        <w:t>未涉及专利。</w:t>
      </w:r>
    </w:p>
    <w:p w14:paraId="1F1BCF90">
      <w:pPr>
        <w:autoSpaceDE w:val="0"/>
        <w:autoSpaceDN w:val="0"/>
        <w:adjustRightInd w:val="0"/>
        <w:spacing w:line="360" w:lineRule="auto"/>
        <w:ind w:firstLine="480" w:firstLineChars="2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为继续完善本</w:t>
      </w:r>
      <w:r>
        <w:rPr>
          <w:rFonts w:hint="eastAsia" w:cs="Times New Roman"/>
          <w:color w:val="auto"/>
          <w:kern w:val="0"/>
          <w:sz w:val="24"/>
          <w:highlight w:val="none"/>
          <w:lang w:val="en-US" w:eastAsia="zh-CN"/>
        </w:rPr>
        <w:t>标准</w:t>
      </w:r>
      <w:r>
        <w:rPr>
          <w:rFonts w:hint="eastAsia" w:ascii="Times New Roman" w:hAnsi="Times New Roman" w:cs="Times New Roman"/>
          <w:color w:val="auto"/>
          <w:kern w:val="0"/>
          <w:sz w:val="24"/>
          <w:highlight w:val="none"/>
        </w:rPr>
        <w:t>，在执行过程中，请各单位结合工程实践总结经验，将意见和建议寄送广东省建筑科学研究院集团股份有限公司《</w:t>
      </w:r>
      <w:r>
        <w:rPr>
          <w:rFonts w:hint="eastAsia" w:ascii="Times New Roman" w:hAnsi="Times New Roman" w:cs="Times New Roman"/>
          <w:color w:val="auto"/>
          <w:kern w:val="0"/>
          <w:sz w:val="24"/>
          <w:highlight w:val="none"/>
          <w:lang w:eastAsia="zh-CN"/>
        </w:rPr>
        <w:t>建筑边坡工程监测技术</w:t>
      </w:r>
      <w:r>
        <w:rPr>
          <w:rFonts w:hint="eastAsia" w:cs="Times New Roman"/>
          <w:color w:val="auto"/>
          <w:kern w:val="0"/>
          <w:sz w:val="24"/>
          <w:highlight w:val="none"/>
          <w:lang w:eastAsia="zh-CN"/>
        </w:rPr>
        <w:t>标准</w:t>
      </w:r>
      <w:r>
        <w:rPr>
          <w:rFonts w:hint="eastAsia" w:ascii="Times New Roman" w:hAnsi="Times New Roman" w:cs="Times New Roman"/>
          <w:color w:val="auto"/>
          <w:kern w:val="0"/>
          <w:sz w:val="24"/>
          <w:highlight w:val="none"/>
        </w:rPr>
        <w:t>》编制组（地址：广州市先烈东路121号，邮编：510500），以便今后修订参考。</w:t>
      </w:r>
    </w:p>
    <w:p w14:paraId="55D756D6">
      <w:pPr>
        <w:autoSpaceDE w:val="0"/>
        <w:autoSpaceDN w:val="0"/>
        <w:adjustRightInd w:val="0"/>
        <w:spacing w:line="360" w:lineRule="auto"/>
        <w:ind w:firstLine="480" w:firstLineChars="200"/>
        <w:jc w:val="left"/>
        <w:rPr>
          <w:rFonts w:ascii="Times New Roman" w:hAnsi="Times New Roman" w:cs="Times New Roman"/>
          <w:kern w:val="0"/>
          <w:sz w:val="24"/>
          <w:highlight w:val="none"/>
        </w:rPr>
      </w:pPr>
      <w:r>
        <w:rPr>
          <w:rFonts w:hint="eastAsia" w:ascii="Times New Roman" w:hAnsi="Times New Roman" w:cs="Times New Roman"/>
          <w:kern w:val="0"/>
          <w:sz w:val="24"/>
          <w:highlight w:val="none"/>
          <w:lang w:eastAsia="zh-CN"/>
        </w:rPr>
        <w:t>本</w:t>
      </w:r>
      <w:r>
        <w:rPr>
          <w:rFonts w:hint="eastAsia" w:cs="Times New Roman"/>
          <w:kern w:val="0"/>
          <w:sz w:val="24"/>
          <w:highlight w:val="none"/>
          <w:lang w:eastAsia="zh-CN"/>
        </w:rPr>
        <w:t>标准</w:t>
      </w:r>
      <w:r>
        <w:rPr>
          <w:rFonts w:hint="eastAsia" w:ascii="Times New Roman" w:hAnsi="Times New Roman" w:cs="Times New Roman"/>
          <w:kern w:val="0"/>
          <w:sz w:val="24"/>
          <w:highlight w:val="none"/>
        </w:rPr>
        <w:t>主编单位、参编单位、主要起草人和主要审查人：</w:t>
      </w:r>
    </w:p>
    <w:p w14:paraId="4D6D36C7">
      <w:pPr>
        <w:autoSpaceDE w:val="0"/>
        <w:autoSpaceDN w:val="0"/>
        <w:adjustRightInd w:val="0"/>
        <w:spacing w:line="360" w:lineRule="auto"/>
        <w:ind w:firstLine="480" w:firstLineChars="2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主编单位：广东省建筑科学研究院集团股份有限公司</w:t>
      </w:r>
    </w:p>
    <w:p w14:paraId="5EFD728A">
      <w:pPr>
        <w:autoSpaceDE w:val="0"/>
        <w:autoSpaceDN w:val="0"/>
        <w:adjustRightInd w:val="0"/>
        <w:spacing w:line="360" w:lineRule="auto"/>
        <w:ind w:firstLine="480" w:firstLineChars="200"/>
        <w:jc w:val="left"/>
        <w:rPr>
          <w:rFonts w:hint="default" w:ascii="Times New Roman" w:hAnsi="Times New Roman" w:cs="Times New Roman" w:eastAsiaTheme="minorEastAsia"/>
          <w:kern w:val="0"/>
          <w:sz w:val="24"/>
          <w:highlight w:val="none"/>
          <w:lang w:val="en-US" w:eastAsia="zh-CN"/>
        </w:rPr>
      </w:pPr>
      <w:r>
        <w:rPr>
          <w:rFonts w:hint="eastAsia" w:ascii="Times New Roman" w:hAnsi="Times New Roman" w:cs="Times New Roman"/>
          <w:kern w:val="0"/>
          <w:sz w:val="24"/>
          <w:highlight w:val="none"/>
          <w:lang w:val="en-US" w:eastAsia="zh-CN"/>
        </w:rPr>
        <w:t xml:space="preserve">          广东省建设工程质量安全检测总站有限公司</w:t>
      </w:r>
    </w:p>
    <w:p w14:paraId="08C7AF5A">
      <w:pPr>
        <w:autoSpaceDE w:val="0"/>
        <w:autoSpaceDN w:val="0"/>
        <w:adjustRightInd w:val="0"/>
        <w:spacing w:line="360" w:lineRule="auto"/>
        <w:ind w:firstLine="480" w:firstLineChars="2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参编单位：广东省建筑设计研究院有限公司</w:t>
      </w:r>
    </w:p>
    <w:p w14:paraId="4747CC5D">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广州市设计院集团有限公司</w:t>
      </w:r>
    </w:p>
    <w:p w14:paraId="3345A5FD">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中国铁路广州局集团有限公司</w:t>
      </w:r>
    </w:p>
    <w:p w14:paraId="31BFE2E1">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广州地铁集团有限公司</w:t>
      </w:r>
    </w:p>
    <w:p w14:paraId="42EC354C">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广州市城投发展控股有限公司</w:t>
      </w:r>
    </w:p>
    <w:p w14:paraId="049F4585">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广州广检建设工程检测中心有限公司</w:t>
      </w:r>
    </w:p>
    <w:p w14:paraId="7FF041F7">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广东工贸职业技术学院</w:t>
      </w:r>
    </w:p>
    <w:p w14:paraId="00CDC052">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广州市白云建设工程质量检测有限公司</w:t>
      </w:r>
    </w:p>
    <w:p w14:paraId="0D484D47">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佛山市三水区建筑工程质量检测站</w:t>
      </w:r>
    </w:p>
    <w:p w14:paraId="457F7C6B">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清远市建设工程质量检测站有限公司</w:t>
      </w:r>
    </w:p>
    <w:p w14:paraId="3DE4896D">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珠海市金湾区建设工程质量监督检测站</w:t>
      </w:r>
    </w:p>
    <w:p w14:paraId="07893916">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信宜市建设工程质量检测站</w:t>
      </w:r>
    </w:p>
    <w:p w14:paraId="10BF2DF5">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华思（广州）测控科技有限公司</w:t>
      </w:r>
    </w:p>
    <w:p w14:paraId="401BE233">
      <w:pPr>
        <w:autoSpaceDE w:val="0"/>
        <w:autoSpaceDN w:val="0"/>
        <w:adjustRightInd w:val="0"/>
        <w:spacing w:line="360" w:lineRule="auto"/>
        <w:ind w:firstLine="480" w:firstLineChars="200"/>
        <w:jc w:val="left"/>
        <w:rPr>
          <w:rFonts w:hint="default" w:cs="Times New Roman"/>
          <w:kern w:val="0"/>
          <w:sz w:val="24"/>
          <w:highlight w:val="none"/>
          <w:lang w:val="en-US" w:eastAsia="zh-CN"/>
        </w:rPr>
      </w:pPr>
      <w:r>
        <w:rPr>
          <w:rFonts w:hint="eastAsia" w:ascii="Times New Roman" w:hAnsi="Times New Roman" w:cs="Times New Roman"/>
          <w:kern w:val="0"/>
          <w:sz w:val="24"/>
          <w:highlight w:val="none"/>
        </w:rPr>
        <w:t>主要起草人：</w:t>
      </w:r>
      <w:r>
        <w:rPr>
          <w:rFonts w:hint="eastAsia" w:cs="Times New Roman"/>
          <w:kern w:val="0"/>
          <w:sz w:val="24"/>
          <w:highlight w:val="none"/>
          <w:lang w:eastAsia="zh-CN"/>
        </w:rPr>
        <w:t>（</w:t>
      </w:r>
      <w:r>
        <w:rPr>
          <w:rFonts w:hint="eastAsia" w:cs="Times New Roman"/>
          <w:kern w:val="0"/>
          <w:sz w:val="24"/>
          <w:highlight w:val="none"/>
          <w:lang w:val="en-US" w:eastAsia="zh-CN"/>
        </w:rPr>
        <w:t>排名待调整</w:t>
      </w:r>
      <w:r>
        <w:rPr>
          <w:rFonts w:hint="eastAsia" w:cs="Times New Roman"/>
          <w:kern w:val="0"/>
          <w:sz w:val="24"/>
          <w:highlight w:val="none"/>
          <w:lang w:eastAsia="zh-CN"/>
        </w:rPr>
        <w:t>）</w:t>
      </w:r>
      <w:r>
        <w:rPr>
          <w:rFonts w:hint="eastAsia" w:cs="Times New Roman"/>
          <w:kern w:val="0"/>
          <w:sz w:val="24"/>
          <w:highlight w:val="none"/>
          <w:lang w:val="en-US" w:eastAsia="zh-CN"/>
        </w:rPr>
        <w:t>邓 浩   何 钦   黄俊光   孔宪文   张记峰</w:t>
      </w:r>
    </w:p>
    <w:p w14:paraId="56DA6026">
      <w:pPr>
        <w:keepNext w:val="0"/>
        <w:keepLines w:val="0"/>
        <w:pageBreakBefore w:val="0"/>
        <w:widowControl w:val="0"/>
        <w:kinsoku/>
        <w:wordWrap/>
        <w:overflowPunct/>
        <w:topLinePunct w:val="0"/>
        <w:autoSpaceDE w:val="0"/>
        <w:autoSpaceDN w:val="0"/>
        <w:bidi w:val="0"/>
        <w:adjustRightInd w:val="0"/>
        <w:snapToGrid/>
        <w:spacing w:line="360" w:lineRule="auto"/>
        <w:ind w:left="0" w:firstLine="1320" w:firstLineChars="550"/>
        <w:jc w:val="left"/>
        <w:textAlignment w:val="auto"/>
        <w:rPr>
          <w:rFonts w:hint="default" w:cs="Times New Roman"/>
          <w:kern w:val="0"/>
          <w:sz w:val="24"/>
          <w:highlight w:val="none"/>
          <w:lang w:val="en-US" w:eastAsia="zh-CN"/>
        </w:rPr>
      </w:pPr>
      <w:r>
        <w:rPr>
          <w:rFonts w:hint="eastAsia" w:cs="Times New Roman"/>
          <w:kern w:val="0"/>
          <w:sz w:val="24"/>
          <w:highlight w:val="none"/>
          <w:lang w:val="en-US" w:eastAsia="zh-CN"/>
        </w:rPr>
        <w:t xml:space="preserve">郭典塔   赵 骕   何祖钧   </w:t>
      </w:r>
      <w:r>
        <w:rPr>
          <w:rFonts w:hint="eastAsia" w:cs="Times New Roman"/>
          <w:sz w:val="24"/>
          <w:highlight w:val="none"/>
          <w:lang w:val="en-US" w:eastAsia="zh-CN"/>
        </w:rPr>
        <w:t>文选跃</w:t>
      </w:r>
      <w:r>
        <w:rPr>
          <w:rFonts w:hint="eastAsia" w:cs="Times New Roman"/>
          <w:kern w:val="0"/>
          <w:sz w:val="24"/>
          <w:highlight w:val="none"/>
          <w:lang w:val="en-US" w:eastAsia="zh-CN"/>
        </w:rPr>
        <w:t xml:space="preserve">   </w:t>
      </w:r>
      <w:r>
        <w:rPr>
          <w:rFonts w:hint="default" w:cs="Times New Roman"/>
          <w:sz w:val="24"/>
          <w:highlight w:val="none"/>
          <w:lang w:val="en-US" w:eastAsia="zh-CN"/>
        </w:rPr>
        <w:t>乔有梁</w:t>
      </w:r>
      <w:r>
        <w:rPr>
          <w:rFonts w:hint="eastAsia" w:cs="Times New Roman"/>
          <w:kern w:val="0"/>
          <w:sz w:val="24"/>
          <w:highlight w:val="none"/>
          <w:lang w:val="en-US" w:eastAsia="zh-CN"/>
        </w:rPr>
        <w:t xml:space="preserve">   赖 锋   </w:t>
      </w:r>
      <w:r>
        <w:rPr>
          <w:rFonts w:hint="eastAsia" w:cs="Times New Roman"/>
          <w:sz w:val="24"/>
          <w:highlight w:val="none"/>
          <w:lang w:val="en-US" w:eastAsia="zh-CN"/>
        </w:rPr>
        <w:t>胡国保</w:t>
      </w:r>
    </w:p>
    <w:p w14:paraId="4985169E">
      <w:pPr>
        <w:keepNext w:val="0"/>
        <w:keepLines w:val="0"/>
        <w:pageBreakBefore w:val="0"/>
        <w:widowControl w:val="0"/>
        <w:kinsoku/>
        <w:wordWrap/>
        <w:overflowPunct/>
        <w:topLinePunct w:val="0"/>
        <w:autoSpaceDE w:val="0"/>
        <w:autoSpaceDN w:val="0"/>
        <w:bidi w:val="0"/>
        <w:adjustRightInd w:val="0"/>
        <w:snapToGrid/>
        <w:spacing w:line="360" w:lineRule="auto"/>
        <w:ind w:firstLine="1320" w:firstLineChars="550"/>
        <w:jc w:val="left"/>
        <w:textAlignment w:val="auto"/>
        <w:rPr>
          <w:rFonts w:hint="eastAsia" w:cs="Times New Roman"/>
          <w:sz w:val="24"/>
          <w:highlight w:val="none"/>
          <w:lang w:val="en-US" w:eastAsia="zh-CN"/>
        </w:rPr>
      </w:pPr>
      <w:r>
        <w:rPr>
          <w:rFonts w:hint="eastAsia" w:ascii="Times New Roman" w:hAnsi="Times New Roman" w:cs="Times New Roman"/>
          <w:sz w:val="24"/>
          <w:highlight w:val="none"/>
        </w:rPr>
        <w:t>叶建新</w:t>
      </w:r>
      <w:r>
        <w:rPr>
          <w:rFonts w:hint="eastAsia" w:cs="Times New Roman"/>
          <w:sz w:val="24"/>
          <w:highlight w:val="none"/>
          <w:lang w:val="en-US" w:eastAsia="zh-CN"/>
        </w:rPr>
        <w:t xml:space="preserve">   杜向锋   梁敬豪   戴远俊  凌志平   张星伟  张冬至</w:t>
      </w:r>
    </w:p>
    <w:p w14:paraId="4C0F07E0">
      <w:pPr>
        <w:keepNext w:val="0"/>
        <w:keepLines w:val="0"/>
        <w:pageBreakBefore w:val="0"/>
        <w:widowControl w:val="0"/>
        <w:kinsoku/>
        <w:wordWrap/>
        <w:overflowPunct/>
        <w:topLinePunct w:val="0"/>
        <w:autoSpaceDE w:val="0"/>
        <w:autoSpaceDN w:val="0"/>
        <w:bidi w:val="0"/>
        <w:adjustRightInd w:val="0"/>
        <w:snapToGrid/>
        <w:spacing w:line="360" w:lineRule="auto"/>
        <w:ind w:firstLine="1320" w:firstLineChars="550"/>
        <w:jc w:val="left"/>
        <w:textAlignment w:val="auto"/>
        <w:rPr>
          <w:rFonts w:hint="eastAsia" w:cs="Times New Roman"/>
          <w:sz w:val="24"/>
          <w:highlight w:val="none"/>
          <w:lang w:val="en-US" w:eastAsia="zh-CN"/>
        </w:rPr>
      </w:pPr>
      <w:r>
        <w:rPr>
          <w:rFonts w:hint="eastAsia" w:cs="Times New Roman"/>
          <w:kern w:val="0"/>
          <w:sz w:val="24"/>
          <w:highlight w:val="none"/>
          <w:lang w:val="en-US" w:eastAsia="zh-CN"/>
        </w:rPr>
        <w:t>孙世永</w:t>
      </w:r>
      <w:r>
        <w:rPr>
          <w:rFonts w:hint="eastAsia" w:cs="Times New Roman"/>
          <w:sz w:val="24"/>
          <w:highlight w:val="none"/>
          <w:lang w:val="en-US" w:eastAsia="zh-CN"/>
        </w:rPr>
        <w:t xml:space="preserve">   林治平   贺海建   谢志远  樊永涛   孙青平  李广斌</w:t>
      </w:r>
    </w:p>
    <w:p w14:paraId="64ED8CD7">
      <w:pPr>
        <w:keepNext w:val="0"/>
        <w:keepLines w:val="0"/>
        <w:pageBreakBefore w:val="0"/>
        <w:widowControl w:val="0"/>
        <w:kinsoku/>
        <w:wordWrap/>
        <w:overflowPunct/>
        <w:topLinePunct w:val="0"/>
        <w:autoSpaceDE w:val="0"/>
        <w:autoSpaceDN w:val="0"/>
        <w:bidi w:val="0"/>
        <w:adjustRightInd w:val="0"/>
        <w:snapToGrid/>
        <w:spacing w:line="360" w:lineRule="auto"/>
        <w:ind w:firstLine="1320" w:firstLineChars="550"/>
        <w:jc w:val="left"/>
        <w:textAlignment w:val="auto"/>
        <w:rPr>
          <w:rFonts w:hint="default" w:cs="Times New Roman"/>
          <w:b/>
          <w:bCs/>
          <w:sz w:val="24"/>
          <w:highlight w:val="none"/>
          <w:lang w:val="en-US" w:eastAsia="zh-CN"/>
        </w:rPr>
      </w:pPr>
      <w:r>
        <w:rPr>
          <w:rFonts w:hint="default" w:cs="Times New Roman"/>
          <w:sz w:val="24"/>
          <w:highlight w:val="none"/>
          <w:lang w:val="en-US" w:eastAsia="zh-CN"/>
        </w:rPr>
        <w:t>苏瑞明</w:t>
      </w:r>
      <w:r>
        <w:rPr>
          <w:rFonts w:hint="eastAsia" w:cs="Times New Roman"/>
          <w:sz w:val="24"/>
          <w:highlight w:val="none"/>
          <w:lang w:val="en-US" w:eastAsia="zh-CN"/>
        </w:rPr>
        <w:t xml:space="preserve">   速云中   方 辉   黄严华   任宗朋   王 涛   </w:t>
      </w:r>
      <w:r>
        <w:rPr>
          <w:rFonts w:hint="default" w:cs="Times New Roman"/>
          <w:sz w:val="24"/>
          <w:highlight w:val="none"/>
          <w:lang w:val="en-US" w:eastAsia="zh-CN"/>
        </w:rPr>
        <w:t>贺晓燕</w:t>
      </w:r>
    </w:p>
    <w:p w14:paraId="13854297">
      <w:pPr>
        <w:keepNext w:val="0"/>
        <w:keepLines w:val="0"/>
        <w:pageBreakBefore w:val="0"/>
        <w:widowControl w:val="0"/>
        <w:kinsoku/>
        <w:wordWrap/>
        <w:overflowPunct/>
        <w:topLinePunct w:val="0"/>
        <w:autoSpaceDE w:val="0"/>
        <w:autoSpaceDN w:val="0"/>
        <w:bidi w:val="0"/>
        <w:adjustRightInd w:val="0"/>
        <w:snapToGrid/>
        <w:spacing w:line="360" w:lineRule="auto"/>
        <w:ind w:firstLine="1320" w:firstLineChars="550"/>
        <w:jc w:val="left"/>
        <w:textAlignment w:val="auto"/>
        <w:rPr>
          <w:rFonts w:hint="default" w:cs="Times New Roman"/>
          <w:sz w:val="24"/>
          <w:highlight w:val="none"/>
          <w:lang w:val="en-US" w:eastAsia="zh-CN"/>
        </w:rPr>
      </w:pPr>
      <w:r>
        <w:rPr>
          <w:rFonts w:hint="eastAsia" w:cs="Times New Roman"/>
          <w:sz w:val="24"/>
          <w:highlight w:val="none"/>
          <w:lang w:val="en-US" w:eastAsia="zh-CN"/>
        </w:rPr>
        <w:t xml:space="preserve">缪  丹  曾颖涛   陈深德   金洪调   </w:t>
      </w:r>
      <w:r>
        <w:rPr>
          <w:rFonts w:hint="eastAsia" w:cs="Times New Roman"/>
          <w:kern w:val="0"/>
          <w:sz w:val="24"/>
          <w:highlight w:val="none"/>
          <w:lang w:val="en-US" w:eastAsia="zh-CN"/>
        </w:rPr>
        <w:t>吴福成</w:t>
      </w:r>
      <w:r>
        <w:rPr>
          <w:rFonts w:hint="eastAsia" w:cs="Times New Roman"/>
          <w:sz w:val="24"/>
          <w:highlight w:val="none"/>
          <w:lang w:val="en-US" w:eastAsia="zh-CN"/>
        </w:rPr>
        <w:t xml:space="preserve">  潘振雄   陈大江  </w:t>
      </w:r>
    </w:p>
    <w:p w14:paraId="3B968CE3">
      <w:pPr>
        <w:autoSpaceDE w:val="0"/>
        <w:autoSpaceDN w:val="0"/>
        <w:adjustRightInd w:val="0"/>
        <w:spacing w:line="360" w:lineRule="auto"/>
        <w:ind w:firstLine="480" w:firstLineChars="200"/>
        <w:jc w:val="left"/>
        <w:rPr>
          <w:rFonts w:hint="eastAsia" w:ascii="Times New Roman" w:hAnsi="Times New Roman" w:cs="Times New Roman"/>
          <w:sz w:val="24"/>
          <w:highlight w:val="none"/>
        </w:rPr>
      </w:pPr>
    </w:p>
    <w:p w14:paraId="25F8A624">
      <w:pPr>
        <w:autoSpaceDE w:val="0"/>
        <w:autoSpaceDN w:val="0"/>
        <w:adjustRightInd w:val="0"/>
        <w:spacing w:line="360" w:lineRule="auto"/>
        <w:ind w:firstLine="480" w:firstLineChars="2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主要审查人：</w:t>
      </w:r>
    </w:p>
    <w:p w14:paraId="216FC34A">
      <w:pPr>
        <w:ind w:firstLine="480"/>
        <w:rPr>
          <w:rFonts w:hint="eastAsia" w:ascii="Times New Roman" w:hAnsi="Times New Roman" w:cs="Times New Roman"/>
          <w:highlight w:val="none"/>
          <w:lang w:val="en-US" w:eastAsia="zh-CN"/>
        </w:rPr>
      </w:pPr>
    </w:p>
    <w:p w14:paraId="651CA092">
      <w:pPr>
        <w:ind w:firstLine="480"/>
        <w:rPr>
          <w:rFonts w:hint="eastAsia" w:ascii="Times New Roman" w:hAnsi="Times New Roman" w:cs="Times New Roman"/>
          <w:highlight w:val="none"/>
          <w:lang w:val="en-US" w:eastAsia="zh-CN"/>
        </w:rPr>
      </w:pPr>
    </w:p>
    <w:sdt>
      <w:sdtPr>
        <w:rPr>
          <w:rFonts w:ascii="Times New Roman" w:hAnsi="Times New Roman" w:eastAsia="宋体" w:cs="Times New Roman"/>
          <w:kern w:val="2"/>
          <w:sz w:val="21"/>
          <w:szCs w:val="24"/>
          <w:highlight w:val="none"/>
          <w:lang w:val="en-US" w:eastAsia="zh-CN" w:bidi="ar-SA"/>
        </w:rPr>
        <w:id w:val="147474671"/>
        <w15:color w:val="DBDBDB"/>
        <w:docPartObj>
          <w:docPartGallery w:val="Table of Contents"/>
          <w:docPartUnique/>
        </w:docPartObj>
      </w:sdtPr>
      <w:sdtEndPr>
        <w:rPr>
          <w:rFonts w:hint="eastAsia" w:ascii="Times New Roman" w:hAnsi="Times New Roman" w:cs="Times New Roman" w:eastAsiaTheme="minorEastAsia"/>
          <w:b/>
          <w:kern w:val="2"/>
          <w:sz w:val="24"/>
          <w:szCs w:val="24"/>
          <w:highlight w:val="none"/>
          <w:lang w:val="en-US" w:eastAsia="zh-CN" w:bidi="ar-SA"/>
        </w:rPr>
      </w:sdtEndPr>
      <w:sdtContent>
        <w:p w14:paraId="30DC5693">
          <w:pPr>
            <w:spacing w:before="0" w:beforeLines="0" w:after="0" w:afterLines="0" w:line="240" w:lineRule="auto"/>
            <w:ind w:left="0" w:leftChars="0" w:right="0" w:rightChars="0" w:firstLine="0" w:firstLineChars="0"/>
            <w:jc w:val="center"/>
            <w:rPr>
              <w:rFonts w:ascii="Times New Roman" w:hAnsi="Times New Roman" w:eastAsia="宋体" w:cs="Times New Roman"/>
              <w:kern w:val="2"/>
              <w:sz w:val="21"/>
              <w:szCs w:val="24"/>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56526ACF">
          <w:pPr>
            <w:spacing w:before="0" w:beforeLines="0" w:after="0" w:afterLines="0" w:line="240" w:lineRule="auto"/>
            <w:ind w:left="0" w:leftChars="0" w:right="0" w:rightChars="0" w:firstLine="0" w:firstLineChars="0"/>
            <w:jc w:val="center"/>
            <w:rPr>
              <w:rFonts w:ascii="Times New Roman" w:hAnsi="Times New Roman" w:cs="Times New Roman"/>
              <w:b/>
              <w:bCs/>
              <w:sz w:val="32"/>
              <w:szCs w:val="32"/>
              <w:highlight w:val="none"/>
            </w:rPr>
          </w:pPr>
          <w:r>
            <w:rPr>
              <w:rFonts w:ascii="Times New Roman" w:hAnsi="Times New Roman" w:eastAsia="宋体" w:cs="Times New Roman"/>
              <w:b/>
              <w:bCs/>
              <w:sz w:val="32"/>
              <w:szCs w:val="32"/>
              <w:highlight w:val="none"/>
            </w:rPr>
            <w:t>目</w:t>
          </w:r>
          <w:r>
            <w:rPr>
              <w:rFonts w:hint="eastAsia" w:eastAsia="宋体" w:cs="Times New Roman"/>
              <w:b/>
              <w:bCs/>
              <w:sz w:val="32"/>
              <w:szCs w:val="32"/>
              <w:highlight w:val="none"/>
              <w:lang w:val="en-US" w:eastAsia="zh-CN"/>
            </w:rPr>
            <w:t>次</w:t>
          </w:r>
        </w:p>
        <w:p w14:paraId="5D043EA6">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TOC \o "1-2" \h \u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_Toc16779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bCs w:val="0"/>
              <w:highlight w:val="none"/>
              <w:lang w:val="en-US" w:eastAsia="zh-CN"/>
            </w:rPr>
            <w:t>1 总则</w:t>
          </w:r>
          <w:r>
            <w:tab/>
          </w:r>
          <w:r>
            <w:fldChar w:fldCharType="begin"/>
          </w:r>
          <w:r>
            <w:instrText xml:space="preserve"> PAGEREF _Toc16779 \h </w:instrText>
          </w:r>
          <w:r>
            <w:fldChar w:fldCharType="separate"/>
          </w:r>
          <w:r>
            <w:t>1</w:t>
          </w:r>
          <w:r>
            <w:fldChar w:fldCharType="end"/>
          </w:r>
          <w:r>
            <w:rPr>
              <w:rFonts w:hint="eastAsia" w:ascii="Times New Roman" w:hAnsi="Times New Roman" w:cs="Times New Roman"/>
              <w:highlight w:val="none"/>
              <w:lang w:val="en-US" w:eastAsia="zh-CN"/>
            </w:rPr>
            <w:fldChar w:fldCharType="end"/>
          </w:r>
        </w:p>
        <w:p w14:paraId="38136057">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_Toc22311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2 术语</w:t>
          </w:r>
          <w:r>
            <w:tab/>
          </w:r>
          <w:r>
            <w:fldChar w:fldCharType="begin"/>
          </w:r>
          <w:r>
            <w:instrText xml:space="preserve"> PAGEREF _Toc22311 \h </w:instrText>
          </w:r>
          <w:r>
            <w:fldChar w:fldCharType="separate"/>
          </w:r>
          <w:r>
            <w:t>3</w:t>
          </w:r>
          <w:r>
            <w:fldChar w:fldCharType="end"/>
          </w:r>
          <w:r>
            <w:rPr>
              <w:rFonts w:hint="eastAsia" w:ascii="Times New Roman" w:hAnsi="Times New Roman" w:cs="Times New Roman"/>
              <w:highlight w:val="none"/>
              <w:lang w:val="en-US" w:eastAsia="zh-CN"/>
            </w:rPr>
            <w:fldChar w:fldCharType="end"/>
          </w:r>
        </w:p>
        <w:p w14:paraId="4E6B4A0C">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_Toc27405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3 基本规定</w:t>
          </w:r>
          <w:r>
            <w:tab/>
          </w:r>
          <w:r>
            <w:fldChar w:fldCharType="begin"/>
          </w:r>
          <w:r>
            <w:instrText xml:space="preserve"> PAGEREF _Toc27405 \h </w:instrText>
          </w:r>
          <w:r>
            <w:fldChar w:fldCharType="separate"/>
          </w:r>
          <w:r>
            <w:t>7</w:t>
          </w:r>
          <w:r>
            <w:fldChar w:fldCharType="end"/>
          </w:r>
          <w:r>
            <w:rPr>
              <w:rFonts w:hint="eastAsia" w:ascii="Times New Roman" w:hAnsi="Times New Roman" w:cs="Times New Roman"/>
              <w:highlight w:val="none"/>
              <w:lang w:val="en-US" w:eastAsia="zh-CN"/>
            </w:rPr>
            <w:fldChar w:fldCharType="end"/>
          </w:r>
        </w:p>
        <w:p w14:paraId="15875D7F">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_Toc25035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4 监测项目</w:t>
          </w:r>
          <w:r>
            <w:tab/>
          </w:r>
          <w:r>
            <w:fldChar w:fldCharType="begin"/>
          </w:r>
          <w:r>
            <w:instrText xml:space="preserve"> PAGEREF _Toc25035 \h </w:instrText>
          </w:r>
          <w:r>
            <w:fldChar w:fldCharType="separate"/>
          </w:r>
          <w:r>
            <w:t>14</w:t>
          </w:r>
          <w:r>
            <w:fldChar w:fldCharType="end"/>
          </w:r>
          <w:r>
            <w:rPr>
              <w:rFonts w:hint="eastAsia" w:ascii="Times New Roman" w:hAnsi="Times New Roman" w:cs="Times New Roman"/>
              <w:highlight w:val="none"/>
              <w:lang w:val="en-US" w:eastAsia="zh-CN"/>
            </w:rPr>
            <w:fldChar w:fldCharType="end"/>
          </w:r>
        </w:p>
        <w:p w14:paraId="28BFD4D4">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_Toc20628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4.1 一般规定</w:t>
          </w:r>
          <w:r>
            <w:tab/>
          </w:r>
          <w:r>
            <w:fldChar w:fldCharType="begin"/>
          </w:r>
          <w:r>
            <w:instrText xml:space="preserve"> PAGEREF _Toc20628 \h </w:instrText>
          </w:r>
          <w:r>
            <w:fldChar w:fldCharType="separate"/>
          </w:r>
          <w:r>
            <w:t>14</w:t>
          </w:r>
          <w:r>
            <w:fldChar w:fldCharType="end"/>
          </w:r>
          <w:r>
            <w:rPr>
              <w:rFonts w:hint="eastAsia" w:ascii="Times New Roman" w:hAnsi="Times New Roman" w:cs="Times New Roman"/>
              <w:highlight w:val="none"/>
              <w:lang w:val="en-US" w:eastAsia="zh-CN"/>
            </w:rPr>
            <w:fldChar w:fldCharType="end"/>
          </w:r>
        </w:p>
        <w:p w14:paraId="3ED722F8">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_Toc9599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4.2 仪器监测</w:t>
          </w:r>
          <w:r>
            <w:tab/>
          </w:r>
          <w:r>
            <w:fldChar w:fldCharType="begin"/>
          </w:r>
          <w:r>
            <w:instrText xml:space="preserve"> PAGEREF _Toc9599 \h </w:instrText>
          </w:r>
          <w:r>
            <w:fldChar w:fldCharType="separate"/>
          </w:r>
          <w:r>
            <w:t>15</w:t>
          </w:r>
          <w:r>
            <w:fldChar w:fldCharType="end"/>
          </w:r>
          <w:r>
            <w:rPr>
              <w:rFonts w:hint="eastAsia" w:ascii="Times New Roman" w:hAnsi="Times New Roman" w:cs="Times New Roman"/>
              <w:highlight w:val="none"/>
              <w:lang w:val="en-US" w:eastAsia="zh-CN"/>
            </w:rPr>
            <w:fldChar w:fldCharType="end"/>
          </w:r>
        </w:p>
        <w:p w14:paraId="2034BCC9">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_Toc1241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4.3 巡视检查</w:t>
          </w:r>
          <w:r>
            <w:tab/>
          </w:r>
          <w:r>
            <w:fldChar w:fldCharType="begin"/>
          </w:r>
          <w:r>
            <w:instrText xml:space="preserve"> PAGEREF _Toc1241 \h </w:instrText>
          </w:r>
          <w:r>
            <w:fldChar w:fldCharType="separate"/>
          </w:r>
          <w:r>
            <w:t>16</w:t>
          </w:r>
          <w:r>
            <w:fldChar w:fldCharType="end"/>
          </w:r>
          <w:r>
            <w:rPr>
              <w:rFonts w:hint="eastAsia" w:ascii="Times New Roman" w:hAnsi="Times New Roman" w:cs="Times New Roman"/>
              <w:highlight w:val="none"/>
              <w:lang w:val="en-US" w:eastAsia="zh-CN"/>
            </w:rPr>
            <w:fldChar w:fldCharType="end"/>
          </w:r>
        </w:p>
        <w:p w14:paraId="2F328F7A">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_Toc18096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5 监测点布置</w:t>
          </w:r>
          <w:r>
            <w:tab/>
          </w:r>
          <w:r>
            <w:fldChar w:fldCharType="begin"/>
          </w:r>
          <w:r>
            <w:instrText xml:space="preserve"> PAGEREF _Toc18096 \h </w:instrText>
          </w:r>
          <w:r>
            <w:fldChar w:fldCharType="separate"/>
          </w:r>
          <w:r>
            <w:t>20</w:t>
          </w:r>
          <w:r>
            <w:fldChar w:fldCharType="end"/>
          </w:r>
          <w:r>
            <w:rPr>
              <w:rFonts w:hint="eastAsia" w:ascii="Times New Roman" w:hAnsi="Times New Roman" w:cs="Times New Roman"/>
              <w:highlight w:val="none"/>
              <w:lang w:val="en-US" w:eastAsia="zh-CN"/>
            </w:rPr>
            <w:fldChar w:fldCharType="end"/>
          </w:r>
        </w:p>
        <w:p w14:paraId="150E6E51">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_Toc13034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5.1 一般规定</w:t>
          </w:r>
          <w:r>
            <w:tab/>
          </w:r>
          <w:r>
            <w:fldChar w:fldCharType="begin"/>
          </w:r>
          <w:r>
            <w:instrText xml:space="preserve"> PAGEREF _Toc13034 \h </w:instrText>
          </w:r>
          <w:r>
            <w:fldChar w:fldCharType="separate"/>
          </w:r>
          <w:r>
            <w:t>20</w:t>
          </w:r>
          <w:r>
            <w:fldChar w:fldCharType="end"/>
          </w:r>
          <w:r>
            <w:rPr>
              <w:rFonts w:hint="eastAsia" w:ascii="Times New Roman" w:hAnsi="Times New Roman" w:cs="Times New Roman"/>
              <w:highlight w:val="none"/>
              <w:lang w:val="en-US" w:eastAsia="zh-CN"/>
            </w:rPr>
            <w:fldChar w:fldCharType="end"/>
          </w:r>
        </w:p>
        <w:p w14:paraId="5799B2AF">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_Toc9391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5.2 支护结构</w:t>
          </w:r>
          <w:r>
            <w:tab/>
          </w:r>
          <w:r>
            <w:fldChar w:fldCharType="begin"/>
          </w:r>
          <w:r>
            <w:instrText xml:space="preserve"> PAGEREF _Toc9391 \h </w:instrText>
          </w:r>
          <w:r>
            <w:fldChar w:fldCharType="separate"/>
          </w:r>
          <w:r>
            <w:t>21</w:t>
          </w:r>
          <w:r>
            <w:fldChar w:fldCharType="end"/>
          </w:r>
          <w:r>
            <w:rPr>
              <w:rFonts w:hint="eastAsia" w:ascii="Times New Roman" w:hAnsi="Times New Roman" w:cs="Times New Roman"/>
              <w:highlight w:val="none"/>
              <w:lang w:val="en-US" w:eastAsia="zh-CN"/>
            </w:rPr>
            <w:fldChar w:fldCharType="end"/>
          </w:r>
        </w:p>
        <w:p w14:paraId="5D069D25">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_Toc2295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5.3 周边环境</w:t>
          </w:r>
          <w:r>
            <w:tab/>
          </w:r>
          <w:r>
            <w:fldChar w:fldCharType="begin"/>
          </w:r>
          <w:r>
            <w:instrText xml:space="preserve"> PAGEREF _Toc2295 \h </w:instrText>
          </w:r>
          <w:r>
            <w:fldChar w:fldCharType="separate"/>
          </w:r>
          <w:r>
            <w:t>24</w:t>
          </w:r>
          <w:r>
            <w:fldChar w:fldCharType="end"/>
          </w:r>
          <w:r>
            <w:rPr>
              <w:rFonts w:hint="eastAsia" w:ascii="Times New Roman" w:hAnsi="Times New Roman" w:cs="Times New Roman"/>
              <w:highlight w:val="none"/>
              <w:lang w:val="en-US" w:eastAsia="zh-CN"/>
            </w:rPr>
            <w:fldChar w:fldCharType="end"/>
          </w:r>
        </w:p>
        <w:p w14:paraId="0E60258C">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_Toc22662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5.4 边坡岩土体、水体</w:t>
          </w:r>
          <w:r>
            <w:tab/>
          </w:r>
          <w:r>
            <w:fldChar w:fldCharType="begin"/>
          </w:r>
          <w:r>
            <w:instrText xml:space="preserve"> PAGEREF _Toc22662 \h </w:instrText>
          </w:r>
          <w:r>
            <w:fldChar w:fldCharType="separate"/>
          </w:r>
          <w:r>
            <w:t>26</w:t>
          </w:r>
          <w:r>
            <w:fldChar w:fldCharType="end"/>
          </w:r>
          <w:r>
            <w:rPr>
              <w:rFonts w:hint="eastAsia" w:ascii="Times New Roman" w:hAnsi="Times New Roman" w:cs="Times New Roman"/>
              <w:highlight w:val="none"/>
              <w:lang w:val="en-US" w:eastAsia="zh-CN"/>
            </w:rPr>
            <w:fldChar w:fldCharType="end"/>
          </w:r>
        </w:p>
        <w:p w14:paraId="30A7491F">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_Toc14614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 xml:space="preserve">5.5 </w:t>
          </w:r>
          <w:r>
            <w:rPr>
              <w:rFonts w:hint="eastAsia" w:ascii="Times New Roman" w:hAnsi="Times New Roman" w:cs="Times New Roman"/>
              <w:highlight w:val="none"/>
            </w:rPr>
            <w:t>其他需要监测的对象</w:t>
          </w:r>
          <w:r>
            <w:tab/>
          </w:r>
          <w:r>
            <w:fldChar w:fldCharType="begin"/>
          </w:r>
          <w:r>
            <w:instrText xml:space="preserve"> PAGEREF _Toc14614 \h </w:instrText>
          </w:r>
          <w:r>
            <w:fldChar w:fldCharType="separate"/>
          </w:r>
          <w:r>
            <w:t>27</w:t>
          </w:r>
          <w:r>
            <w:fldChar w:fldCharType="end"/>
          </w:r>
          <w:r>
            <w:rPr>
              <w:rFonts w:hint="eastAsia" w:ascii="Times New Roman" w:hAnsi="Times New Roman" w:cs="Times New Roman"/>
              <w:highlight w:val="none"/>
              <w:lang w:val="en-US" w:eastAsia="zh-CN"/>
            </w:rPr>
            <w:fldChar w:fldCharType="end"/>
          </w:r>
        </w:p>
        <w:p w14:paraId="150930D9">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_Toc7263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6 监测方法及精度要求</w:t>
          </w:r>
          <w:r>
            <w:tab/>
          </w:r>
          <w:r>
            <w:fldChar w:fldCharType="begin"/>
          </w:r>
          <w:r>
            <w:instrText xml:space="preserve"> PAGEREF _Toc7263 \h </w:instrText>
          </w:r>
          <w:r>
            <w:fldChar w:fldCharType="separate"/>
          </w:r>
          <w:r>
            <w:t>31</w:t>
          </w:r>
          <w:r>
            <w:fldChar w:fldCharType="end"/>
          </w:r>
          <w:r>
            <w:rPr>
              <w:rFonts w:hint="eastAsia" w:ascii="Times New Roman" w:hAnsi="Times New Roman" w:cs="Times New Roman"/>
              <w:highlight w:val="none"/>
              <w:lang w:val="en-US" w:eastAsia="zh-CN"/>
            </w:rPr>
            <w:fldChar w:fldCharType="end"/>
          </w:r>
        </w:p>
        <w:p w14:paraId="7E72D495">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_Toc19336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6.1 一般规定</w:t>
          </w:r>
          <w:r>
            <w:tab/>
          </w:r>
          <w:r>
            <w:fldChar w:fldCharType="begin"/>
          </w:r>
          <w:r>
            <w:instrText xml:space="preserve"> PAGEREF _Toc19336 \h </w:instrText>
          </w:r>
          <w:r>
            <w:fldChar w:fldCharType="separate"/>
          </w:r>
          <w:r>
            <w:t>31</w:t>
          </w:r>
          <w:r>
            <w:fldChar w:fldCharType="end"/>
          </w:r>
          <w:r>
            <w:rPr>
              <w:rFonts w:hint="eastAsia" w:ascii="Times New Roman" w:hAnsi="Times New Roman" w:cs="Times New Roman"/>
              <w:highlight w:val="none"/>
              <w:lang w:val="en-US" w:eastAsia="zh-CN"/>
            </w:rPr>
            <w:fldChar w:fldCharType="end"/>
          </w:r>
        </w:p>
        <w:p w14:paraId="5F955CE3">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_Toc15151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6.2 人工监测</w:t>
          </w:r>
          <w:r>
            <w:tab/>
          </w:r>
          <w:r>
            <w:fldChar w:fldCharType="begin"/>
          </w:r>
          <w:r>
            <w:instrText xml:space="preserve"> PAGEREF _Toc15151 \h </w:instrText>
          </w:r>
          <w:r>
            <w:fldChar w:fldCharType="separate"/>
          </w:r>
          <w:r>
            <w:t>35</w:t>
          </w:r>
          <w:r>
            <w:fldChar w:fldCharType="end"/>
          </w:r>
          <w:r>
            <w:rPr>
              <w:rFonts w:hint="eastAsia" w:ascii="Times New Roman" w:hAnsi="Times New Roman" w:cs="Times New Roman"/>
              <w:highlight w:val="none"/>
              <w:lang w:val="en-US" w:eastAsia="zh-CN"/>
            </w:rPr>
            <w:fldChar w:fldCharType="end"/>
          </w:r>
        </w:p>
        <w:p w14:paraId="08E00A80">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_Toc7233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6.3 自动化监测</w:t>
          </w:r>
          <w:r>
            <w:tab/>
          </w:r>
          <w:r>
            <w:fldChar w:fldCharType="begin"/>
          </w:r>
          <w:r>
            <w:instrText xml:space="preserve"> PAGEREF _Toc7233 \h </w:instrText>
          </w:r>
          <w:r>
            <w:fldChar w:fldCharType="separate"/>
          </w:r>
          <w:r>
            <w:t>46</w:t>
          </w:r>
          <w:r>
            <w:fldChar w:fldCharType="end"/>
          </w:r>
          <w:r>
            <w:rPr>
              <w:rFonts w:hint="eastAsia" w:ascii="Times New Roman" w:hAnsi="Times New Roman" w:cs="Times New Roman"/>
              <w:highlight w:val="none"/>
              <w:lang w:val="en-US" w:eastAsia="zh-CN"/>
            </w:rPr>
            <w:fldChar w:fldCharType="end"/>
          </w:r>
        </w:p>
        <w:p w14:paraId="5E811605">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_Toc12969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7 监测期限及频率</w:t>
          </w:r>
          <w:r>
            <w:tab/>
          </w:r>
          <w:r>
            <w:fldChar w:fldCharType="begin"/>
          </w:r>
          <w:r>
            <w:instrText xml:space="preserve"> PAGEREF _Toc12969 \h </w:instrText>
          </w:r>
          <w:r>
            <w:fldChar w:fldCharType="separate"/>
          </w:r>
          <w:r>
            <w:t>60</w:t>
          </w:r>
          <w:r>
            <w:fldChar w:fldCharType="end"/>
          </w:r>
          <w:r>
            <w:rPr>
              <w:rFonts w:hint="eastAsia" w:ascii="Times New Roman" w:hAnsi="Times New Roman" w:cs="Times New Roman"/>
              <w:highlight w:val="none"/>
              <w:lang w:val="en-US" w:eastAsia="zh-CN"/>
            </w:rPr>
            <w:fldChar w:fldCharType="end"/>
          </w:r>
        </w:p>
        <w:p w14:paraId="2C8B5C5D">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_Toc9613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7.1 一般规定</w:t>
          </w:r>
          <w:r>
            <w:tab/>
          </w:r>
          <w:r>
            <w:fldChar w:fldCharType="begin"/>
          </w:r>
          <w:r>
            <w:instrText xml:space="preserve"> PAGEREF _Toc9613 \h </w:instrText>
          </w:r>
          <w:r>
            <w:fldChar w:fldCharType="separate"/>
          </w:r>
          <w:r>
            <w:t>60</w:t>
          </w:r>
          <w:r>
            <w:fldChar w:fldCharType="end"/>
          </w:r>
          <w:r>
            <w:rPr>
              <w:rFonts w:hint="eastAsia" w:ascii="Times New Roman" w:hAnsi="Times New Roman" w:cs="Times New Roman"/>
              <w:highlight w:val="none"/>
              <w:lang w:val="en-US" w:eastAsia="zh-CN"/>
            </w:rPr>
            <w:fldChar w:fldCharType="end"/>
          </w:r>
        </w:p>
        <w:p w14:paraId="1B88F541">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_Toc16828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shd w:val="clear"/>
              <w:lang w:val="en-US" w:eastAsia="zh-CN"/>
            </w:rPr>
            <w:t>7.2 监测期限</w:t>
          </w:r>
          <w:r>
            <w:tab/>
          </w:r>
          <w:r>
            <w:fldChar w:fldCharType="begin"/>
          </w:r>
          <w:r>
            <w:instrText xml:space="preserve"> PAGEREF _Toc16828 \h </w:instrText>
          </w:r>
          <w:r>
            <w:fldChar w:fldCharType="separate"/>
          </w:r>
          <w:r>
            <w:t>60</w:t>
          </w:r>
          <w:r>
            <w:fldChar w:fldCharType="end"/>
          </w:r>
          <w:r>
            <w:rPr>
              <w:rFonts w:hint="eastAsia" w:ascii="Times New Roman" w:hAnsi="Times New Roman" w:cs="Times New Roman"/>
              <w:highlight w:val="none"/>
              <w:lang w:val="en-US" w:eastAsia="zh-CN"/>
            </w:rPr>
            <w:fldChar w:fldCharType="end"/>
          </w:r>
        </w:p>
        <w:p w14:paraId="66DFA664">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_Toc2316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7.3 监测频率</w:t>
          </w:r>
          <w:r>
            <w:tab/>
          </w:r>
          <w:r>
            <w:fldChar w:fldCharType="begin"/>
          </w:r>
          <w:r>
            <w:instrText xml:space="preserve"> PAGEREF _Toc2316 \h </w:instrText>
          </w:r>
          <w:r>
            <w:fldChar w:fldCharType="separate"/>
          </w:r>
          <w:r>
            <w:t>60</w:t>
          </w:r>
          <w:r>
            <w:fldChar w:fldCharType="end"/>
          </w:r>
          <w:r>
            <w:rPr>
              <w:rFonts w:hint="eastAsia" w:ascii="Times New Roman" w:hAnsi="Times New Roman" w:cs="Times New Roman"/>
              <w:highlight w:val="none"/>
              <w:lang w:val="en-US" w:eastAsia="zh-CN"/>
            </w:rPr>
            <w:fldChar w:fldCharType="end"/>
          </w:r>
        </w:p>
        <w:p w14:paraId="47F8EF6F">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_Toc12341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8 监测预警值</w:t>
          </w:r>
          <w:r>
            <w:tab/>
          </w:r>
          <w:r>
            <w:fldChar w:fldCharType="begin"/>
          </w:r>
          <w:r>
            <w:instrText xml:space="preserve"> PAGEREF _Toc12341 \h </w:instrText>
          </w:r>
          <w:r>
            <w:fldChar w:fldCharType="separate"/>
          </w:r>
          <w:r>
            <w:t>62</w:t>
          </w:r>
          <w:r>
            <w:fldChar w:fldCharType="end"/>
          </w:r>
          <w:r>
            <w:rPr>
              <w:rFonts w:hint="eastAsia" w:ascii="Times New Roman" w:hAnsi="Times New Roman" w:cs="Times New Roman"/>
              <w:highlight w:val="none"/>
              <w:lang w:val="en-US" w:eastAsia="zh-CN"/>
            </w:rPr>
            <w:fldChar w:fldCharType="end"/>
          </w:r>
        </w:p>
        <w:p w14:paraId="38697F80">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_Toc4443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9 数据处理及信息反馈</w:t>
          </w:r>
          <w:r>
            <w:tab/>
          </w:r>
          <w:r>
            <w:fldChar w:fldCharType="begin"/>
          </w:r>
          <w:r>
            <w:instrText xml:space="preserve"> PAGEREF _Toc4443 \h </w:instrText>
          </w:r>
          <w:r>
            <w:fldChar w:fldCharType="separate"/>
          </w:r>
          <w:r>
            <w:t>66</w:t>
          </w:r>
          <w:r>
            <w:fldChar w:fldCharType="end"/>
          </w:r>
          <w:r>
            <w:rPr>
              <w:rFonts w:hint="eastAsia" w:ascii="Times New Roman" w:hAnsi="Times New Roman" w:cs="Times New Roman"/>
              <w:highlight w:val="none"/>
              <w:lang w:val="en-US" w:eastAsia="zh-CN"/>
            </w:rPr>
            <w:fldChar w:fldCharType="end"/>
          </w:r>
        </w:p>
        <w:p w14:paraId="4BBCAC71">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_Toc31258 </w:instrText>
          </w:r>
          <w:r>
            <w:rPr>
              <w:rFonts w:hint="eastAsia" w:ascii="Times New Roman" w:hAnsi="Times New Roman" w:cs="Times New Roman"/>
              <w:highlight w:val="none"/>
              <w:lang w:val="en-US" w:eastAsia="zh-CN"/>
            </w:rPr>
            <w:fldChar w:fldCharType="separate"/>
          </w:r>
          <w:r>
            <w:rPr>
              <w:rFonts w:ascii="Times New Roman" w:hAnsi="Times New Roman" w:cs="Times New Roman"/>
              <w:highlight w:val="none"/>
            </w:rPr>
            <w:t>附录</w:t>
          </w:r>
          <w:r>
            <w:rPr>
              <w:rFonts w:hint="eastAsia" w:ascii="Times New Roman" w:hAnsi="Times New Roman" w:cs="Times New Roman"/>
              <w:highlight w:val="none"/>
              <w:lang w:val="en-US" w:eastAsia="zh-CN"/>
            </w:rPr>
            <w:t>A</w:t>
          </w:r>
          <w:r>
            <w:rPr>
              <w:rFonts w:hint="eastAsia" w:ascii="Times New Roman" w:hAnsi="Times New Roman" w:cs="Times New Roman"/>
              <w:highlight w:val="none"/>
            </w:rPr>
            <w:t xml:space="preserve"> 竖向</w:t>
          </w:r>
          <w:r>
            <w:rPr>
              <w:rFonts w:ascii="Times New Roman" w:hAnsi="Times New Roman" w:cs="Times New Roman"/>
              <w:highlight w:val="none"/>
            </w:rPr>
            <w:t>位移监测日报表</w:t>
          </w:r>
          <w:r>
            <w:tab/>
          </w:r>
          <w:r>
            <w:fldChar w:fldCharType="begin"/>
          </w:r>
          <w:r>
            <w:instrText xml:space="preserve"> PAGEREF _Toc31258 \h </w:instrText>
          </w:r>
          <w:r>
            <w:fldChar w:fldCharType="separate"/>
          </w:r>
          <w:r>
            <w:t>68</w:t>
          </w:r>
          <w:r>
            <w:fldChar w:fldCharType="end"/>
          </w:r>
          <w:r>
            <w:rPr>
              <w:rFonts w:hint="eastAsia" w:ascii="Times New Roman" w:hAnsi="Times New Roman" w:cs="Times New Roman"/>
              <w:highlight w:val="none"/>
              <w:lang w:val="en-US" w:eastAsia="zh-CN"/>
            </w:rPr>
            <w:fldChar w:fldCharType="end"/>
          </w:r>
        </w:p>
        <w:p w14:paraId="5709C988">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_Toc175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B</w:t>
          </w:r>
          <w:r>
            <w:rPr>
              <w:rFonts w:ascii="Times New Roman" w:hAnsi="Times New Roman" w:cs="Times New Roman"/>
              <w:highlight w:val="none"/>
            </w:rPr>
            <w:t xml:space="preserve"> </w:t>
          </w:r>
          <w:r>
            <w:rPr>
              <w:rFonts w:hint="eastAsia" w:ascii="Times New Roman" w:hAnsi="Times New Roman" w:cs="Times New Roman"/>
              <w:highlight w:val="none"/>
            </w:rPr>
            <w:t>水平位移监测日报表</w:t>
          </w:r>
          <w:r>
            <w:tab/>
          </w:r>
          <w:r>
            <w:fldChar w:fldCharType="begin"/>
          </w:r>
          <w:r>
            <w:instrText xml:space="preserve"> PAGEREF _Toc175 \h </w:instrText>
          </w:r>
          <w:r>
            <w:fldChar w:fldCharType="separate"/>
          </w:r>
          <w:r>
            <w:t>69</w:t>
          </w:r>
          <w:r>
            <w:fldChar w:fldCharType="end"/>
          </w:r>
          <w:r>
            <w:rPr>
              <w:rFonts w:hint="eastAsia" w:ascii="Times New Roman" w:hAnsi="Times New Roman" w:cs="Times New Roman"/>
              <w:highlight w:val="none"/>
              <w:lang w:val="en-US" w:eastAsia="zh-CN"/>
            </w:rPr>
            <w:fldChar w:fldCharType="end"/>
          </w:r>
        </w:p>
        <w:p w14:paraId="6E15F803">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_Toc31040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C</w:t>
          </w:r>
          <w:r>
            <w:rPr>
              <w:rFonts w:ascii="Times New Roman" w:hAnsi="Times New Roman" w:cs="Times New Roman"/>
              <w:highlight w:val="none"/>
            </w:rPr>
            <w:t xml:space="preserve"> </w:t>
          </w:r>
          <w:r>
            <w:rPr>
              <w:rFonts w:hint="eastAsia" w:ascii="Times New Roman" w:hAnsi="Times New Roman" w:cs="Times New Roman"/>
              <w:highlight w:val="none"/>
            </w:rPr>
            <w:t>深层水平位移（测斜）监测日报表</w:t>
          </w:r>
          <w:r>
            <w:tab/>
          </w:r>
          <w:r>
            <w:fldChar w:fldCharType="begin"/>
          </w:r>
          <w:r>
            <w:instrText xml:space="preserve"> PAGEREF _Toc31040 \h </w:instrText>
          </w:r>
          <w:r>
            <w:fldChar w:fldCharType="separate"/>
          </w:r>
          <w:r>
            <w:t>70</w:t>
          </w:r>
          <w:r>
            <w:fldChar w:fldCharType="end"/>
          </w:r>
          <w:r>
            <w:rPr>
              <w:rFonts w:hint="eastAsia" w:ascii="Times New Roman" w:hAnsi="Times New Roman" w:cs="Times New Roman"/>
              <w:highlight w:val="none"/>
              <w:lang w:val="en-US" w:eastAsia="zh-CN"/>
            </w:rPr>
            <w:fldChar w:fldCharType="end"/>
          </w:r>
        </w:p>
        <w:p w14:paraId="70B2CBCC">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_Toc12238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D</w:t>
          </w:r>
          <w:r>
            <w:rPr>
              <w:rFonts w:ascii="Times New Roman" w:hAnsi="Times New Roman" w:cs="Times New Roman"/>
              <w:highlight w:val="none"/>
            </w:rPr>
            <w:t xml:space="preserve"> </w:t>
          </w:r>
          <w:r>
            <w:rPr>
              <w:rFonts w:hint="eastAsia" w:ascii="Times New Roman" w:hAnsi="Times New Roman" w:cs="Times New Roman"/>
              <w:highlight w:val="none"/>
            </w:rPr>
            <w:t>倾斜监测日报表</w:t>
          </w:r>
          <w:r>
            <w:tab/>
          </w:r>
          <w:r>
            <w:fldChar w:fldCharType="begin"/>
          </w:r>
          <w:r>
            <w:instrText xml:space="preserve"> PAGEREF _Toc12238 \h </w:instrText>
          </w:r>
          <w:r>
            <w:fldChar w:fldCharType="separate"/>
          </w:r>
          <w:r>
            <w:t>71</w:t>
          </w:r>
          <w:r>
            <w:fldChar w:fldCharType="end"/>
          </w:r>
          <w:r>
            <w:rPr>
              <w:rFonts w:hint="eastAsia" w:ascii="Times New Roman" w:hAnsi="Times New Roman" w:cs="Times New Roman"/>
              <w:highlight w:val="none"/>
              <w:lang w:val="en-US" w:eastAsia="zh-CN"/>
            </w:rPr>
            <w:fldChar w:fldCharType="end"/>
          </w:r>
        </w:p>
        <w:p w14:paraId="27565323">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_Toc7120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E</w:t>
          </w:r>
          <w:r>
            <w:rPr>
              <w:rFonts w:ascii="Times New Roman" w:hAnsi="Times New Roman" w:cs="Times New Roman"/>
              <w:highlight w:val="none"/>
            </w:rPr>
            <w:t xml:space="preserve"> </w:t>
          </w:r>
          <w:r>
            <w:rPr>
              <w:rFonts w:hint="eastAsia" w:ascii="Times New Roman" w:hAnsi="Times New Roman" w:cs="Times New Roman"/>
              <w:highlight w:val="none"/>
            </w:rPr>
            <w:t>裂缝监测日报表</w:t>
          </w:r>
          <w:r>
            <w:tab/>
          </w:r>
          <w:r>
            <w:fldChar w:fldCharType="begin"/>
          </w:r>
          <w:r>
            <w:instrText xml:space="preserve"> PAGEREF _Toc7120 \h </w:instrText>
          </w:r>
          <w:r>
            <w:fldChar w:fldCharType="separate"/>
          </w:r>
          <w:r>
            <w:t>73</w:t>
          </w:r>
          <w:r>
            <w:fldChar w:fldCharType="end"/>
          </w:r>
          <w:r>
            <w:rPr>
              <w:rFonts w:hint="eastAsia" w:ascii="Times New Roman" w:hAnsi="Times New Roman" w:cs="Times New Roman"/>
              <w:highlight w:val="none"/>
              <w:lang w:val="en-US" w:eastAsia="zh-CN"/>
            </w:rPr>
            <w:fldChar w:fldCharType="end"/>
          </w:r>
        </w:p>
        <w:p w14:paraId="22E77BC2">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_Toc6008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F</w:t>
          </w:r>
          <w:r>
            <w:rPr>
              <w:rFonts w:ascii="Times New Roman" w:hAnsi="Times New Roman" w:cs="Times New Roman"/>
              <w:highlight w:val="none"/>
            </w:rPr>
            <w:t xml:space="preserve"> </w:t>
          </w:r>
          <w:r>
            <w:rPr>
              <w:rFonts w:hint="eastAsia" w:ascii="Times New Roman" w:hAnsi="Times New Roman" w:cs="Times New Roman"/>
              <w:highlight w:val="none"/>
            </w:rPr>
            <w:t>地下水位监测日报表</w:t>
          </w:r>
          <w:r>
            <w:tab/>
          </w:r>
          <w:r>
            <w:fldChar w:fldCharType="begin"/>
          </w:r>
          <w:r>
            <w:instrText xml:space="preserve"> PAGEREF _Toc6008 \h </w:instrText>
          </w:r>
          <w:r>
            <w:fldChar w:fldCharType="separate"/>
          </w:r>
          <w:r>
            <w:t>74</w:t>
          </w:r>
          <w:r>
            <w:fldChar w:fldCharType="end"/>
          </w:r>
          <w:r>
            <w:rPr>
              <w:rFonts w:hint="eastAsia" w:ascii="Times New Roman" w:hAnsi="Times New Roman" w:cs="Times New Roman"/>
              <w:highlight w:val="none"/>
              <w:lang w:val="en-US" w:eastAsia="zh-CN"/>
            </w:rPr>
            <w:fldChar w:fldCharType="end"/>
          </w:r>
        </w:p>
        <w:p w14:paraId="28229894">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_Toc22889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G</w:t>
          </w:r>
          <w:r>
            <w:rPr>
              <w:rFonts w:ascii="Times New Roman" w:hAnsi="Times New Roman" w:cs="Times New Roman"/>
              <w:highlight w:val="none"/>
            </w:rPr>
            <w:t xml:space="preserve"> </w:t>
          </w:r>
          <w:r>
            <w:rPr>
              <w:rFonts w:hint="eastAsia" w:ascii="Times New Roman" w:hAnsi="Times New Roman" w:cs="Times New Roman"/>
              <w:highlight w:val="none"/>
            </w:rPr>
            <w:t>支护结构内力监测日报表</w:t>
          </w:r>
          <w:r>
            <w:tab/>
          </w:r>
          <w:r>
            <w:fldChar w:fldCharType="begin"/>
          </w:r>
          <w:r>
            <w:instrText xml:space="preserve"> PAGEREF _Toc22889 \h </w:instrText>
          </w:r>
          <w:r>
            <w:fldChar w:fldCharType="separate"/>
          </w:r>
          <w:r>
            <w:t>75</w:t>
          </w:r>
          <w:r>
            <w:fldChar w:fldCharType="end"/>
          </w:r>
          <w:r>
            <w:rPr>
              <w:rFonts w:hint="eastAsia" w:ascii="Times New Roman" w:hAnsi="Times New Roman" w:cs="Times New Roman"/>
              <w:highlight w:val="none"/>
              <w:lang w:val="en-US" w:eastAsia="zh-CN"/>
            </w:rPr>
            <w:fldChar w:fldCharType="end"/>
          </w:r>
        </w:p>
        <w:p w14:paraId="1A064C2C">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_Toc22789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H</w:t>
          </w:r>
          <w:r>
            <w:rPr>
              <w:rFonts w:ascii="Times New Roman" w:hAnsi="Times New Roman" w:cs="Times New Roman"/>
              <w:highlight w:val="none"/>
            </w:rPr>
            <w:t xml:space="preserve"> </w:t>
          </w:r>
          <w:r>
            <w:rPr>
              <w:rFonts w:hint="eastAsia" w:ascii="Times New Roman" w:hAnsi="Times New Roman" w:cs="Times New Roman"/>
              <w:highlight w:val="none"/>
            </w:rPr>
            <w:t>锚杆（索）内力监测日报表</w:t>
          </w:r>
          <w:r>
            <w:tab/>
          </w:r>
          <w:r>
            <w:fldChar w:fldCharType="begin"/>
          </w:r>
          <w:r>
            <w:instrText xml:space="preserve"> PAGEREF _Toc22789 \h </w:instrText>
          </w:r>
          <w:r>
            <w:fldChar w:fldCharType="separate"/>
          </w:r>
          <w:r>
            <w:t>76</w:t>
          </w:r>
          <w:r>
            <w:fldChar w:fldCharType="end"/>
          </w:r>
          <w:r>
            <w:rPr>
              <w:rFonts w:hint="eastAsia" w:ascii="Times New Roman" w:hAnsi="Times New Roman" w:cs="Times New Roman"/>
              <w:highlight w:val="none"/>
              <w:lang w:val="en-US" w:eastAsia="zh-CN"/>
            </w:rPr>
            <w:fldChar w:fldCharType="end"/>
          </w:r>
        </w:p>
        <w:p w14:paraId="0B9E5DE7">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_Toc7512 </w:instrText>
          </w:r>
          <w:r>
            <w:rPr>
              <w:rFonts w:hint="eastAsia" w:ascii="Times New Roman" w:hAnsi="Times New Roman" w:cs="Times New Roman"/>
              <w:highlight w:val="none"/>
              <w:lang w:val="en-US" w:eastAsia="zh-CN"/>
            </w:rPr>
            <w:fldChar w:fldCharType="separate"/>
          </w:r>
          <w:r>
            <w:rPr>
              <w:rFonts w:hint="default" w:ascii="Times New Roman" w:hAnsi="Times New Roman" w:cs="Times New Roman"/>
              <w:bCs/>
              <w:spacing w:val="-5"/>
              <w:szCs w:val="28"/>
              <w:highlight w:val="none"/>
            </w:rPr>
            <w:t>附录</w:t>
          </w:r>
          <w:r>
            <w:rPr>
              <w:rFonts w:hint="eastAsia" w:ascii="Times New Roman" w:hAnsi="Times New Roman" w:cs="Times New Roman"/>
              <w:bCs/>
              <w:spacing w:val="-5"/>
              <w:szCs w:val="28"/>
              <w:highlight w:val="none"/>
              <w:lang w:val="en-US" w:eastAsia="zh-CN"/>
            </w:rPr>
            <w:t>I</w:t>
          </w:r>
          <w:r>
            <w:rPr>
              <w:rFonts w:hint="default" w:ascii="Times New Roman" w:hAnsi="Times New Roman" w:cs="Times New Roman"/>
              <w:bCs/>
              <w:spacing w:val="-5"/>
              <w:szCs w:val="28"/>
              <w:highlight w:val="none"/>
            </w:rPr>
            <w:t xml:space="preserve">  监测项目代号和图例</w:t>
          </w:r>
          <w:r>
            <w:tab/>
          </w:r>
          <w:r>
            <w:fldChar w:fldCharType="begin"/>
          </w:r>
          <w:r>
            <w:instrText xml:space="preserve"> PAGEREF _Toc7512 \h </w:instrText>
          </w:r>
          <w:r>
            <w:fldChar w:fldCharType="separate"/>
          </w:r>
          <w:r>
            <w:t>77</w:t>
          </w:r>
          <w:r>
            <w:fldChar w:fldCharType="end"/>
          </w:r>
          <w:r>
            <w:rPr>
              <w:rFonts w:hint="eastAsia" w:ascii="Times New Roman" w:hAnsi="Times New Roman" w:cs="Times New Roman"/>
              <w:highlight w:val="none"/>
              <w:lang w:val="en-US" w:eastAsia="zh-CN"/>
            </w:rPr>
            <w:fldChar w:fldCharType="end"/>
          </w:r>
        </w:p>
        <w:p w14:paraId="0D9D46DB">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_Toc3228 </w:instrText>
          </w:r>
          <w:r>
            <w:rPr>
              <w:rFonts w:hint="eastAsia" w:ascii="Times New Roman" w:hAnsi="Times New Roman" w:cs="Times New Roman"/>
              <w:highlight w:val="none"/>
              <w:lang w:val="en-US" w:eastAsia="zh-CN"/>
            </w:rPr>
            <w:fldChar w:fldCharType="separate"/>
          </w:r>
          <w:r>
            <w:rPr>
              <w:rFonts w:hint="default" w:ascii="Times New Roman" w:hAnsi="Times New Roman" w:cs="Times New Roman"/>
              <w:bCs/>
              <w:spacing w:val="-5"/>
              <w:szCs w:val="28"/>
              <w:highlight w:val="none"/>
            </w:rPr>
            <w:t>附录</w:t>
          </w:r>
          <w:r>
            <w:rPr>
              <w:rFonts w:hint="eastAsia" w:ascii="Times New Roman" w:hAnsi="Times New Roman" w:cs="Times New Roman"/>
              <w:bCs/>
              <w:spacing w:val="-5"/>
              <w:szCs w:val="28"/>
              <w:highlight w:val="none"/>
              <w:lang w:val="en-US" w:eastAsia="zh-CN"/>
            </w:rPr>
            <w:t>J</w:t>
          </w:r>
          <w:r>
            <w:rPr>
              <w:rFonts w:hint="default" w:ascii="Times New Roman" w:hAnsi="Times New Roman" w:cs="Times New Roman"/>
              <w:bCs/>
              <w:spacing w:val="-5"/>
              <w:szCs w:val="28"/>
              <w:highlight w:val="none"/>
            </w:rPr>
            <w:t xml:space="preserve">  巡视检查预警表</w:t>
          </w:r>
          <w:r>
            <w:tab/>
          </w:r>
          <w:r>
            <w:fldChar w:fldCharType="begin"/>
          </w:r>
          <w:r>
            <w:instrText xml:space="preserve"> PAGEREF _Toc3228 \h </w:instrText>
          </w:r>
          <w:r>
            <w:fldChar w:fldCharType="separate"/>
          </w:r>
          <w:r>
            <w:t>79</w:t>
          </w:r>
          <w:r>
            <w:fldChar w:fldCharType="end"/>
          </w:r>
          <w:r>
            <w:rPr>
              <w:rFonts w:hint="eastAsia" w:ascii="Times New Roman" w:hAnsi="Times New Roman" w:cs="Times New Roman"/>
              <w:highlight w:val="none"/>
              <w:lang w:val="en-US" w:eastAsia="zh-CN"/>
            </w:rPr>
            <w:fldChar w:fldCharType="end"/>
          </w:r>
        </w:p>
        <w:p w14:paraId="146B56EA">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_Toc14595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eastAsia="zh-CN"/>
            </w:rPr>
            <w:t>本标准</w:t>
          </w:r>
          <w:r>
            <w:rPr>
              <w:rFonts w:ascii="Times New Roman" w:hAnsi="Times New Roman" w:cs="Times New Roman"/>
              <w:highlight w:val="none"/>
            </w:rPr>
            <w:t>用词说明</w:t>
          </w:r>
          <w:r>
            <w:tab/>
          </w:r>
          <w:r>
            <w:fldChar w:fldCharType="begin"/>
          </w:r>
          <w:r>
            <w:instrText xml:space="preserve"> PAGEREF _Toc14595 \h </w:instrText>
          </w:r>
          <w:r>
            <w:fldChar w:fldCharType="separate"/>
          </w:r>
          <w:r>
            <w:t>81</w:t>
          </w:r>
          <w:r>
            <w:fldChar w:fldCharType="end"/>
          </w:r>
          <w:r>
            <w:rPr>
              <w:rFonts w:hint="eastAsia" w:ascii="Times New Roman" w:hAnsi="Times New Roman" w:cs="Times New Roman"/>
              <w:highlight w:val="none"/>
              <w:lang w:val="en-US" w:eastAsia="zh-CN"/>
            </w:rPr>
            <w:fldChar w:fldCharType="end"/>
          </w:r>
        </w:p>
        <w:p w14:paraId="203DEA03">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_Toc30821 </w:instrText>
          </w:r>
          <w:r>
            <w:rPr>
              <w:rFonts w:hint="eastAsia" w:ascii="Times New Roman" w:hAnsi="Times New Roman" w:cs="Times New Roman"/>
              <w:highlight w:val="none"/>
              <w:lang w:val="en-US" w:eastAsia="zh-CN"/>
            </w:rPr>
            <w:fldChar w:fldCharType="separate"/>
          </w:r>
          <w:r>
            <w:rPr>
              <w:rFonts w:ascii="Times New Roman" w:hAnsi="Times New Roman"/>
            </w:rPr>
            <w:t>引用标准名录</w:t>
          </w:r>
          <w:r>
            <w:tab/>
          </w:r>
          <w:r>
            <w:fldChar w:fldCharType="begin"/>
          </w:r>
          <w:r>
            <w:instrText xml:space="preserve"> PAGEREF _Toc30821 \h </w:instrText>
          </w:r>
          <w:r>
            <w:fldChar w:fldCharType="separate"/>
          </w:r>
          <w:r>
            <w:t>82</w:t>
          </w:r>
          <w:r>
            <w:fldChar w:fldCharType="end"/>
          </w:r>
          <w:r>
            <w:rPr>
              <w:rFonts w:hint="eastAsia" w:ascii="Times New Roman" w:hAnsi="Times New Roman" w:cs="Times New Roman"/>
              <w:highlight w:val="none"/>
              <w:lang w:val="en-US" w:eastAsia="zh-CN"/>
            </w:rPr>
            <w:fldChar w:fldCharType="end"/>
          </w:r>
        </w:p>
        <w:p w14:paraId="300F0426">
          <w:pPr>
            <w:ind w:firstLine="480"/>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fldChar w:fldCharType="end"/>
          </w:r>
        </w:p>
      </w:sdtContent>
    </w:sdt>
    <w:p w14:paraId="4561FE7E">
      <w:pPr>
        <w:pStyle w:val="2"/>
        <w:bidi w:val="0"/>
        <w:outlineLvl w:val="9"/>
        <w:rPr>
          <w:rFonts w:hint="eastAsia" w:ascii="Times New Roman" w:hAnsi="Times New Roman" w:cs="Times New Roman"/>
          <w:b/>
          <w:bCs w:val="0"/>
          <w:highlight w:val="none"/>
          <w:lang w:val="en-US" w:eastAsia="zh-CN"/>
        </w:rPr>
        <w:sectPr>
          <w:footerReference r:id="rId7" w:type="default"/>
          <w:pgSz w:w="11906" w:h="16838"/>
          <w:pgMar w:top="1440" w:right="1800" w:bottom="1440" w:left="1800" w:header="851" w:footer="992" w:gutter="0"/>
          <w:pgNumType w:fmt="decimal"/>
          <w:cols w:space="425" w:num="1"/>
          <w:docGrid w:type="lines" w:linePitch="312" w:charSpace="0"/>
        </w:sectPr>
      </w:pPr>
    </w:p>
    <w:p w14:paraId="63F2A598">
      <w:pPr>
        <w:pStyle w:val="25"/>
      </w:pPr>
      <w:r>
        <w:rPr>
          <w:rFonts w:hint="eastAsia"/>
        </w:rPr>
        <w:t>Contents</w:t>
      </w:r>
    </w:p>
    <w:p w14:paraId="68E870B3">
      <w:pPr>
        <w:pStyle w:val="8"/>
        <w:tabs>
          <w:tab w:val="right" w:leader="dot" w:pos="8306"/>
        </w:tabs>
      </w:pPr>
      <w:r>
        <w:fldChar w:fldCharType="begin"/>
      </w:r>
      <w:r>
        <w:instrText xml:space="preserve"> TOC \o "2-2" \h \z \t "标题 1,1"</w:instrText>
      </w:r>
      <w:r>
        <w:fldChar w:fldCharType="separate"/>
      </w:r>
      <w:r>
        <w:fldChar w:fldCharType="begin"/>
      </w:r>
      <w:r>
        <w:instrText xml:space="preserve"> HYPERLINK \l _Toc21582 </w:instrText>
      </w:r>
      <w:r>
        <w:fldChar w:fldCharType="separate"/>
      </w:r>
      <w:r>
        <w:rPr>
          <w:rFonts w:hint="eastAsia" w:ascii="Times New Roman" w:hAnsi="Times New Roman" w:cs="Times New Roman"/>
          <w:bCs w:val="0"/>
          <w:highlight w:val="none"/>
          <w:lang w:val="en-US" w:eastAsia="zh-CN"/>
        </w:rPr>
        <w:t xml:space="preserve">1 </w:t>
      </w:r>
      <w:r>
        <w:rPr>
          <w:rFonts w:hint="eastAsia" w:cs="Times New Roman"/>
          <w:bCs w:val="0"/>
          <w:highlight w:val="none"/>
          <w:lang w:val="en-US" w:eastAsia="zh-CN"/>
        </w:rPr>
        <w:t xml:space="preserve"> </w:t>
      </w:r>
      <w:r>
        <w:rPr>
          <w:rFonts w:hint="eastAsia" w:cs="Times New Roman"/>
          <w:highlight w:val="none"/>
        </w:rPr>
        <w:t>General Provisions</w:t>
      </w:r>
      <w:r>
        <w:rPr>
          <w:rFonts w:hint="eastAsia" w:cs="Times New Roman"/>
          <w:highlight w:val="none"/>
          <w:lang w:val="en-US" w:eastAsia="zh-CN"/>
        </w:rPr>
        <w:t xml:space="preserve"> </w:t>
      </w:r>
      <w:r>
        <w:tab/>
      </w:r>
      <w:r>
        <w:fldChar w:fldCharType="begin"/>
      </w:r>
      <w:r>
        <w:instrText xml:space="preserve"> PAGEREF _Toc21582 \h </w:instrText>
      </w:r>
      <w:r>
        <w:fldChar w:fldCharType="separate"/>
      </w:r>
      <w:r>
        <w:t>1</w:t>
      </w:r>
      <w:r>
        <w:fldChar w:fldCharType="end"/>
      </w:r>
      <w:r>
        <w:fldChar w:fldCharType="end"/>
      </w:r>
    </w:p>
    <w:p w14:paraId="101E7A6F">
      <w:pPr>
        <w:pStyle w:val="8"/>
        <w:tabs>
          <w:tab w:val="right" w:leader="dot" w:pos="8306"/>
        </w:tabs>
      </w:pPr>
      <w:r>
        <w:fldChar w:fldCharType="begin"/>
      </w:r>
      <w:r>
        <w:instrText xml:space="preserve"> HYPERLINK \l _Toc18636 </w:instrText>
      </w:r>
      <w:r>
        <w:fldChar w:fldCharType="separate"/>
      </w:r>
      <w:r>
        <w:rPr>
          <w:rFonts w:hint="eastAsia" w:ascii="Times New Roman" w:hAnsi="Times New Roman" w:cs="Times New Roman"/>
          <w:highlight w:val="none"/>
          <w:lang w:val="en-US" w:eastAsia="zh-CN"/>
        </w:rPr>
        <w:t xml:space="preserve">2 </w:t>
      </w:r>
      <w:r>
        <w:rPr>
          <w:rFonts w:hint="eastAsia" w:cs="Times New Roman"/>
          <w:highlight w:val="none"/>
          <w:lang w:val="en-US" w:eastAsia="zh-CN"/>
        </w:rPr>
        <w:t xml:space="preserve"> </w:t>
      </w:r>
      <w:r>
        <w:rPr>
          <w:rFonts w:hint="eastAsia" w:cs="Times New Roman"/>
          <w:highlight w:val="none"/>
        </w:rPr>
        <w:t>Terms</w:t>
      </w:r>
      <w:r>
        <w:rPr>
          <w:rFonts w:hint="eastAsia" w:cs="Times New Roman"/>
          <w:highlight w:val="none"/>
          <w:lang w:val="en-US" w:eastAsia="zh-CN"/>
        </w:rPr>
        <w:t xml:space="preserve"> </w:t>
      </w:r>
      <w:r>
        <w:tab/>
      </w:r>
      <w:r>
        <w:fldChar w:fldCharType="begin"/>
      </w:r>
      <w:r>
        <w:instrText xml:space="preserve"> PAGEREF _Toc18636 \h </w:instrText>
      </w:r>
      <w:r>
        <w:fldChar w:fldCharType="separate"/>
      </w:r>
      <w:r>
        <w:t>3</w:t>
      </w:r>
      <w:r>
        <w:fldChar w:fldCharType="end"/>
      </w:r>
      <w:r>
        <w:fldChar w:fldCharType="end"/>
      </w:r>
    </w:p>
    <w:p w14:paraId="6CD16347">
      <w:pPr>
        <w:pStyle w:val="8"/>
        <w:tabs>
          <w:tab w:val="right" w:leader="dot" w:pos="8306"/>
        </w:tabs>
      </w:pPr>
      <w:r>
        <w:fldChar w:fldCharType="begin"/>
      </w:r>
      <w:r>
        <w:instrText xml:space="preserve"> HYPERLINK \l _Toc13230 </w:instrText>
      </w:r>
      <w:r>
        <w:fldChar w:fldCharType="separate"/>
      </w:r>
      <w:r>
        <w:rPr>
          <w:rFonts w:hint="eastAsia" w:ascii="Times New Roman" w:hAnsi="Times New Roman" w:cs="Times New Roman"/>
          <w:highlight w:val="none"/>
          <w:lang w:val="en-US" w:eastAsia="zh-CN"/>
        </w:rPr>
        <w:t xml:space="preserve">3 </w:t>
      </w:r>
      <w:r>
        <w:rPr>
          <w:rFonts w:hint="eastAsia" w:cs="Times New Roman"/>
          <w:highlight w:val="none"/>
          <w:lang w:val="en-US" w:eastAsia="zh-CN"/>
        </w:rPr>
        <w:t xml:space="preserve"> </w:t>
      </w:r>
      <w:r>
        <w:rPr>
          <w:rFonts w:hint="eastAsia" w:cs="Times New Roman"/>
          <w:highlight w:val="none"/>
        </w:rPr>
        <w:t>Basic Requirement</w:t>
      </w:r>
      <w:r>
        <w:rPr>
          <w:rFonts w:hint="eastAsia" w:cs="Times New Roman"/>
          <w:highlight w:val="none"/>
          <w:lang w:val="en-US" w:eastAsia="zh-CN"/>
        </w:rPr>
        <w:t xml:space="preserve"> </w:t>
      </w:r>
      <w:r>
        <w:tab/>
      </w:r>
      <w:r>
        <w:fldChar w:fldCharType="begin"/>
      </w:r>
      <w:r>
        <w:instrText xml:space="preserve"> PAGEREF _Toc13230 \h </w:instrText>
      </w:r>
      <w:r>
        <w:fldChar w:fldCharType="separate"/>
      </w:r>
      <w:r>
        <w:t>7</w:t>
      </w:r>
      <w:r>
        <w:fldChar w:fldCharType="end"/>
      </w:r>
      <w:r>
        <w:fldChar w:fldCharType="end"/>
      </w:r>
    </w:p>
    <w:p w14:paraId="4E502C5C">
      <w:pPr>
        <w:pStyle w:val="8"/>
        <w:tabs>
          <w:tab w:val="right" w:leader="dot" w:pos="8306"/>
        </w:tabs>
      </w:pPr>
      <w:r>
        <w:fldChar w:fldCharType="begin"/>
      </w:r>
      <w:r>
        <w:instrText xml:space="preserve"> HYPERLINK \l _Toc17253 </w:instrText>
      </w:r>
      <w:r>
        <w:fldChar w:fldCharType="separate"/>
      </w:r>
      <w:r>
        <w:rPr>
          <w:rFonts w:hint="eastAsia" w:ascii="Times New Roman" w:hAnsi="Times New Roman" w:cs="Times New Roman"/>
          <w:highlight w:val="none"/>
          <w:lang w:val="en-US" w:eastAsia="zh-CN"/>
        </w:rPr>
        <w:t xml:space="preserve">4 </w:t>
      </w:r>
      <w:r>
        <w:rPr>
          <w:rFonts w:hint="eastAsia" w:cs="Times New Roman"/>
          <w:highlight w:val="none"/>
          <w:lang w:val="en-US" w:eastAsia="zh-CN"/>
        </w:rPr>
        <w:t xml:space="preserve"> </w:t>
      </w:r>
      <w:r>
        <w:rPr>
          <w:rFonts w:hint="eastAsia" w:cs="Times New Roman"/>
          <w:highlight w:val="none"/>
        </w:rPr>
        <w:t>Monitoring Items</w:t>
      </w:r>
      <w:r>
        <w:rPr>
          <w:rFonts w:hint="eastAsia" w:cs="Times New Roman"/>
          <w:highlight w:val="none"/>
          <w:lang w:val="en-US" w:eastAsia="zh-CN"/>
        </w:rPr>
        <w:t xml:space="preserve"> </w:t>
      </w:r>
      <w:r>
        <w:tab/>
      </w:r>
      <w:r>
        <w:fldChar w:fldCharType="begin"/>
      </w:r>
      <w:r>
        <w:instrText xml:space="preserve"> PAGEREF _Toc17253 \h </w:instrText>
      </w:r>
      <w:r>
        <w:fldChar w:fldCharType="separate"/>
      </w:r>
      <w:r>
        <w:t>14</w:t>
      </w:r>
      <w:r>
        <w:fldChar w:fldCharType="end"/>
      </w:r>
      <w:r>
        <w:fldChar w:fldCharType="end"/>
      </w:r>
    </w:p>
    <w:p w14:paraId="1D62BAF4">
      <w:pPr>
        <w:pStyle w:val="9"/>
        <w:tabs>
          <w:tab w:val="right" w:leader="dot" w:pos="8306"/>
        </w:tabs>
      </w:pPr>
      <w:r>
        <w:fldChar w:fldCharType="begin"/>
      </w:r>
      <w:r>
        <w:instrText xml:space="preserve"> HYPERLINK \l _Toc26330 </w:instrText>
      </w:r>
      <w:r>
        <w:fldChar w:fldCharType="separate"/>
      </w:r>
      <w:r>
        <w:rPr>
          <w:rFonts w:hint="eastAsia" w:ascii="Times New Roman" w:hAnsi="Times New Roman" w:cs="Times New Roman"/>
          <w:highlight w:val="none"/>
          <w:lang w:val="en-US" w:eastAsia="zh-CN"/>
        </w:rPr>
        <w:t>4.1</w:t>
      </w:r>
      <w:r>
        <w:rPr>
          <w:rFonts w:hint="eastAsia" w:cs="Times New Roman"/>
          <w:highlight w:val="none"/>
          <w:lang w:val="en-US" w:eastAsia="zh-CN"/>
        </w:rPr>
        <w:t xml:space="preserve">  </w:t>
      </w:r>
      <w:r>
        <w:rPr>
          <w:rFonts w:hint="eastAsia" w:cs="Times New Roman"/>
          <w:highlight w:val="none"/>
        </w:rPr>
        <w:t xml:space="preserve">General Requirements </w:t>
      </w:r>
      <w:r>
        <w:tab/>
      </w:r>
      <w:r>
        <w:fldChar w:fldCharType="begin"/>
      </w:r>
      <w:r>
        <w:instrText xml:space="preserve"> PAGEREF _Toc26330 \h </w:instrText>
      </w:r>
      <w:r>
        <w:fldChar w:fldCharType="separate"/>
      </w:r>
      <w:r>
        <w:t>14</w:t>
      </w:r>
      <w:r>
        <w:fldChar w:fldCharType="end"/>
      </w:r>
      <w:r>
        <w:fldChar w:fldCharType="end"/>
      </w:r>
    </w:p>
    <w:p w14:paraId="770FD709">
      <w:pPr>
        <w:pStyle w:val="9"/>
        <w:tabs>
          <w:tab w:val="right" w:leader="dot" w:pos="8306"/>
        </w:tabs>
      </w:pPr>
      <w:r>
        <w:fldChar w:fldCharType="begin"/>
      </w:r>
      <w:r>
        <w:instrText xml:space="preserve"> HYPERLINK \l _Toc31137 </w:instrText>
      </w:r>
      <w:r>
        <w:fldChar w:fldCharType="separate"/>
      </w:r>
      <w:r>
        <w:rPr>
          <w:rFonts w:hint="eastAsia" w:ascii="Times New Roman" w:hAnsi="Times New Roman" w:cs="Times New Roman"/>
          <w:highlight w:val="none"/>
          <w:lang w:val="en-US" w:eastAsia="zh-CN"/>
        </w:rPr>
        <w:t xml:space="preserve">4.2 </w:t>
      </w:r>
      <w:r>
        <w:rPr>
          <w:rFonts w:hint="eastAsia" w:cs="Times New Roman"/>
          <w:highlight w:val="none"/>
          <w:lang w:val="en-US" w:eastAsia="zh-CN"/>
        </w:rPr>
        <w:t xml:space="preserve"> </w:t>
      </w:r>
      <w:r>
        <w:rPr>
          <w:rFonts w:hint="eastAsia" w:cs="Times New Roman"/>
          <w:highlight w:val="none"/>
        </w:rPr>
        <w:t>Instrument Monitoring</w:t>
      </w:r>
      <w:r>
        <w:rPr>
          <w:rFonts w:hint="eastAsia" w:cs="Times New Roman"/>
          <w:highlight w:val="none"/>
          <w:lang w:val="en-US" w:eastAsia="zh-CN"/>
        </w:rPr>
        <w:t xml:space="preserve"> </w:t>
      </w:r>
      <w:r>
        <w:tab/>
      </w:r>
      <w:r>
        <w:fldChar w:fldCharType="begin"/>
      </w:r>
      <w:r>
        <w:instrText xml:space="preserve"> PAGEREF _Toc31137 \h </w:instrText>
      </w:r>
      <w:r>
        <w:fldChar w:fldCharType="separate"/>
      </w:r>
      <w:r>
        <w:t>15</w:t>
      </w:r>
      <w:r>
        <w:fldChar w:fldCharType="end"/>
      </w:r>
      <w:r>
        <w:fldChar w:fldCharType="end"/>
      </w:r>
    </w:p>
    <w:p w14:paraId="51934D8A">
      <w:pPr>
        <w:pStyle w:val="9"/>
        <w:tabs>
          <w:tab w:val="right" w:leader="dot" w:pos="8306"/>
        </w:tabs>
      </w:pPr>
      <w:r>
        <w:fldChar w:fldCharType="begin"/>
      </w:r>
      <w:r>
        <w:instrText xml:space="preserve"> HYPERLINK \l _Toc11016 </w:instrText>
      </w:r>
      <w:r>
        <w:fldChar w:fldCharType="separate"/>
      </w:r>
      <w:r>
        <w:rPr>
          <w:rFonts w:hint="eastAsia" w:ascii="Times New Roman" w:hAnsi="Times New Roman" w:cs="Times New Roman"/>
          <w:highlight w:val="none"/>
          <w:lang w:val="en-US" w:eastAsia="zh-CN"/>
        </w:rPr>
        <w:t xml:space="preserve">4.3 </w:t>
      </w:r>
      <w:r>
        <w:rPr>
          <w:rFonts w:hint="eastAsia" w:cs="Times New Roman"/>
          <w:highlight w:val="none"/>
          <w:lang w:val="en-US" w:eastAsia="zh-CN"/>
        </w:rPr>
        <w:t xml:space="preserve"> </w:t>
      </w:r>
      <w:r>
        <w:rPr>
          <w:rFonts w:hint="eastAsia" w:cs="Times New Roman"/>
          <w:highlight w:val="none"/>
        </w:rPr>
        <w:t xml:space="preserve">Inspection and Examination </w:t>
      </w:r>
      <w:r>
        <w:tab/>
      </w:r>
      <w:r>
        <w:fldChar w:fldCharType="begin"/>
      </w:r>
      <w:r>
        <w:instrText xml:space="preserve"> PAGEREF _Toc11016 \h </w:instrText>
      </w:r>
      <w:r>
        <w:fldChar w:fldCharType="separate"/>
      </w:r>
      <w:r>
        <w:t>16</w:t>
      </w:r>
      <w:r>
        <w:fldChar w:fldCharType="end"/>
      </w:r>
      <w:r>
        <w:fldChar w:fldCharType="end"/>
      </w:r>
    </w:p>
    <w:p w14:paraId="40962E97">
      <w:pPr>
        <w:pStyle w:val="8"/>
        <w:tabs>
          <w:tab w:val="right" w:leader="dot" w:pos="8306"/>
        </w:tabs>
      </w:pPr>
      <w:r>
        <w:fldChar w:fldCharType="begin"/>
      </w:r>
      <w:r>
        <w:instrText xml:space="preserve"> HYPERLINK \l _Toc25082 </w:instrText>
      </w:r>
      <w:r>
        <w:fldChar w:fldCharType="separate"/>
      </w:r>
      <w:r>
        <w:rPr>
          <w:rFonts w:hint="eastAsia" w:ascii="Times New Roman" w:hAnsi="Times New Roman" w:cs="Times New Roman"/>
          <w:highlight w:val="none"/>
          <w:lang w:val="en-US" w:eastAsia="zh-CN"/>
        </w:rPr>
        <w:t xml:space="preserve">5 </w:t>
      </w:r>
      <w:r>
        <w:rPr>
          <w:rFonts w:hint="eastAsia" w:cs="Times New Roman"/>
          <w:highlight w:val="none"/>
          <w:lang w:val="en-US" w:eastAsia="zh-CN"/>
        </w:rPr>
        <w:t xml:space="preserve"> </w:t>
      </w:r>
      <w:r>
        <w:rPr>
          <w:rFonts w:hint="eastAsia" w:cs="Times New Roman"/>
          <w:highlight w:val="none"/>
        </w:rPr>
        <w:t>Layout of Measuring Points</w:t>
      </w:r>
      <w:r>
        <w:rPr>
          <w:rFonts w:hint="eastAsia" w:cs="Times New Roman"/>
          <w:highlight w:val="none"/>
          <w:lang w:val="en-US" w:eastAsia="zh-CN"/>
        </w:rPr>
        <w:t xml:space="preserve"> </w:t>
      </w:r>
      <w:r>
        <w:tab/>
      </w:r>
      <w:r>
        <w:fldChar w:fldCharType="begin"/>
      </w:r>
      <w:r>
        <w:instrText xml:space="preserve"> PAGEREF _Toc25082 \h </w:instrText>
      </w:r>
      <w:r>
        <w:fldChar w:fldCharType="separate"/>
      </w:r>
      <w:r>
        <w:t>20</w:t>
      </w:r>
      <w:r>
        <w:fldChar w:fldCharType="end"/>
      </w:r>
      <w:r>
        <w:fldChar w:fldCharType="end"/>
      </w:r>
    </w:p>
    <w:p w14:paraId="55C53783">
      <w:pPr>
        <w:pStyle w:val="9"/>
        <w:tabs>
          <w:tab w:val="right" w:leader="dot" w:pos="8306"/>
        </w:tabs>
      </w:pPr>
      <w:r>
        <w:fldChar w:fldCharType="begin"/>
      </w:r>
      <w:r>
        <w:instrText xml:space="preserve"> HYPERLINK \l _Toc14120 </w:instrText>
      </w:r>
      <w:r>
        <w:fldChar w:fldCharType="separate"/>
      </w:r>
      <w:r>
        <w:rPr>
          <w:rFonts w:hint="eastAsia" w:ascii="Times New Roman" w:hAnsi="Times New Roman" w:cs="Times New Roman"/>
          <w:highlight w:val="none"/>
          <w:lang w:val="en-US" w:eastAsia="zh-CN"/>
        </w:rPr>
        <w:t>5.1</w:t>
      </w:r>
      <w:r>
        <w:rPr>
          <w:rFonts w:hint="eastAsia" w:cs="Times New Roman"/>
          <w:highlight w:val="none"/>
          <w:lang w:val="en-US" w:eastAsia="zh-CN"/>
        </w:rPr>
        <w:t xml:space="preserve">  </w:t>
      </w:r>
      <w:r>
        <w:rPr>
          <w:rFonts w:hint="eastAsia" w:cs="Times New Roman"/>
          <w:highlight w:val="none"/>
        </w:rPr>
        <w:t xml:space="preserve">General Requirements </w:t>
      </w:r>
      <w:r>
        <w:tab/>
      </w:r>
      <w:r>
        <w:fldChar w:fldCharType="begin"/>
      </w:r>
      <w:r>
        <w:instrText xml:space="preserve"> PAGEREF _Toc14120 \h </w:instrText>
      </w:r>
      <w:r>
        <w:fldChar w:fldCharType="separate"/>
      </w:r>
      <w:r>
        <w:t>20</w:t>
      </w:r>
      <w:r>
        <w:fldChar w:fldCharType="end"/>
      </w:r>
      <w:r>
        <w:fldChar w:fldCharType="end"/>
      </w:r>
    </w:p>
    <w:p w14:paraId="39AFD0DE">
      <w:pPr>
        <w:pStyle w:val="9"/>
        <w:tabs>
          <w:tab w:val="right" w:leader="dot" w:pos="8306"/>
        </w:tabs>
      </w:pPr>
      <w:r>
        <w:fldChar w:fldCharType="begin"/>
      </w:r>
      <w:r>
        <w:instrText xml:space="preserve"> HYPERLINK \l _Toc11512 </w:instrText>
      </w:r>
      <w:r>
        <w:fldChar w:fldCharType="separate"/>
      </w:r>
      <w:r>
        <w:rPr>
          <w:rFonts w:hint="eastAsia" w:ascii="Times New Roman" w:hAnsi="Times New Roman" w:cs="Times New Roman"/>
          <w:highlight w:val="none"/>
          <w:lang w:val="en-US" w:eastAsia="zh-CN"/>
        </w:rPr>
        <w:t xml:space="preserve">5.2 </w:t>
      </w:r>
      <w:r>
        <w:rPr>
          <w:rFonts w:hint="eastAsia" w:cs="Times New Roman"/>
          <w:highlight w:val="none"/>
          <w:lang w:val="en-US" w:eastAsia="zh-CN"/>
        </w:rPr>
        <w:t xml:space="preserve"> </w:t>
      </w:r>
      <w:r>
        <w:rPr>
          <w:rFonts w:hint="eastAsia" w:cs="Times New Roman"/>
          <w:highlight w:val="none"/>
          <w:lang w:eastAsia="zh-CN"/>
        </w:rPr>
        <w:t>S</w:t>
      </w:r>
      <w:r>
        <w:rPr>
          <w:rFonts w:hint="eastAsia" w:cs="Times New Roman"/>
          <w:highlight w:val="none"/>
        </w:rPr>
        <w:t>upporting structure</w:t>
      </w:r>
      <w:r>
        <w:rPr>
          <w:rFonts w:hint="eastAsia" w:cs="Times New Roman"/>
          <w:highlight w:val="none"/>
          <w:lang w:val="en-US" w:eastAsia="zh-CN"/>
        </w:rPr>
        <w:t xml:space="preserve"> </w:t>
      </w:r>
      <w:r>
        <w:tab/>
      </w:r>
      <w:r>
        <w:fldChar w:fldCharType="begin"/>
      </w:r>
      <w:r>
        <w:instrText xml:space="preserve"> PAGEREF _Toc11512 \h </w:instrText>
      </w:r>
      <w:r>
        <w:fldChar w:fldCharType="separate"/>
      </w:r>
      <w:r>
        <w:t>21</w:t>
      </w:r>
      <w:r>
        <w:fldChar w:fldCharType="end"/>
      </w:r>
      <w:r>
        <w:fldChar w:fldCharType="end"/>
      </w:r>
    </w:p>
    <w:p w14:paraId="04FE0F9D">
      <w:pPr>
        <w:pStyle w:val="9"/>
        <w:tabs>
          <w:tab w:val="right" w:leader="dot" w:pos="8306"/>
        </w:tabs>
      </w:pPr>
      <w:r>
        <w:fldChar w:fldCharType="begin"/>
      </w:r>
      <w:r>
        <w:instrText xml:space="preserve"> HYPERLINK \l _Toc27374 </w:instrText>
      </w:r>
      <w:r>
        <w:fldChar w:fldCharType="separate"/>
      </w:r>
      <w:r>
        <w:rPr>
          <w:rFonts w:hint="eastAsia" w:ascii="Times New Roman" w:hAnsi="Times New Roman" w:cs="Times New Roman"/>
          <w:highlight w:val="none"/>
          <w:lang w:val="en-US" w:eastAsia="zh-CN"/>
        </w:rPr>
        <w:t xml:space="preserve">5.3 </w:t>
      </w:r>
      <w:r>
        <w:rPr>
          <w:rFonts w:hint="eastAsia" w:cs="Times New Roman"/>
          <w:highlight w:val="none"/>
          <w:lang w:val="en-US" w:eastAsia="zh-CN"/>
        </w:rPr>
        <w:t xml:space="preserve"> </w:t>
      </w:r>
      <w:r>
        <w:rPr>
          <w:rFonts w:hint="eastAsia" w:cs="Times New Roman"/>
          <w:highlight w:val="none"/>
        </w:rPr>
        <w:t>Surrounding environment</w:t>
      </w:r>
      <w:r>
        <w:rPr>
          <w:rFonts w:hint="eastAsia" w:cs="Times New Roman"/>
          <w:highlight w:val="none"/>
          <w:lang w:val="en-US" w:eastAsia="zh-CN"/>
        </w:rPr>
        <w:t xml:space="preserve"> </w:t>
      </w:r>
      <w:r>
        <w:tab/>
      </w:r>
      <w:r>
        <w:fldChar w:fldCharType="begin"/>
      </w:r>
      <w:r>
        <w:instrText xml:space="preserve"> PAGEREF _Toc27374 \h </w:instrText>
      </w:r>
      <w:r>
        <w:fldChar w:fldCharType="separate"/>
      </w:r>
      <w:r>
        <w:t>24</w:t>
      </w:r>
      <w:r>
        <w:fldChar w:fldCharType="end"/>
      </w:r>
      <w:r>
        <w:fldChar w:fldCharType="end"/>
      </w:r>
    </w:p>
    <w:p w14:paraId="2318B95F">
      <w:pPr>
        <w:pStyle w:val="9"/>
        <w:tabs>
          <w:tab w:val="right" w:leader="dot" w:pos="8306"/>
        </w:tabs>
      </w:pPr>
      <w:r>
        <w:fldChar w:fldCharType="begin"/>
      </w:r>
      <w:r>
        <w:instrText xml:space="preserve"> HYPERLINK \l _Toc5260 </w:instrText>
      </w:r>
      <w:r>
        <w:fldChar w:fldCharType="separate"/>
      </w:r>
      <w:r>
        <w:rPr>
          <w:rFonts w:hint="eastAsia" w:ascii="Times New Roman" w:hAnsi="Times New Roman" w:cs="Times New Roman"/>
          <w:highlight w:val="none"/>
          <w:lang w:val="en-US" w:eastAsia="zh-CN"/>
        </w:rPr>
        <w:t xml:space="preserve">5.4 </w:t>
      </w:r>
      <w:r>
        <w:rPr>
          <w:rFonts w:hint="eastAsia" w:cs="Times New Roman"/>
          <w:highlight w:val="none"/>
          <w:lang w:val="en-US" w:eastAsia="zh-CN"/>
        </w:rPr>
        <w:t xml:space="preserve"> </w:t>
      </w:r>
      <w:r>
        <w:rPr>
          <w:rFonts w:hint="eastAsia"/>
        </w:rPr>
        <w:t>Slope rock and soil mass, water body</w:t>
      </w:r>
      <w:r>
        <w:rPr>
          <w:rFonts w:hint="eastAsia" w:cs="Times New Roman"/>
          <w:highlight w:val="none"/>
          <w:lang w:val="en-US" w:eastAsia="zh-CN"/>
        </w:rPr>
        <w:t xml:space="preserve"> </w:t>
      </w:r>
      <w:r>
        <w:tab/>
      </w:r>
      <w:r>
        <w:fldChar w:fldCharType="begin"/>
      </w:r>
      <w:r>
        <w:instrText xml:space="preserve"> PAGEREF _Toc5260 \h </w:instrText>
      </w:r>
      <w:r>
        <w:fldChar w:fldCharType="separate"/>
      </w:r>
      <w:r>
        <w:t>26</w:t>
      </w:r>
      <w:r>
        <w:fldChar w:fldCharType="end"/>
      </w:r>
      <w:r>
        <w:fldChar w:fldCharType="end"/>
      </w:r>
    </w:p>
    <w:p w14:paraId="4EE47402">
      <w:pPr>
        <w:pStyle w:val="9"/>
        <w:tabs>
          <w:tab w:val="right" w:leader="dot" w:pos="8306"/>
        </w:tabs>
      </w:pPr>
      <w:r>
        <w:fldChar w:fldCharType="begin"/>
      </w:r>
      <w:r>
        <w:instrText xml:space="preserve"> HYPERLINK \l _Toc26652 </w:instrText>
      </w:r>
      <w:r>
        <w:fldChar w:fldCharType="separate"/>
      </w:r>
      <w:r>
        <w:rPr>
          <w:rFonts w:hint="eastAsia" w:ascii="Times New Roman" w:hAnsi="Times New Roman" w:cs="Times New Roman"/>
          <w:highlight w:val="none"/>
          <w:lang w:val="en-US" w:eastAsia="zh-CN"/>
        </w:rPr>
        <w:t xml:space="preserve">5.5 </w:t>
      </w:r>
      <w:r>
        <w:rPr>
          <w:rFonts w:hint="eastAsia" w:cs="Times New Roman"/>
          <w:highlight w:val="none"/>
          <w:lang w:val="en-US" w:eastAsia="zh-CN"/>
        </w:rPr>
        <w:t xml:space="preserve"> </w:t>
      </w:r>
      <w:r>
        <w:rPr>
          <w:rFonts w:hint="eastAsia" w:cs="Times New Roman"/>
          <w:highlight w:val="none"/>
        </w:rPr>
        <w:t>Other objects that need to be monitored</w:t>
      </w:r>
      <w:r>
        <w:rPr>
          <w:rFonts w:hint="eastAsia" w:cs="Times New Roman"/>
          <w:highlight w:val="none"/>
          <w:lang w:val="en-US" w:eastAsia="zh-CN"/>
        </w:rPr>
        <w:t xml:space="preserve"> </w:t>
      </w:r>
      <w:r>
        <w:tab/>
      </w:r>
      <w:r>
        <w:fldChar w:fldCharType="begin"/>
      </w:r>
      <w:r>
        <w:instrText xml:space="preserve"> PAGEREF _Toc26652 \h </w:instrText>
      </w:r>
      <w:r>
        <w:fldChar w:fldCharType="separate"/>
      </w:r>
      <w:r>
        <w:t>27</w:t>
      </w:r>
      <w:r>
        <w:fldChar w:fldCharType="end"/>
      </w:r>
      <w:r>
        <w:fldChar w:fldCharType="end"/>
      </w:r>
    </w:p>
    <w:p w14:paraId="736A977A">
      <w:pPr>
        <w:pStyle w:val="8"/>
        <w:tabs>
          <w:tab w:val="right" w:leader="dot" w:pos="8306"/>
        </w:tabs>
      </w:pPr>
      <w:r>
        <w:fldChar w:fldCharType="begin"/>
      </w:r>
      <w:r>
        <w:instrText xml:space="preserve"> HYPERLINK \l _Toc19295 </w:instrText>
      </w:r>
      <w:r>
        <w:fldChar w:fldCharType="separate"/>
      </w:r>
      <w:r>
        <w:rPr>
          <w:rFonts w:hint="eastAsia" w:ascii="Times New Roman" w:hAnsi="Times New Roman" w:cs="Times New Roman"/>
          <w:highlight w:val="none"/>
          <w:lang w:val="en-US" w:eastAsia="zh-CN"/>
        </w:rPr>
        <w:t xml:space="preserve">6 </w:t>
      </w:r>
      <w:r>
        <w:rPr>
          <w:rFonts w:hint="eastAsia" w:cs="Times New Roman"/>
          <w:highlight w:val="none"/>
          <w:lang w:val="en-US" w:eastAsia="zh-CN"/>
        </w:rPr>
        <w:t xml:space="preserve"> </w:t>
      </w:r>
      <w:r>
        <w:rPr>
          <w:rFonts w:hint="eastAsia" w:cs="Times New Roman"/>
          <w:highlight w:val="none"/>
        </w:rPr>
        <w:t xml:space="preserve">Monitoring Implementation and Precision Requirements </w:t>
      </w:r>
      <w:r>
        <w:tab/>
      </w:r>
      <w:r>
        <w:fldChar w:fldCharType="begin"/>
      </w:r>
      <w:r>
        <w:instrText xml:space="preserve"> PAGEREF _Toc19295 \h </w:instrText>
      </w:r>
      <w:r>
        <w:fldChar w:fldCharType="separate"/>
      </w:r>
      <w:r>
        <w:t>31</w:t>
      </w:r>
      <w:r>
        <w:fldChar w:fldCharType="end"/>
      </w:r>
      <w:r>
        <w:fldChar w:fldCharType="end"/>
      </w:r>
    </w:p>
    <w:p w14:paraId="64128D37">
      <w:pPr>
        <w:pStyle w:val="9"/>
        <w:tabs>
          <w:tab w:val="right" w:leader="dot" w:pos="8306"/>
        </w:tabs>
      </w:pPr>
      <w:r>
        <w:fldChar w:fldCharType="begin"/>
      </w:r>
      <w:r>
        <w:instrText xml:space="preserve"> HYPERLINK \l _Toc23089 </w:instrText>
      </w:r>
      <w:r>
        <w:fldChar w:fldCharType="separate"/>
      </w:r>
      <w:r>
        <w:rPr>
          <w:rFonts w:hint="eastAsia" w:ascii="Times New Roman" w:hAnsi="Times New Roman" w:cs="Times New Roman"/>
          <w:highlight w:val="none"/>
          <w:lang w:val="en-US" w:eastAsia="zh-CN"/>
        </w:rPr>
        <w:t>6.1</w:t>
      </w:r>
      <w:r>
        <w:rPr>
          <w:rFonts w:hint="eastAsia" w:cs="Times New Roman"/>
          <w:highlight w:val="none"/>
          <w:lang w:val="en-US" w:eastAsia="zh-CN"/>
        </w:rPr>
        <w:t xml:space="preserve">  </w:t>
      </w:r>
      <w:r>
        <w:rPr>
          <w:rFonts w:hint="eastAsia" w:cs="Times New Roman"/>
          <w:highlight w:val="none"/>
        </w:rPr>
        <w:t xml:space="preserve">General Requirements </w:t>
      </w:r>
      <w:r>
        <w:tab/>
      </w:r>
      <w:r>
        <w:fldChar w:fldCharType="begin"/>
      </w:r>
      <w:r>
        <w:instrText xml:space="preserve"> PAGEREF _Toc23089 \h </w:instrText>
      </w:r>
      <w:r>
        <w:fldChar w:fldCharType="separate"/>
      </w:r>
      <w:r>
        <w:t>31</w:t>
      </w:r>
      <w:r>
        <w:fldChar w:fldCharType="end"/>
      </w:r>
      <w:r>
        <w:fldChar w:fldCharType="end"/>
      </w:r>
    </w:p>
    <w:p w14:paraId="2BF915F2">
      <w:pPr>
        <w:pStyle w:val="9"/>
        <w:tabs>
          <w:tab w:val="right" w:leader="dot" w:pos="8306"/>
        </w:tabs>
      </w:pPr>
      <w:r>
        <w:fldChar w:fldCharType="begin"/>
      </w:r>
      <w:r>
        <w:instrText xml:space="preserve"> HYPERLINK \l _Toc19611 </w:instrText>
      </w:r>
      <w:r>
        <w:fldChar w:fldCharType="separate"/>
      </w:r>
      <w:r>
        <w:rPr>
          <w:rFonts w:hint="eastAsia" w:ascii="Times New Roman" w:hAnsi="Times New Roman" w:cs="Times New Roman"/>
          <w:highlight w:val="none"/>
          <w:lang w:val="en-US" w:eastAsia="zh-CN"/>
        </w:rPr>
        <w:t xml:space="preserve">6.2 </w:t>
      </w:r>
      <w:r>
        <w:rPr>
          <w:rFonts w:hint="eastAsia" w:cs="Times New Roman"/>
          <w:highlight w:val="none"/>
          <w:lang w:val="en-US" w:eastAsia="zh-CN"/>
        </w:rPr>
        <w:t xml:space="preserve"> </w:t>
      </w:r>
      <w:r>
        <w:rPr>
          <w:rFonts w:hint="eastAsia" w:cs="Times New Roman"/>
          <w:highlight w:val="none"/>
        </w:rPr>
        <w:t>Manual monitoring</w:t>
      </w:r>
      <w:r>
        <w:tab/>
      </w:r>
      <w:r>
        <w:fldChar w:fldCharType="begin"/>
      </w:r>
      <w:r>
        <w:instrText xml:space="preserve"> PAGEREF _Toc19611 \h </w:instrText>
      </w:r>
      <w:r>
        <w:fldChar w:fldCharType="separate"/>
      </w:r>
      <w:r>
        <w:t>35</w:t>
      </w:r>
      <w:r>
        <w:fldChar w:fldCharType="end"/>
      </w:r>
      <w:r>
        <w:fldChar w:fldCharType="end"/>
      </w:r>
    </w:p>
    <w:p w14:paraId="331A95FE">
      <w:pPr>
        <w:pStyle w:val="9"/>
        <w:tabs>
          <w:tab w:val="right" w:leader="dot" w:pos="8306"/>
        </w:tabs>
      </w:pPr>
      <w:r>
        <w:fldChar w:fldCharType="begin"/>
      </w:r>
      <w:r>
        <w:instrText xml:space="preserve"> HYPERLINK \l _Toc32428 </w:instrText>
      </w:r>
      <w:r>
        <w:fldChar w:fldCharType="separate"/>
      </w:r>
      <w:r>
        <w:rPr>
          <w:rFonts w:hint="eastAsia" w:ascii="Times New Roman" w:hAnsi="Times New Roman" w:cs="Times New Roman"/>
          <w:highlight w:val="none"/>
          <w:lang w:val="en-US" w:eastAsia="zh-CN"/>
        </w:rPr>
        <w:t xml:space="preserve">6.3 </w:t>
      </w:r>
      <w:r>
        <w:rPr>
          <w:rFonts w:hint="eastAsia" w:cs="Times New Roman"/>
          <w:highlight w:val="none"/>
          <w:lang w:val="en-US" w:eastAsia="zh-CN"/>
        </w:rPr>
        <w:t xml:space="preserve"> A</w:t>
      </w:r>
      <w:r>
        <w:rPr>
          <w:rFonts w:hint="eastAsia" w:cs="Times New Roman"/>
          <w:highlight w:val="none"/>
        </w:rPr>
        <w:t>utomatic monitoring</w:t>
      </w:r>
      <w:r>
        <w:tab/>
      </w:r>
      <w:r>
        <w:fldChar w:fldCharType="begin"/>
      </w:r>
      <w:r>
        <w:instrText xml:space="preserve"> PAGEREF _Toc32428 \h </w:instrText>
      </w:r>
      <w:r>
        <w:fldChar w:fldCharType="separate"/>
      </w:r>
      <w:r>
        <w:t>46</w:t>
      </w:r>
      <w:r>
        <w:fldChar w:fldCharType="end"/>
      </w:r>
      <w:r>
        <w:fldChar w:fldCharType="end"/>
      </w:r>
    </w:p>
    <w:p w14:paraId="16C93B49">
      <w:pPr>
        <w:pStyle w:val="8"/>
        <w:tabs>
          <w:tab w:val="right" w:leader="dot" w:pos="8306"/>
        </w:tabs>
      </w:pPr>
      <w:r>
        <w:fldChar w:fldCharType="begin"/>
      </w:r>
      <w:r>
        <w:instrText xml:space="preserve"> HYPERLINK \l _Toc23231 </w:instrText>
      </w:r>
      <w:r>
        <w:fldChar w:fldCharType="separate"/>
      </w:r>
      <w:r>
        <w:rPr>
          <w:rFonts w:hint="eastAsia" w:ascii="Times New Roman" w:hAnsi="Times New Roman" w:cs="Times New Roman"/>
          <w:highlight w:val="none"/>
          <w:lang w:val="en-US" w:eastAsia="zh-CN"/>
        </w:rPr>
        <w:t xml:space="preserve">7 </w:t>
      </w:r>
      <w:r>
        <w:rPr>
          <w:rFonts w:hint="eastAsia" w:cs="Times New Roman"/>
          <w:highlight w:val="none"/>
          <w:lang w:val="en-US" w:eastAsia="zh-CN"/>
        </w:rPr>
        <w:t xml:space="preserve"> </w:t>
      </w:r>
      <w:r>
        <w:rPr>
          <w:rFonts w:hint="eastAsia" w:cs="Times New Roman"/>
          <w:highlight w:val="none"/>
        </w:rPr>
        <w:t>Monitoring period and frequency</w:t>
      </w:r>
      <w:r>
        <w:rPr>
          <w:rFonts w:hint="eastAsia" w:cs="Times New Roman"/>
          <w:highlight w:val="none"/>
          <w:lang w:val="en-US" w:eastAsia="zh-CN"/>
        </w:rPr>
        <w:t xml:space="preserve"> </w:t>
      </w:r>
      <w:r>
        <w:tab/>
      </w:r>
      <w:r>
        <w:fldChar w:fldCharType="begin"/>
      </w:r>
      <w:r>
        <w:instrText xml:space="preserve"> PAGEREF _Toc23231 \h </w:instrText>
      </w:r>
      <w:r>
        <w:fldChar w:fldCharType="separate"/>
      </w:r>
      <w:r>
        <w:t>60</w:t>
      </w:r>
      <w:r>
        <w:fldChar w:fldCharType="end"/>
      </w:r>
      <w:r>
        <w:fldChar w:fldCharType="end"/>
      </w:r>
    </w:p>
    <w:p w14:paraId="284BD123">
      <w:pPr>
        <w:pStyle w:val="9"/>
        <w:tabs>
          <w:tab w:val="right" w:leader="dot" w:pos="8306"/>
        </w:tabs>
      </w:pPr>
      <w:r>
        <w:fldChar w:fldCharType="begin"/>
      </w:r>
      <w:r>
        <w:instrText xml:space="preserve"> HYPERLINK \l _Toc1315 </w:instrText>
      </w:r>
      <w:r>
        <w:fldChar w:fldCharType="separate"/>
      </w:r>
      <w:r>
        <w:rPr>
          <w:rFonts w:hint="eastAsia" w:ascii="Times New Roman" w:hAnsi="Times New Roman" w:cs="Times New Roman"/>
          <w:highlight w:val="none"/>
          <w:lang w:val="en-US" w:eastAsia="zh-CN"/>
        </w:rPr>
        <w:t>7.1</w:t>
      </w:r>
      <w:r>
        <w:rPr>
          <w:rFonts w:hint="eastAsia" w:cs="Times New Roman"/>
          <w:highlight w:val="none"/>
          <w:lang w:val="en-US" w:eastAsia="zh-CN"/>
        </w:rPr>
        <w:t xml:space="preserve">  </w:t>
      </w:r>
      <w:r>
        <w:rPr>
          <w:rFonts w:hint="eastAsia" w:cs="Times New Roman"/>
          <w:highlight w:val="none"/>
        </w:rPr>
        <w:t xml:space="preserve">General Requirements </w:t>
      </w:r>
      <w:r>
        <w:tab/>
      </w:r>
      <w:r>
        <w:fldChar w:fldCharType="begin"/>
      </w:r>
      <w:r>
        <w:instrText xml:space="preserve"> PAGEREF _Toc1315 \h </w:instrText>
      </w:r>
      <w:r>
        <w:fldChar w:fldCharType="separate"/>
      </w:r>
      <w:r>
        <w:t>60</w:t>
      </w:r>
      <w:r>
        <w:fldChar w:fldCharType="end"/>
      </w:r>
      <w:r>
        <w:fldChar w:fldCharType="end"/>
      </w:r>
    </w:p>
    <w:p w14:paraId="1A54DE14">
      <w:pPr>
        <w:pStyle w:val="9"/>
        <w:tabs>
          <w:tab w:val="right" w:leader="dot" w:pos="8306"/>
        </w:tabs>
      </w:pPr>
      <w:r>
        <w:fldChar w:fldCharType="begin"/>
      </w:r>
      <w:r>
        <w:instrText xml:space="preserve"> HYPERLINK \l _Toc18898 </w:instrText>
      </w:r>
      <w:r>
        <w:fldChar w:fldCharType="separate"/>
      </w:r>
      <w:r>
        <w:rPr>
          <w:rFonts w:hint="eastAsia" w:ascii="Times New Roman" w:hAnsi="Times New Roman" w:cs="Times New Roman"/>
          <w:highlight w:val="none"/>
          <w:shd w:val="clear"/>
          <w:lang w:val="en-US" w:eastAsia="zh-CN"/>
        </w:rPr>
        <w:t xml:space="preserve">7.2 </w:t>
      </w:r>
      <w:r>
        <w:rPr>
          <w:rFonts w:hint="eastAsia" w:cs="Times New Roman"/>
          <w:highlight w:val="none"/>
          <w:shd w:val="clear"/>
          <w:lang w:val="en-US" w:eastAsia="zh-CN"/>
        </w:rPr>
        <w:t xml:space="preserve"> </w:t>
      </w:r>
      <w:r>
        <w:rPr>
          <w:rFonts w:hint="eastAsia" w:cs="Times New Roman"/>
          <w:highlight w:val="none"/>
        </w:rPr>
        <w:t>Monitoring period</w:t>
      </w:r>
      <w:r>
        <w:rPr>
          <w:rFonts w:hint="eastAsia" w:cs="Times New Roman"/>
          <w:highlight w:val="none"/>
          <w:lang w:val="en-US" w:eastAsia="zh-CN"/>
        </w:rPr>
        <w:t xml:space="preserve"> </w:t>
      </w:r>
      <w:r>
        <w:tab/>
      </w:r>
      <w:r>
        <w:fldChar w:fldCharType="begin"/>
      </w:r>
      <w:r>
        <w:instrText xml:space="preserve"> PAGEREF _Toc18898 \h </w:instrText>
      </w:r>
      <w:r>
        <w:fldChar w:fldCharType="separate"/>
      </w:r>
      <w:r>
        <w:t>60</w:t>
      </w:r>
      <w:r>
        <w:fldChar w:fldCharType="end"/>
      </w:r>
      <w:r>
        <w:fldChar w:fldCharType="end"/>
      </w:r>
    </w:p>
    <w:p w14:paraId="51921D2E">
      <w:pPr>
        <w:pStyle w:val="9"/>
        <w:tabs>
          <w:tab w:val="right" w:leader="dot" w:pos="8306"/>
        </w:tabs>
      </w:pPr>
      <w:r>
        <w:fldChar w:fldCharType="begin"/>
      </w:r>
      <w:r>
        <w:instrText xml:space="preserve"> HYPERLINK \l _Toc28961 </w:instrText>
      </w:r>
      <w:r>
        <w:fldChar w:fldCharType="separate"/>
      </w:r>
      <w:r>
        <w:rPr>
          <w:rFonts w:hint="eastAsia" w:ascii="Times New Roman" w:hAnsi="Times New Roman" w:cs="Times New Roman"/>
          <w:highlight w:val="none"/>
          <w:lang w:val="en-US" w:eastAsia="zh-CN"/>
        </w:rPr>
        <w:t>7.3</w:t>
      </w:r>
      <w:r>
        <w:rPr>
          <w:rFonts w:hint="eastAsia" w:cs="Times New Roman"/>
          <w:highlight w:val="none"/>
          <w:lang w:val="en-US" w:eastAsia="zh-CN"/>
        </w:rPr>
        <w:t xml:space="preserve"> </w:t>
      </w:r>
      <w:r>
        <w:rPr>
          <w:rFonts w:hint="eastAsia" w:ascii="Times New Roman" w:hAnsi="Times New Roman" w:cs="Times New Roman"/>
          <w:highlight w:val="none"/>
          <w:lang w:val="en-US" w:eastAsia="zh-CN"/>
        </w:rPr>
        <w:t xml:space="preserve"> </w:t>
      </w:r>
      <w:r>
        <w:rPr>
          <w:rFonts w:hint="eastAsia" w:cs="Times New Roman"/>
          <w:highlight w:val="none"/>
        </w:rPr>
        <w:t>Monitoring frequency</w:t>
      </w:r>
      <w:r>
        <w:rPr>
          <w:rFonts w:hint="eastAsia" w:cs="Times New Roman"/>
          <w:highlight w:val="none"/>
          <w:lang w:val="en-US" w:eastAsia="zh-CN"/>
        </w:rPr>
        <w:t xml:space="preserve"> </w:t>
      </w:r>
      <w:r>
        <w:tab/>
      </w:r>
      <w:r>
        <w:fldChar w:fldCharType="begin"/>
      </w:r>
      <w:r>
        <w:instrText xml:space="preserve"> PAGEREF _Toc28961 \h </w:instrText>
      </w:r>
      <w:r>
        <w:fldChar w:fldCharType="separate"/>
      </w:r>
      <w:r>
        <w:t>60</w:t>
      </w:r>
      <w:r>
        <w:fldChar w:fldCharType="end"/>
      </w:r>
      <w:r>
        <w:fldChar w:fldCharType="end"/>
      </w:r>
    </w:p>
    <w:p w14:paraId="7B02E0F0">
      <w:pPr>
        <w:pStyle w:val="8"/>
        <w:tabs>
          <w:tab w:val="right" w:leader="dot" w:pos="8306"/>
        </w:tabs>
      </w:pPr>
      <w:r>
        <w:fldChar w:fldCharType="begin"/>
      </w:r>
      <w:r>
        <w:instrText xml:space="preserve"> HYPERLINK \l _Toc6221 </w:instrText>
      </w:r>
      <w:r>
        <w:fldChar w:fldCharType="separate"/>
      </w:r>
      <w:r>
        <w:rPr>
          <w:rFonts w:hint="eastAsia" w:ascii="Times New Roman" w:hAnsi="Times New Roman" w:cs="Times New Roman"/>
          <w:highlight w:val="none"/>
          <w:lang w:val="en-US" w:eastAsia="zh-CN"/>
        </w:rPr>
        <w:t xml:space="preserve">8 </w:t>
      </w:r>
      <w:r>
        <w:rPr>
          <w:rFonts w:hint="eastAsia" w:cs="Times New Roman"/>
          <w:highlight w:val="none"/>
          <w:lang w:val="en-US" w:eastAsia="zh-CN"/>
        </w:rPr>
        <w:t xml:space="preserve"> </w:t>
      </w:r>
      <w:r>
        <w:rPr>
          <w:rFonts w:hint="eastAsia" w:cs="Times New Roman"/>
          <w:highlight w:val="none"/>
        </w:rPr>
        <w:t>Monitoring and warning values</w:t>
      </w:r>
      <w:r>
        <w:rPr>
          <w:rFonts w:hint="eastAsia" w:cs="Times New Roman"/>
          <w:highlight w:val="none"/>
          <w:lang w:val="en-US" w:eastAsia="zh-CN"/>
        </w:rPr>
        <w:t xml:space="preserve"> </w:t>
      </w:r>
      <w:r>
        <w:tab/>
      </w:r>
      <w:r>
        <w:fldChar w:fldCharType="begin"/>
      </w:r>
      <w:r>
        <w:instrText xml:space="preserve"> PAGEREF _Toc6221 \h </w:instrText>
      </w:r>
      <w:r>
        <w:fldChar w:fldCharType="separate"/>
      </w:r>
      <w:r>
        <w:t>62</w:t>
      </w:r>
      <w:r>
        <w:fldChar w:fldCharType="end"/>
      </w:r>
      <w:r>
        <w:fldChar w:fldCharType="end"/>
      </w:r>
    </w:p>
    <w:p w14:paraId="00FE5F2B">
      <w:pPr>
        <w:pStyle w:val="8"/>
        <w:tabs>
          <w:tab w:val="right" w:leader="dot" w:pos="8306"/>
        </w:tabs>
      </w:pPr>
      <w:r>
        <w:fldChar w:fldCharType="begin"/>
      </w:r>
      <w:r>
        <w:instrText xml:space="preserve"> HYPERLINK \l _Toc5106 </w:instrText>
      </w:r>
      <w:r>
        <w:fldChar w:fldCharType="separate"/>
      </w:r>
      <w:r>
        <w:rPr>
          <w:rFonts w:hint="eastAsia" w:ascii="Times New Roman" w:hAnsi="Times New Roman" w:cs="Times New Roman"/>
          <w:highlight w:val="none"/>
          <w:lang w:val="en-US" w:eastAsia="zh-CN"/>
        </w:rPr>
        <w:t xml:space="preserve">9 </w:t>
      </w:r>
      <w:r>
        <w:rPr>
          <w:rFonts w:hint="eastAsia" w:cs="Times New Roman"/>
          <w:highlight w:val="none"/>
        </w:rPr>
        <w:t xml:space="preserve"> Data Processing and Information Feedback </w:t>
      </w:r>
      <w:r>
        <w:tab/>
      </w:r>
      <w:r>
        <w:fldChar w:fldCharType="begin"/>
      </w:r>
      <w:r>
        <w:instrText xml:space="preserve"> PAGEREF _Toc5106 \h </w:instrText>
      </w:r>
      <w:r>
        <w:fldChar w:fldCharType="separate"/>
      </w:r>
      <w:r>
        <w:t>66</w:t>
      </w:r>
      <w:r>
        <w:fldChar w:fldCharType="end"/>
      </w:r>
      <w:r>
        <w:fldChar w:fldCharType="end"/>
      </w:r>
    </w:p>
    <w:p w14:paraId="52738E7E">
      <w:pPr>
        <w:pStyle w:val="9"/>
        <w:tabs>
          <w:tab w:val="right" w:leader="dot" w:pos="8306"/>
        </w:tabs>
      </w:pPr>
      <w:r>
        <w:fldChar w:fldCharType="begin"/>
      </w:r>
      <w:r>
        <w:instrText xml:space="preserve"> HYPERLINK \l _Toc13367 </w:instrText>
      </w:r>
      <w:r>
        <w:fldChar w:fldCharType="separate"/>
      </w:r>
      <w:r>
        <w:rPr>
          <w:rFonts w:hint="eastAsia" w:cs="Times New Roman"/>
          <w:highlight w:val="none"/>
        </w:rPr>
        <w:t>Appendix A</w:t>
      </w:r>
      <w:r>
        <w:rPr>
          <w:rFonts w:hint="eastAsia" w:cs="Times New Roman"/>
          <w:highlight w:val="none"/>
          <w:lang w:val="en-US" w:eastAsia="zh-CN"/>
        </w:rPr>
        <w:t xml:space="preserve">  </w:t>
      </w:r>
      <w:r>
        <w:rPr>
          <w:rFonts w:hint="eastAsia" w:cs="Times New Roman"/>
          <w:highlight w:val="none"/>
        </w:rPr>
        <w:t>Daily Report on Vertical Displacement Monitoring</w:t>
      </w:r>
      <w:r>
        <w:rPr>
          <w:rFonts w:hint="eastAsia" w:cs="Times New Roman"/>
          <w:highlight w:val="none"/>
          <w:lang w:val="en-US" w:eastAsia="zh-CN"/>
        </w:rPr>
        <w:t xml:space="preserve"> </w:t>
      </w:r>
      <w:r>
        <w:tab/>
      </w:r>
      <w:r>
        <w:fldChar w:fldCharType="begin"/>
      </w:r>
      <w:r>
        <w:instrText xml:space="preserve"> PAGEREF _Toc13367 \h </w:instrText>
      </w:r>
      <w:r>
        <w:fldChar w:fldCharType="separate"/>
      </w:r>
      <w:r>
        <w:t>68</w:t>
      </w:r>
      <w:r>
        <w:fldChar w:fldCharType="end"/>
      </w:r>
      <w:r>
        <w:fldChar w:fldCharType="end"/>
      </w:r>
    </w:p>
    <w:p w14:paraId="3D5BED2E">
      <w:pPr>
        <w:pStyle w:val="9"/>
        <w:tabs>
          <w:tab w:val="right" w:leader="dot" w:pos="8306"/>
        </w:tabs>
      </w:pPr>
      <w:r>
        <w:fldChar w:fldCharType="begin"/>
      </w:r>
      <w:r>
        <w:instrText xml:space="preserve"> HYPERLINK \l _Toc9664 </w:instrText>
      </w:r>
      <w:r>
        <w:fldChar w:fldCharType="separate"/>
      </w:r>
      <w:r>
        <w:rPr>
          <w:rFonts w:hint="eastAsia" w:cs="Times New Roman"/>
          <w:highlight w:val="none"/>
        </w:rPr>
        <w:t>Appendix B</w:t>
      </w:r>
      <w:r>
        <w:rPr>
          <w:rFonts w:hint="eastAsia" w:cs="Times New Roman"/>
          <w:highlight w:val="none"/>
          <w:lang w:eastAsia="zh-CN"/>
        </w:rPr>
        <w:t xml:space="preserve"> </w:t>
      </w:r>
      <w:r>
        <w:rPr>
          <w:rFonts w:hint="eastAsia" w:cs="Times New Roman"/>
          <w:highlight w:val="none"/>
          <w:lang w:val="en-US" w:eastAsia="zh-CN"/>
        </w:rPr>
        <w:t xml:space="preserve"> </w:t>
      </w:r>
      <w:r>
        <w:rPr>
          <w:rFonts w:hint="eastAsia" w:cs="Times New Roman"/>
          <w:highlight w:val="none"/>
        </w:rPr>
        <w:t>Daily Report on Horizontal Displacement Monitoring</w:t>
      </w:r>
      <w:r>
        <w:rPr>
          <w:rFonts w:hint="eastAsia" w:cs="Times New Roman"/>
          <w:highlight w:val="none"/>
          <w:lang w:val="en-US" w:eastAsia="zh-CN"/>
        </w:rPr>
        <w:t xml:space="preserve"> </w:t>
      </w:r>
      <w:r>
        <w:tab/>
      </w:r>
      <w:r>
        <w:fldChar w:fldCharType="begin"/>
      </w:r>
      <w:r>
        <w:instrText xml:space="preserve"> PAGEREF _Toc9664 \h </w:instrText>
      </w:r>
      <w:r>
        <w:fldChar w:fldCharType="separate"/>
      </w:r>
      <w:r>
        <w:t>69</w:t>
      </w:r>
      <w:r>
        <w:fldChar w:fldCharType="end"/>
      </w:r>
      <w:r>
        <w:fldChar w:fldCharType="end"/>
      </w:r>
    </w:p>
    <w:p w14:paraId="1728BFCA">
      <w:pPr>
        <w:pStyle w:val="9"/>
        <w:tabs>
          <w:tab w:val="right" w:leader="dot" w:pos="8306"/>
        </w:tabs>
      </w:pPr>
      <w:r>
        <w:fldChar w:fldCharType="begin"/>
      </w:r>
      <w:r>
        <w:instrText xml:space="preserve"> HYPERLINK \l _Toc30280 </w:instrText>
      </w:r>
      <w:r>
        <w:fldChar w:fldCharType="separate"/>
      </w:r>
      <w:r>
        <w:rPr>
          <w:rFonts w:hint="eastAsia" w:cs="Times New Roman"/>
          <w:highlight w:val="none"/>
        </w:rPr>
        <w:t>Appendix C</w:t>
      </w:r>
      <w:r>
        <w:rPr>
          <w:rFonts w:hint="eastAsia" w:cs="Times New Roman"/>
          <w:highlight w:val="none"/>
          <w:lang w:eastAsia="zh-CN"/>
        </w:rPr>
        <w:t xml:space="preserve"> </w:t>
      </w:r>
      <w:r>
        <w:rPr>
          <w:rFonts w:hint="eastAsia" w:cs="Times New Roman"/>
          <w:highlight w:val="none"/>
          <w:lang w:val="en-US" w:eastAsia="zh-CN"/>
        </w:rPr>
        <w:t xml:space="preserve"> </w:t>
      </w:r>
      <w:r>
        <w:rPr>
          <w:rFonts w:hint="eastAsia" w:cs="Times New Roman"/>
          <w:highlight w:val="none"/>
        </w:rPr>
        <w:t>Daily Report on Deep Horizontal Displacement Monitoring</w:t>
      </w:r>
      <w:r>
        <w:rPr>
          <w:rFonts w:hint="eastAsia" w:cs="Times New Roman"/>
          <w:highlight w:val="none"/>
          <w:lang w:val="en-US" w:eastAsia="zh-CN"/>
        </w:rPr>
        <w:t xml:space="preserve"> </w:t>
      </w:r>
      <w:r>
        <w:tab/>
      </w:r>
      <w:r>
        <w:fldChar w:fldCharType="begin"/>
      </w:r>
      <w:r>
        <w:instrText xml:space="preserve"> PAGEREF _Toc30280 \h </w:instrText>
      </w:r>
      <w:r>
        <w:fldChar w:fldCharType="separate"/>
      </w:r>
      <w:r>
        <w:t>70</w:t>
      </w:r>
      <w:r>
        <w:fldChar w:fldCharType="end"/>
      </w:r>
      <w:r>
        <w:fldChar w:fldCharType="end"/>
      </w:r>
    </w:p>
    <w:p w14:paraId="1867CE02">
      <w:pPr>
        <w:pStyle w:val="9"/>
        <w:tabs>
          <w:tab w:val="right" w:leader="dot" w:pos="8306"/>
        </w:tabs>
      </w:pPr>
      <w:r>
        <w:fldChar w:fldCharType="begin"/>
      </w:r>
      <w:r>
        <w:instrText xml:space="preserve"> HYPERLINK \l _Toc180 </w:instrText>
      </w:r>
      <w:r>
        <w:fldChar w:fldCharType="separate"/>
      </w:r>
      <w:r>
        <w:rPr>
          <w:rFonts w:hint="eastAsia" w:cs="Times New Roman"/>
          <w:highlight w:val="none"/>
        </w:rPr>
        <w:t>Appendix D</w:t>
      </w:r>
      <w:r>
        <w:rPr>
          <w:rFonts w:hint="eastAsia" w:cs="Times New Roman"/>
          <w:highlight w:val="none"/>
          <w:lang w:eastAsia="zh-CN"/>
        </w:rPr>
        <w:t xml:space="preserve"> </w:t>
      </w:r>
      <w:r>
        <w:rPr>
          <w:rFonts w:hint="eastAsia" w:cs="Times New Roman"/>
          <w:highlight w:val="none"/>
          <w:lang w:val="en-US" w:eastAsia="zh-CN"/>
        </w:rPr>
        <w:t xml:space="preserve"> </w:t>
      </w:r>
      <w:r>
        <w:rPr>
          <w:rFonts w:hint="eastAsia" w:cs="Times New Roman"/>
          <w:highlight w:val="none"/>
        </w:rPr>
        <w:t>Daily Report on</w:t>
      </w:r>
      <w:r>
        <w:rPr>
          <w:rFonts w:hint="eastAsia" w:cs="Times New Roman"/>
          <w:highlight w:val="none"/>
          <w:lang w:val="en-US" w:eastAsia="zh-CN"/>
        </w:rPr>
        <w:t xml:space="preserve"> </w:t>
      </w:r>
      <w:r>
        <w:rPr>
          <w:rFonts w:hint="eastAsia" w:cs="Times New Roman"/>
          <w:highlight w:val="none"/>
        </w:rPr>
        <w:t>Tilt Monitoring</w:t>
      </w:r>
      <w:r>
        <w:rPr>
          <w:rFonts w:hint="eastAsia" w:cs="Times New Roman"/>
          <w:highlight w:val="none"/>
          <w:lang w:val="en-US" w:eastAsia="zh-CN"/>
        </w:rPr>
        <w:t xml:space="preserve"> </w:t>
      </w:r>
      <w:r>
        <w:tab/>
      </w:r>
      <w:r>
        <w:fldChar w:fldCharType="begin"/>
      </w:r>
      <w:r>
        <w:instrText xml:space="preserve"> PAGEREF _Toc180 \h </w:instrText>
      </w:r>
      <w:r>
        <w:fldChar w:fldCharType="separate"/>
      </w:r>
      <w:r>
        <w:t>71</w:t>
      </w:r>
      <w:r>
        <w:fldChar w:fldCharType="end"/>
      </w:r>
      <w:r>
        <w:fldChar w:fldCharType="end"/>
      </w:r>
    </w:p>
    <w:p w14:paraId="0AC08474">
      <w:pPr>
        <w:pStyle w:val="9"/>
        <w:tabs>
          <w:tab w:val="right" w:leader="dot" w:pos="8306"/>
        </w:tabs>
      </w:pPr>
      <w:r>
        <w:fldChar w:fldCharType="begin"/>
      </w:r>
      <w:r>
        <w:instrText xml:space="preserve"> HYPERLINK \l _Toc27414 </w:instrText>
      </w:r>
      <w:r>
        <w:fldChar w:fldCharType="separate"/>
      </w:r>
      <w:r>
        <w:rPr>
          <w:rFonts w:hint="eastAsia" w:cs="Times New Roman"/>
          <w:highlight w:val="none"/>
        </w:rPr>
        <w:t xml:space="preserve">Appendix </w:t>
      </w:r>
      <w:r>
        <w:rPr>
          <w:rFonts w:hint="eastAsia" w:cs="Times New Roman"/>
          <w:highlight w:val="none"/>
          <w:lang w:val="en-US" w:eastAsia="zh-CN"/>
        </w:rPr>
        <w:t>E</w:t>
      </w:r>
      <w:r>
        <w:rPr>
          <w:rFonts w:hint="eastAsia" w:cs="Times New Roman"/>
          <w:highlight w:val="none"/>
          <w:lang w:eastAsia="zh-CN"/>
        </w:rPr>
        <w:t xml:space="preserve"> </w:t>
      </w:r>
      <w:r>
        <w:rPr>
          <w:rFonts w:hint="eastAsia" w:cs="Times New Roman"/>
          <w:highlight w:val="none"/>
          <w:lang w:val="en-US" w:eastAsia="zh-CN"/>
        </w:rPr>
        <w:t xml:space="preserve"> </w:t>
      </w:r>
      <w:r>
        <w:rPr>
          <w:rFonts w:hint="eastAsia" w:cs="Times New Roman"/>
          <w:highlight w:val="none"/>
        </w:rPr>
        <w:t>Daily Report on</w:t>
      </w:r>
      <w:r>
        <w:rPr>
          <w:rFonts w:hint="eastAsia" w:cs="Times New Roman"/>
          <w:highlight w:val="none"/>
          <w:lang w:val="en-US" w:eastAsia="zh-CN"/>
        </w:rPr>
        <w:t xml:space="preserve"> </w:t>
      </w:r>
      <w:r>
        <w:rPr>
          <w:rFonts w:hint="eastAsia" w:cs="Times New Roman"/>
          <w:highlight w:val="none"/>
        </w:rPr>
        <w:t>CrackMonitoring</w:t>
      </w:r>
      <w:r>
        <w:tab/>
      </w:r>
      <w:r>
        <w:fldChar w:fldCharType="begin"/>
      </w:r>
      <w:r>
        <w:instrText xml:space="preserve"> PAGEREF _Toc27414 \h </w:instrText>
      </w:r>
      <w:r>
        <w:fldChar w:fldCharType="separate"/>
      </w:r>
      <w:r>
        <w:t>73</w:t>
      </w:r>
      <w:r>
        <w:fldChar w:fldCharType="end"/>
      </w:r>
      <w:r>
        <w:fldChar w:fldCharType="end"/>
      </w:r>
    </w:p>
    <w:p w14:paraId="621BEE92">
      <w:pPr>
        <w:pStyle w:val="9"/>
        <w:tabs>
          <w:tab w:val="right" w:leader="dot" w:pos="8306"/>
        </w:tabs>
      </w:pPr>
      <w:r>
        <w:fldChar w:fldCharType="begin"/>
      </w:r>
      <w:r>
        <w:instrText xml:space="preserve"> HYPERLINK \l _Toc22002 </w:instrText>
      </w:r>
      <w:r>
        <w:fldChar w:fldCharType="separate"/>
      </w:r>
      <w:r>
        <w:rPr>
          <w:rFonts w:hint="eastAsia" w:cs="Times New Roman"/>
          <w:highlight w:val="none"/>
        </w:rPr>
        <w:t xml:space="preserve">Appendix </w:t>
      </w:r>
      <w:r>
        <w:rPr>
          <w:rFonts w:hint="eastAsia" w:cs="Times New Roman"/>
          <w:highlight w:val="none"/>
          <w:lang w:val="en-US" w:eastAsia="zh-CN"/>
        </w:rPr>
        <w:t>F</w:t>
      </w:r>
      <w:r>
        <w:rPr>
          <w:rFonts w:hint="eastAsia" w:cs="Times New Roman"/>
          <w:highlight w:val="none"/>
          <w:lang w:eastAsia="zh-CN"/>
        </w:rPr>
        <w:t xml:space="preserve"> </w:t>
      </w:r>
      <w:r>
        <w:rPr>
          <w:rFonts w:hint="eastAsia" w:cs="Times New Roman"/>
          <w:highlight w:val="none"/>
          <w:lang w:val="en-US" w:eastAsia="zh-CN"/>
        </w:rPr>
        <w:t xml:space="preserve"> </w:t>
      </w:r>
      <w:r>
        <w:rPr>
          <w:rFonts w:hint="eastAsia" w:cs="Times New Roman"/>
          <w:highlight w:val="none"/>
        </w:rPr>
        <w:t>Daily Report on</w:t>
      </w:r>
      <w:r>
        <w:rPr>
          <w:rFonts w:hint="eastAsia" w:cs="Times New Roman"/>
          <w:highlight w:val="none"/>
          <w:lang w:val="en-US" w:eastAsia="zh-CN"/>
        </w:rPr>
        <w:t xml:space="preserve"> W</w:t>
      </w:r>
      <w:r>
        <w:rPr>
          <w:rFonts w:hint="eastAsia" w:cs="Times New Roman"/>
          <w:highlight w:val="none"/>
        </w:rPr>
        <w:t xml:space="preserve">ater </w:t>
      </w:r>
      <w:r>
        <w:rPr>
          <w:rFonts w:hint="eastAsia" w:cs="Times New Roman"/>
          <w:highlight w:val="none"/>
          <w:lang w:val="en-US" w:eastAsia="zh-CN"/>
        </w:rPr>
        <w:t>L</w:t>
      </w:r>
      <w:r>
        <w:rPr>
          <w:rFonts w:hint="eastAsia" w:cs="Times New Roman"/>
          <w:highlight w:val="none"/>
        </w:rPr>
        <w:t>evelMonitoring</w:t>
      </w:r>
      <w:r>
        <w:tab/>
      </w:r>
      <w:r>
        <w:fldChar w:fldCharType="begin"/>
      </w:r>
      <w:r>
        <w:instrText xml:space="preserve"> PAGEREF _Toc22002 \h </w:instrText>
      </w:r>
      <w:r>
        <w:fldChar w:fldCharType="separate"/>
      </w:r>
      <w:r>
        <w:t>74</w:t>
      </w:r>
      <w:r>
        <w:fldChar w:fldCharType="end"/>
      </w:r>
      <w:r>
        <w:fldChar w:fldCharType="end"/>
      </w:r>
    </w:p>
    <w:p w14:paraId="40A8DAF9">
      <w:pPr>
        <w:pStyle w:val="9"/>
        <w:tabs>
          <w:tab w:val="right" w:leader="dot" w:pos="8306"/>
        </w:tabs>
      </w:pPr>
      <w:r>
        <w:fldChar w:fldCharType="begin"/>
      </w:r>
      <w:r>
        <w:instrText xml:space="preserve"> HYPERLINK \l _Toc650 </w:instrText>
      </w:r>
      <w:r>
        <w:fldChar w:fldCharType="separate"/>
      </w:r>
      <w:r>
        <w:rPr>
          <w:rFonts w:hint="eastAsia" w:cs="Times New Roman"/>
          <w:highlight w:val="none"/>
        </w:rPr>
        <w:t xml:space="preserve">Appendix </w:t>
      </w:r>
      <w:r>
        <w:rPr>
          <w:rFonts w:hint="eastAsia" w:ascii="Times New Roman" w:hAnsi="Times New Roman" w:cs="Times New Roman"/>
          <w:highlight w:val="none"/>
          <w:lang w:val="en-US" w:eastAsia="zh-CN"/>
        </w:rPr>
        <w:t>G</w:t>
      </w:r>
      <w:r>
        <w:rPr>
          <w:rFonts w:hint="eastAsia" w:cs="Times New Roman"/>
          <w:highlight w:val="none"/>
          <w:lang w:val="en-US" w:eastAsia="zh-CN"/>
        </w:rPr>
        <w:t xml:space="preserve">  </w:t>
      </w:r>
      <w:r>
        <w:rPr>
          <w:rFonts w:hint="eastAsia" w:cs="Times New Roman"/>
          <w:highlight w:val="none"/>
        </w:rPr>
        <w:t>Daily Report on Internal Force Monitoring of Supporting Structures</w:t>
      </w:r>
      <w:r>
        <w:tab/>
      </w:r>
      <w:r>
        <w:fldChar w:fldCharType="begin"/>
      </w:r>
      <w:r>
        <w:instrText xml:space="preserve"> PAGEREF _Toc650 \h </w:instrText>
      </w:r>
      <w:r>
        <w:fldChar w:fldCharType="separate"/>
      </w:r>
      <w:r>
        <w:t>75</w:t>
      </w:r>
      <w:r>
        <w:fldChar w:fldCharType="end"/>
      </w:r>
      <w:r>
        <w:fldChar w:fldCharType="end"/>
      </w:r>
    </w:p>
    <w:p w14:paraId="494691BE">
      <w:pPr>
        <w:pStyle w:val="9"/>
        <w:tabs>
          <w:tab w:val="right" w:leader="dot" w:pos="8306"/>
        </w:tabs>
      </w:pPr>
      <w:r>
        <w:fldChar w:fldCharType="begin"/>
      </w:r>
      <w:r>
        <w:instrText xml:space="preserve"> HYPERLINK \l _Toc13227 </w:instrText>
      </w:r>
      <w:r>
        <w:fldChar w:fldCharType="separate"/>
      </w:r>
      <w:r>
        <w:rPr>
          <w:rFonts w:hint="eastAsia" w:cs="Times New Roman"/>
          <w:highlight w:val="none"/>
        </w:rPr>
        <w:t>Appendix</w:t>
      </w:r>
      <w:r>
        <w:rPr>
          <w:rFonts w:hint="eastAsia" w:cs="Times New Roman"/>
          <w:highlight w:val="none"/>
          <w:lang w:val="en-US" w:eastAsia="zh-CN"/>
        </w:rPr>
        <w:t xml:space="preserve"> </w:t>
      </w:r>
      <w:r>
        <w:rPr>
          <w:rFonts w:hint="eastAsia" w:ascii="Times New Roman" w:hAnsi="Times New Roman" w:cs="Times New Roman"/>
          <w:highlight w:val="none"/>
          <w:lang w:val="en-US" w:eastAsia="zh-CN"/>
        </w:rPr>
        <w:t>H</w:t>
      </w:r>
      <w:r>
        <w:rPr>
          <w:rFonts w:ascii="Times New Roman" w:hAnsi="Times New Roman" w:cs="Times New Roman"/>
          <w:highlight w:val="none"/>
        </w:rPr>
        <w:t xml:space="preserve"> </w:t>
      </w:r>
      <w:r>
        <w:rPr>
          <w:rFonts w:hint="eastAsia" w:cs="Times New Roman"/>
          <w:highlight w:val="none"/>
        </w:rPr>
        <w:t>Daily Report on Internal Force Monitoring of Anchor Rod(Cable)</w:t>
      </w:r>
      <w:r>
        <w:tab/>
      </w:r>
      <w:r>
        <w:fldChar w:fldCharType="begin"/>
      </w:r>
      <w:r>
        <w:instrText xml:space="preserve"> PAGEREF _Toc13227 \h </w:instrText>
      </w:r>
      <w:r>
        <w:fldChar w:fldCharType="separate"/>
      </w:r>
      <w:r>
        <w:t>76</w:t>
      </w:r>
      <w:r>
        <w:fldChar w:fldCharType="end"/>
      </w:r>
      <w:r>
        <w:fldChar w:fldCharType="end"/>
      </w:r>
    </w:p>
    <w:p w14:paraId="3777CE34">
      <w:pPr>
        <w:pStyle w:val="8"/>
        <w:tabs>
          <w:tab w:val="right" w:leader="dot" w:pos="8306"/>
        </w:tabs>
      </w:pPr>
      <w:r>
        <w:fldChar w:fldCharType="begin"/>
      </w:r>
      <w:r>
        <w:instrText xml:space="preserve"> HYPERLINK \l _Toc16442 </w:instrText>
      </w:r>
      <w:r>
        <w:fldChar w:fldCharType="separate"/>
      </w:r>
      <w:r>
        <w:rPr>
          <w:rFonts w:hint="eastAsia" w:cs="Times New Roman"/>
          <w:highlight w:val="none"/>
        </w:rPr>
        <w:t>Explanation of Working in This Code Standards</w:t>
      </w:r>
      <w:r>
        <w:rPr>
          <w:rFonts w:hint="eastAsia" w:cs="Times New Roman"/>
          <w:highlight w:val="none"/>
          <w:lang w:val="en-US" w:eastAsia="zh-CN"/>
        </w:rPr>
        <w:t xml:space="preserve"> </w:t>
      </w:r>
      <w:r>
        <w:tab/>
      </w:r>
      <w:r>
        <w:fldChar w:fldCharType="begin"/>
      </w:r>
      <w:r>
        <w:instrText xml:space="preserve"> PAGEREF _Toc16442 \h </w:instrText>
      </w:r>
      <w:r>
        <w:fldChar w:fldCharType="separate"/>
      </w:r>
      <w:r>
        <w:t>81</w:t>
      </w:r>
      <w:r>
        <w:fldChar w:fldCharType="end"/>
      </w:r>
      <w:r>
        <w:fldChar w:fldCharType="end"/>
      </w:r>
    </w:p>
    <w:p w14:paraId="680B0F96">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_Toc30821 </w:instrText>
      </w:r>
      <w:r>
        <w:rPr>
          <w:rFonts w:hint="eastAsia" w:ascii="Times New Roman" w:hAnsi="Times New Roman" w:cs="Times New Roman"/>
          <w:highlight w:val="none"/>
          <w:lang w:val="en-US" w:eastAsia="zh-CN"/>
        </w:rPr>
        <w:fldChar w:fldCharType="separate"/>
      </w:r>
      <w:r>
        <w:rPr>
          <w:rFonts w:hint="eastAsia"/>
        </w:rPr>
        <w:t xml:space="preserve">List of Quoted Standards </w:t>
      </w:r>
      <w:r>
        <w:tab/>
      </w:r>
      <w:r>
        <w:fldChar w:fldCharType="begin"/>
      </w:r>
      <w:r>
        <w:instrText xml:space="preserve"> PAGEREF _Toc30821 \h </w:instrText>
      </w:r>
      <w:r>
        <w:fldChar w:fldCharType="separate"/>
      </w:r>
      <w:r>
        <w:t>82</w:t>
      </w:r>
      <w:r>
        <w:fldChar w:fldCharType="end"/>
      </w:r>
      <w:r>
        <w:rPr>
          <w:rFonts w:hint="eastAsia" w:ascii="Times New Roman" w:hAnsi="Times New Roman" w:cs="Times New Roman"/>
          <w:highlight w:val="none"/>
          <w:lang w:val="en-US" w:eastAsia="zh-CN"/>
        </w:rPr>
        <w:fldChar w:fldCharType="end"/>
      </w:r>
    </w:p>
    <w:p w14:paraId="3DFAA839"/>
    <w:p w14:paraId="342525A9">
      <w:pPr>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fldChar w:fldCharType="end"/>
      </w:r>
    </w:p>
    <w:p w14:paraId="4DF114A1">
      <w:pPr>
        <w:pStyle w:val="2"/>
        <w:bidi w:val="0"/>
        <w:rPr>
          <w:rFonts w:hint="eastAsia" w:ascii="Times New Roman" w:hAnsi="Times New Roman" w:cs="Times New Roman"/>
          <w:b/>
          <w:bCs w:val="0"/>
          <w:highlight w:val="none"/>
          <w:lang w:val="en-US" w:eastAsia="zh-CN"/>
        </w:rPr>
      </w:pPr>
      <w:bookmarkStart w:id="2" w:name="_Toc16779"/>
      <w:bookmarkStart w:id="3" w:name="_Toc7794"/>
      <w:bookmarkStart w:id="4" w:name="_Toc21582"/>
      <w:bookmarkStart w:id="5" w:name="_Toc15980"/>
      <w:bookmarkStart w:id="6" w:name="_Toc20833"/>
      <w:bookmarkStart w:id="7" w:name="_Toc20661"/>
      <w:bookmarkStart w:id="8" w:name="_Toc6292"/>
      <w:r>
        <w:rPr>
          <w:rFonts w:hint="eastAsia" w:ascii="Times New Roman" w:hAnsi="Times New Roman" w:cs="Times New Roman"/>
          <w:b/>
          <w:bCs w:val="0"/>
          <w:highlight w:val="none"/>
          <w:lang w:val="en-US" w:eastAsia="zh-CN"/>
        </w:rPr>
        <w:t>1 总则</w:t>
      </w:r>
      <w:bookmarkEnd w:id="2"/>
      <w:bookmarkEnd w:id="3"/>
      <w:bookmarkEnd w:id="4"/>
      <w:bookmarkEnd w:id="5"/>
      <w:bookmarkEnd w:id="6"/>
      <w:bookmarkEnd w:id="7"/>
      <w:bookmarkEnd w:id="8"/>
    </w:p>
    <w:p w14:paraId="7E64F3F5">
      <w:p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1. 0. 1</w:t>
      </w:r>
      <w:r>
        <w:rPr>
          <w:rFonts w:hint="eastAsia" w:ascii="Times New Roman" w:hAnsi="Times New Roman" w:cs="Times New Roman"/>
          <w:highlight w:val="none"/>
          <w:lang w:val="en-US" w:eastAsia="zh-CN"/>
        </w:rPr>
        <w:t xml:space="preserve">  为规范建筑边坡工程监测工作，做到成果可靠、技术先进、经济合理、安全实用，提供信息化施工和优化设计的依据，保障边坡及其周边环境的安全，制定本</w:t>
      </w:r>
      <w:r>
        <w:rPr>
          <w:rFonts w:hint="eastAsia" w:cs="Times New Roman"/>
          <w:highlight w:val="none"/>
          <w:lang w:val="en-US" w:eastAsia="zh-CN"/>
        </w:rPr>
        <w:t>标准</w:t>
      </w:r>
      <w:r>
        <w:rPr>
          <w:rFonts w:hint="eastAsia" w:ascii="Times New Roman" w:hAnsi="Times New Roman" w:cs="Times New Roman"/>
          <w:highlight w:val="none"/>
          <w:lang w:val="en-US" w:eastAsia="zh-CN"/>
        </w:rPr>
        <w:t>。</w:t>
      </w:r>
    </w:p>
    <w:p w14:paraId="090EA75E">
      <w:p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6A58B901">
      <w:pPr>
        <w:keepNext w:val="0"/>
        <w:keepLines w:val="0"/>
        <w:pageBreakBefore w:val="0"/>
        <w:widowControl w:val="0"/>
        <w:kinsoku/>
        <w:wordWrap/>
        <w:overflowPunct/>
        <w:topLinePunct w:val="0"/>
        <w:autoSpaceDE/>
        <w:autoSpaceDN/>
        <w:bidi w:val="0"/>
        <w:adjustRightInd/>
        <w:snapToGrid/>
        <w:ind w:left="0" w:leftChars="0" w:firstLine="240" w:firstLineChars="100"/>
        <w:textAlignment w:val="auto"/>
        <w:rPr>
          <w:rFonts w:hint="eastAsia"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目前，建筑边坡尚无专项监测技术标准，在国标《建筑边坡工程技术规范》</w:t>
      </w:r>
      <w:r>
        <w:rPr>
          <w:rFonts w:hint="eastAsia" w:ascii="Times New Roman" w:hAnsi="Times New Roman" w:cs="Times New Roman"/>
          <w:color w:val="0000FF"/>
          <w:highlight w:val="none"/>
          <w:lang w:val="en-US" w:eastAsia="zh-CN"/>
        </w:rPr>
        <w:t>GB 50330、</w:t>
      </w:r>
      <w:r>
        <w:rPr>
          <w:rFonts w:hint="default" w:ascii="Times New Roman" w:hAnsi="Times New Roman" w:cs="Times New Roman"/>
          <w:color w:val="0000FF"/>
          <w:highlight w:val="none"/>
          <w:lang w:val="en-US" w:eastAsia="zh-CN"/>
        </w:rPr>
        <w:t>《工程测量</w:t>
      </w:r>
      <w:r>
        <w:rPr>
          <w:rFonts w:hint="eastAsia" w:ascii="Times New Roman" w:hAnsi="Times New Roman" w:cs="Times New Roman"/>
          <w:color w:val="0000FF"/>
          <w:highlight w:val="none"/>
          <w:lang w:val="en-US" w:eastAsia="zh-CN"/>
        </w:rPr>
        <w:t>标准</w:t>
      </w:r>
      <w:r>
        <w:rPr>
          <w:rFonts w:hint="default" w:ascii="Times New Roman" w:hAnsi="Times New Roman" w:cs="Times New Roman"/>
          <w:color w:val="0000FF"/>
          <w:highlight w:val="none"/>
          <w:lang w:val="en-US" w:eastAsia="zh-CN"/>
        </w:rPr>
        <w:t>》</w:t>
      </w:r>
      <w:r>
        <w:rPr>
          <w:rFonts w:hint="eastAsia" w:cs="Times New Roman"/>
          <w:color w:val="0000FF"/>
          <w:highlight w:val="none"/>
          <w:lang w:val="en-US" w:eastAsia="zh-CN"/>
        </w:rPr>
        <w:t xml:space="preserve"> </w:t>
      </w:r>
      <w:r>
        <w:rPr>
          <w:rFonts w:hint="default" w:ascii="Times New Roman" w:hAnsi="Times New Roman" w:cs="Times New Roman"/>
          <w:color w:val="0000FF"/>
          <w:highlight w:val="none"/>
          <w:lang w:val="en-US" w:eastAsia="zh-CN"/>
        </w:rPr>
        <w:t>GB 50026及《建筑变形测量规范》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JGJ 8</w:t>
      </w:r>
      <w:r>
        <w:rPr>
          <w:rFonts w:hint="default" w:ascii="Times New Roman" w:hAnsi="Times New Roman" w:cs="Times New Roman"/>
          <w:color w:val="0000FF"/>
          <w:highlight w:val="none"/>
          <w:lang w:val="en-US" w:eastAsia="zh-CN"/>
        </w:rPr>
        <w:t>中，建筑边坡监测基本采用一小节进行描述，简单规定部分内容，对于各类型的建筑边坡</w:t>
      </w:r>
      <w:r>
        <w:rPr>
          <w:rFonts w:hint="eastAsia" w:ascii="Times New Roman" w:hAnsi="Times New Roman" w:cs="Times New Roman"/>
          <w:color w:val="0000FF"/>
          <w:highlight w:val="none"/>
          <w:lang w:val="en-US" w:eastAsia="zh-CN"/>
        </w:rPr>
        <w:t>并未对</w:t>
      </w:r>
      <w:r>
        <w:rPr>
          <w:rFonts w:hint="default" w:ascii="Times New Roman" w:hAnsi="Times New Roman" w:cs="Times New Roman"/>
          <w:color w:val="0000FF"/>
          <w:highlight w:val="none"/>
          <w:lang w:val="en-US" w:eastAsia="zh-CN"/>
        </w:rPr>
        <w:t>现场监测参数</w:t>
      </w:r>
      <w:r>
        <w:rPr>
          <w:rFonts w:hint="eastAsia" w:ascii="Times New Roman" w:hAnsi="Times New Roman" w:cs="Times New Roman"/>
          <w:color w:val="0000FF"/>
          <w:highlight w:val="none"/>
          <w:lang w:val="en-US" w:eastAsia="zh-CN"/>
        </w:rPr>
        <w:t>、监测方法、监测预警值</w:t>
      </w:r>
      <w:r>
        <w:rPr>
          <w:rFonts w:hint="default" w:ascii="Times New Roman" w:hAnsi="Times New Roman" w:cs="Times New Roman"/>
          <w:color w:val="0000FF"/>
          <w:highlight w:val="none"/>
          <w:lang w:val="en-US" w:eastAsia="zh-CN"/>
        </w:rPr>
        <w:t>等方面</w:t>
      </w:r>
      <w:r>
        <w:rPr>
          <w:rFonts w:hint="eastAsia" w:ascii="Times New Roman" w:hAnsi="Times New Roman" w:cs="Times New Roman"/>
          <w:color w:val="0000FF"/>
          <w:highlight w:val="none"/>
          <w:lang w:val="en-US" w:eastAsia="zh-CN"/>
        </w:rPr>
        <w:t>作出</w:t>
      </w:r>
      <w:r>
        <w:rPr>
          <w:rFonts w:hint="default" w:ascii="Times New Roman" w:hAnsi="Times New Roman" w:cs="Times New Roman"/>
          <w:color w:val="0000FF"/>
          <w:highlight w:val="none"/>
          <w:lang w:val="en-US" w:eastAsia="zh-CN"/>
        </w:rPr>
        <w:t>具体规定。因此，</w:t>
      </w:r>
      <w:r>
        <w:rPr>
          <w:rFonts w:hint="eastAsia" w:ascii="Times New Roman" w:hAnsi="Times New Roman" w:cs="Times New Roman"/>
          <w:color w:val="0000FF"/>
          <w:highlight w:val="none"/>
          <w:lang w:val="en-US" w:eastAsia="zh-CN"/>
        </w:rPr>
        <w:t>本</w:t>
      </w:r>
      <w:r>
        <w:rPr>
          <w:rFonts w:hint="eastAsia" w:cs="Times New Roman"/>
          <w:color w:val="0000FF"/>
          <w:highlight w:val="none"/>
          <w:lang w:val="en-US" w:eastAsia="zh-CN"/>
        </w:rPr>
        <w:t>标准</w:t>
      </w:r>
      <w:r>
        <w:rPr>
          <w:rFonts w:hint="default" w:ascii="Times New Roman" w:hAnsi="Times New Roman" w:cs="Times New Roman"/>
          <w:color w:val="0000FF"/>
          <w:highlight w:val="none"/>
          <w:lang w:val="en-US" w:eastAsia="zh-CN"/>
        </w:rPr>
        <w:t>拟结合广东省建筑边坡工程特点及多雨、台风的特殊自然气候条件，对建筑边坡监测的风险分级、监测项目、测点布设、监测频率</w:t>
      </w:r>
      <w:r>
        <w:rPr>
          <w:rFonts w:hint="eastAsia" w:ascii="Times New Roman" w:hAnsi="Times New Roman" w:cs="Times New Roman"/>
          <w:color w:val="0000FF"/>
          <w:highlight w:val="none"/>
          <w:lang w:val="en-US" w:eastAsia="zh-CN"/>
        </w:rPr>
        <w:t>及</w:t>
      </w:r>
      <w:r>
        <w:rPr>
          <w:rFonts w:hint="default" w:ascii="Times New Roman" w:hAnsi="Times New Roman" w:cs="Times New Roman"/>
          <w:color w:val="0000FF"/>
          <w:highlight w:val="none"/>
          <w:lang w:val="en-US" w:eastAsia="zh-CN"/>
        </w:rPr>
        <w:t>监测方法等方面的内容进行编制。另外，《建筑边坡工程技术规范》</w:t>
      </w:r>
      <w:r>
        <w:rPr>
          <w:rFonts w:hint="eastAsia" w:cs="Times New Roman"/>
          <w:color w:val="0000FF"/>
          <w:highlight w:val="none"/>
          <w:lang w:val="en-US" w:eastAsia="zh-CN"/>
        </w:rPr>
        <w:t xml:space="preserve"> </w:t>
      </w:r>
      <w:r>
        <w:rPr>
          <w:rFonts w:hint="default" w:ascii="Times New Roman" w:hAnsi="Times New Roman" w:cs="Times New Roman"/>
          <w:color w:val="0000FF"/>
          <w:highlight w:val="none"/>
          <w:lang w:val="en-US" w:eastAsia="zh-CN"/>
        </w:rPr>
        <w:t>GB50330规定</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一级永久性边坡工程竣工后的监测时间不宜少于2年</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现实情况中，因设备维护困难、经济因素等原因，边坡</w:t>
      </w:r>
      <w:r>
        <w:rPr>
          <w:rFonts w:hint="eastAsia" w:ascii="Times New Roman" w:hAnsi="Times New Roman" w:cs="Times New Roman"/>
          <w:color w:val="0000FF"/>
          <w:highlight w:val="none"/>
          <w:lang w:val="en-US" w:eastAsia="zh-CN"/>
        </w:rPr>
        <w:t>运营期</w:t>
      </w:r>
      <w:r>
        <w:rPr>
          <w:rFonts w:hint="default" w:ascii="Times New Roman" w:hAnsi="Times New Roman" w:cs="Times New Roman"/>
          <w:color w:val="0000FF"/>
          <w:highlight w:val="none"/>
          <w:lang w:val="en-US" w:eastAsia="zh-CN"/>
        </w:rPr>
        <w:t>间采用</w:t>
      </w:r>
      <w:r>
        <w:rPr>
          <w:rFonts w:hint="eastAsia" w:ascii="Times New Roman" w:hAnsi="Times New Roman" w:cs="Times New Roman"/>
          <w:color w:val="0000FF"/>
          <w:highlight w:val="none"/>
          <w:lang w:val="en-US" w:eastAsia="zh-CN"/>
        </w:rPr>
        <w:t>简单</w:t>
      </w:r>
      <w:r>
        <w:rPr>
          <w:rFonts w:hint="default" w:ascii="Times New Roman" w:hAnsi="Times New Roman" w:cs="Times New Roman"/>
          <w:color w:val="0000FF"/>
          <w:highlight w:val="none"/>
          <w:lang w:val="en-US" w:eastAsia="zh-CN"/>
        </w:rPr>
        <w:t>的监测措施，在规范约定的2年时限后，边坡处于</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三不管</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状态，在广东多雨、台风等特殊气候条件下，容易引发类似“光明滑坡”事件。</w:t>
      </w:r>
      <w:r>
        <w:rPr>
          <w:rFonts w:hint="eastAsia" w:ascii="Times New Roman" w:hAnsi="Times New Roman" w:cs="Times New Roman"/>
          <w:color w:val="0000FF"/>
          <w:highlight w:val="none"/>
          <w:lang w:val="en-US" w:eastAsia="zh-CN"/>
        </w:rPr>
        <w:t>因此，为了规范广东省建筑边坡工程的监测，统一工作流程，明确监测内容和方法，合理布设监测网络，准确采集监测数据，科学评估边坡稳定状态，预测其危害及发展趋势，做到技术先进、经济合理，使边坡满足坡体稳定、运营安全的原则，制定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w:t>
      </w:r>
    </w:p>
    <w:p w14:paraId="27E755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w:t>
      </w:r>
      <w:r>
        <w:rPr>
          <w:rFonts w:hint="default" w:ascii="Times New Roman" w:hAnsi="Times New Roman" w:cs="Times New Roman"/>
          <w:color w:val="0000FF"/>
          <w:highlight w:val="none"/>
          <w:lang w:val="en-US" w:eastAsia="zh-CN"/>
        </w:rPr>
        <w:t>工程监测涉及建设单位、设计单位、施工单位和监理单位等</w:t>
      </w:r>
      <w:r>
        <w:rPr>
          <w:rFonts w:hint="eastAsia" w:ascii="Times New Roman" w:hAnsi="Times New Roman" w:cs="Times New Roman"/>
          <w:color w:val="0000FF"/>
          <w:highlight w:val="none"/>
          <w:lang w:val="en-US" w:eastAsia="zh-CN"/>
        </w:rPr>
        <w:t>，本</w:t>
      </w:r>
      <w:r>
        <w:rPr>
          <w:rFonts w:hint="eastAsia" w:cs="Times New Roman"/>
          <w:color w:val="0000FF"/>
          <w:highlight w:val="none"/>
          <w:lang w:val="en-US" w:eastAsia="zh-CN"/>
        </w:rPr>
        <w:t>标准</w:t>
      </w:r>
      <w:r>
        <w:rPr>
          <w:rFonts w:hint="default" w:ascii="Times New Roman" w:hAnsi="Times New Roman" w:cs="Times New Roman"/>
          <w:color w:val="0000FF"/>
          <w:highlight w:val="none"/>
          <w:lang w:val="en-US" w:eastAsia="zh-CN"/>
        </w:rPr>
        <w:t>不只是规范监测单位的监测行为，其他相关各方也应遵守和执行</w:t>
      </w:r>
      <w:r>
        <w:rPr>
          <w:rFonts w:hint="eastAsia" w:ascii="Times New Roman" w:hAnsi="Times New Roman" w:cs="Times New Roman"/>
          <w:color w:val="0000FF"/>
          <w:highlight w:val="none"/>
          <w:lang w:val="en-US" w:eastAsia="zh-CN"/>
        </w:rPr>
        <w:t>本</w:t>
      </w:r>
      <w:r>
        <w:rPr>
          <w:rFonts w:hint="eastAsia" w:cs="Times New Roman"/>
          <w:color w:val="0000FF"/>
          <w:highlight w:val="none"/>
          <w:lang w:val="en-US" w:eastAsia="zh-CN"/>
        </w:rPr>
        <w:t>标准</w:t>
      </w:r>
      <w:r>
        <w:rPr>
          <w:rFonts w:hint="default" w:ascii="Times New Roman" w:hAnsi="Times New Roman" w:cs="Times New Roman"/>
          <w:color w:val="0000FF"/>
          <w:highlight w:val="none"/>
          <w:lang w:val="en-US" w:eastAsia="zh-CN"/>
        </w:rPr>
        <w:t>的规定</w:t>
      </w:r>
      <w:r>
        <w:rPr>
          <w:rFonts w:hint="eastAsia" w:ascii="Times New Roman" w:hAnsi="Times New Roman" w:cs="Times New Roman"/>
          <w:color w:val="0000FF"/>
          <w:highlight w:val="none"/>
          <w:lang w:val="en-US" w:eastAsia="zh-CN"/>
        </w:rPr>
        <w:t>。</w:t>
      </w:r>
    </w:p>
    <w:p w14:paraId="27F81658">
      <w:pPr>
        <w:bidi w:val="0"/>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highlight w:val="none"/>
          <w:lang w:val="en-US" w:eastAsia="zh-CN"/>
        </w:rPr>
        <w:t>1. 0. 2</w:t>
      </w:r>
      <w:r>
        <w:rPr>
          <w:rFonts w:hint="eastAsia" w:ascii="Times New Roman" w:hAnsi="Times New Roman" w:cs="Times New Roman"/>
          <w:highlight w:val="none"/>
          <w:lang w:val="en-US" w:eastAsia="zh-CN"/>
        </w:rPr>
        <w:t xml:space="preserve">  本</w:t>
      </w:r>
      <w:r>
        <w:rPr>
          <w:rFonts w:hint="eastAsia" w:cs="Times New Roman"/>
          <w:highlight w:val="none"/>
          <w:lang w:val="en-US" w:eastAsia="zh-CN"/>
        </w:rPr>
        <w:t>标准</w:t>
      </w:r>
      <w:r>
        <w:rPr>
          <w:rFonts w:hint="eastAsia" w:ascii="Times New Roman" w:hAnsi="Times New Roman" w:cs="Times New Roman"/>
          <w:highlight w:val="none"/>
          <w:lang w:val="en-US" w:eastAsia="zh-CN"/>
        </w:rPr>
        <w:t>适用于广东省内</w:t>
      </w:r>
      <w:r>
        <w:rPr>
          <w:rFonts w:hint="eastAsia" w:ascii="Times New Roman" w:hAnsi="Times New Roman" w:cs="Times New Roman"/>
          <w:color w:val="000000" w:themeColor="text1"/>
          <w:highlight w:val="none"/>
          <w:lang w:val="en-US" w:eastAsia="zh-CN"/>
          <w14:textFill>
            <w14:solidFill>
              <w14:schemeClr w14:val="tx1"/>
            </w14:solidFill>
          </w14:textFill>
        </w:rPr>
        <w:t>建筑边坡及周边环境监测，其他领域边坡工程可参考执行。</w:t>
      </w:r>
    </w:p>
    <w:p w14:paraId="25CAD937">
      <w:pPr>
        <w:bidi w:val="0"/>
        <w:rPr>
          <w:rFonts w:hint="eastAsia" w:ascii="Times New Roman" w:hAnsi="Times New Roman" w:cs="Times New Roman"/>
          <w:color w:val="000000" w:themeColor="text1"/>
          <w:highlight w:val="none"/>
          <w:lang w:val="en-US" w:eastAsia="zh-CN"/>
          <w14:textFill>
            <w14:solidFill>
              <w14:schemeClr w14:val="tx1"/>
            </w14:solidFill>
          </w14:textFill>
        </w:rPr>
      </w:pPr>
    </w:p>
    <w:p w14:paraId="22574CD4">
      <w:p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1. 0. 3 </w:t>
      </w:r>
      <w:r>
        <w:rPr>
          <w:rFonts w:hint="eastAsia" w:ascii="Times New Roman" w:hAnsi="Times New Roman" w:cs="Times New Roman"/>
          <w:highlight w:val="none"/>
          <w:lang w:val="en-US" w:eastAsia="zh-CN"/>
        </w:rPr>
        <w:t xml:space="preserve"> 建筑边坡工程监测除应符合本</w:t>
      </w:r>
      <w:r>
        <w:rPr>
          <w:rFonts w:hint="eastAsia" w:cs="Times New Roman"/>
          <w:highlight w:val="none"/>
          <w:lang w:val="en-US" w:eastAsia="zh-CN"/>
        </w:rPr>
        <w:t>标准</w:t>
      </w:r>
      <w:r>
        <w:rPr>
          <w:rFonts w:hint="eastAsia" w:ascii="Times New Roman" w:hAnsi="Times New Roman" w:cs="Times New Roman"/>
          <w:highlight w:val="none"/>
          <w:lang w:val="en-US" w:eastAsia="zh-CN"/>
        </w:rPr>
        <w:t>的规定外，尚应符合国家和广东省现行有关标准的规定。</w:t>
      </w:r>
    </w:p>
    <w:p w14:paraId="1FE3327F">
      <w:p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46B935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建筑边坡工程需要遵守的标准很多，本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只是其中之一，国家现行标准中对边坡工程监测也有一些相关规定，因此本条规定除遵守本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外，边坡工程监测尚应符合国家现行有关标准的规定。与本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有关的国家现行标准主要有：</w:t>
      </w:r>
    </w:p>
    <w:p w14:paraId="18D7D5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1 </w:t>
      </w:r>
      <w:r>
        <w:rPr>
          <w:rFonts w:hint="eastAsia" w:ascii="Times New Roman" w:hAnsi="Times New Roman" w:cs="Times New Roman"/>
          <w:color w:val="0000FF"/>
          <w:highlight w:val="none"/>
          <w:lang w:val="en-US" w:eastAsia="zh-CN"/>
        </w:rPr>
        <w:t>《建筑边坡工程技术规范》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 50330；</w:t>
      </w:r>
    </w:p>
    <w:p w14:paraId="1C0851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2 </w:t>
      </w:r>
      <w:r>
        <w:rPr>
          <w:rFonts w:hint="eastAsia" w:ascii="Times New Roman" w:hAnsi="Times New Roman" w:cs="Times New Roman"/>
          <w:color w:val="0000FF"/>
          <w:highlight w:val="none"/>
          <w:lang w:val="en-US" w:eastAsia="zh-CN"/>
        </w:rPr>
        <w:t>《工程测量标准》</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 50026；</w:t>
      </w:r>
    </w:p>
    <w:p w14:paraId="1FD8EB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3 </w:t>
      </w:r>
      <w:r>
        <w:rPr>
          <w:rFonts w:hint="eastAsia" w:ascii="Times New Roman" w:hAnsi="Times New Roman" w:cs="Times New Roman"/>
          <w:color w:val="0000FF"/>
          <w:highlight w:val="none"/>
          <w:lang w:val="en-US" w:eastAsia="zh-CN"/>
        </w:rPr>
        <w:t>《建筑变形测量规范》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JGJ 8；</w:t>
      </w:r>
    </w:p>
    <w:p w14:paraId="3B7335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4 </w:t>
      </w:r>
      <w:r>
        <w:rPr>
          <w:rFonts w:hint="eastAsia" w:ascii="Times New Roman" w:hAnsi="Times New Roman" w:cs="Times New Roman"/>
          <w:color w:val="0000FF"/>
          <w:highlight w:val="none"/>
          <w:lang w:val="en-US" w:eastAsia="zh-CN"/>
        </w:rPr>
        <w:t>《建筑基坑工程监测技术标准》</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 50497；</w:t>
      </w:r>
    </w:p>
    <w:p w14:paraId="1D1DAE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5 </w:t>
      </w:r>
      <w:r>
        <w:rPr>
          <w:rFonts w:hint="eastAsia" w:ascii="Times New Roman" w:hAnsi="Times New Roman" w:cs="Times New Roman"/>
          <w:color w:val="0000FF"/>
          <w:highlight w:val="none"/>
          <w:lang w:val="en-US" w:eastAsia="zh-CN"/>
        </w:rPr>
        <w:t>《建筑边坡工程鉴定与加固技术规范》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 50843。</w:t>
      </w:r>
    </w:p>
    <w:p w14:paraId="46E1987F">
      <w:pPr>
        <w:rPr>
          <w:rFonts w:hint="eastAsia" w:ascii="Times New Roman" w:hAnsi="Times New Roman" w:cs="Times New Roman"/>
          <w:highlight w:val="none"/>
          <w:lang w:val="en-US" w:eastAsia="zh-CN"/>
        </w:rPr>
        <w:sectPr>
          <w:footerReference r:id="rId8" w:type="default"/>
          <w:pgSz w:w="11906" w:h="16838"/>
          <w:pgMar w:top="1440" w:right="1800" w:bottom="1440" w:left="1800" w:header="851" w:footer="992" w:gutter="0"/>
          <w:pgNumType w:fmt="decimal" w:start="1"/>
          <w:cols w:space="425" w:num="1"/>
          <w:docGrid w:type="lines" w:linePitch="312" w:charSpace="0"/>
        </w:sectPr>
      </w:pPr>
    </w:p>
    <w:p w14:paraId="302A0AD0">
      <w:pPr>
        <w:pStyle w:val="2"/>
        <w:bidi w:val="0"/>
        <w:rPr>
          <w:rFonts w:hint="eastAsia" w:ascii="Times New Roman" w:hAnsi="Times New Roman" w:cs="Times New Roman"/>
          <w:highlight w:val="none"/>
          <w:lang w:val="en-US" w:eastAsia="zh-CN"/>
        </w:rPr>
      </w:pPr>
      <w:bookmarkStart w:id="9" w:name="_Toc22311"/>
      <w:bookmarkStart w:id="10" w:name="_Toc30741"/>
      <w:bookmarkStart w:id="11" w:name="_Toc7019"/>
      <w:bookmarkStart w:id="12" w:name="_Toc26300"/>
      <w:bookmarkStart w:id="13" w:name="_Toc28792"/>
      <w:bookmarkStart w:id="14" w:name="_Toc22015"/>
      <w:bookmarkStart w:id="15" w:name="_Toc18636"/>
      <w:r>
        <w:rPr>
          <w:rFonts w:hint="eastAsia" w:ascii="Times New Roman" w:hAnsi="Times New Roman" w:cs="Times New Roman"/>
          <w:highlight w:val="none"/>
          <w:lang w:val="en-US" w:eastAsia="zh-CN"/>
        </w:rPr>
        <w:t>2 术语</w:t>
      </w:r>
      <w:bookmarkEnd w:id="9"/>
      <w:bookmarkEnd w:id="10"/>
      <w:bookmarkEnd w:id="11"/>
      <w:bookmarkEnd w:id="12"/>
      <w:bookmarkEnd w:id="13"/>
      <w:bookmarkEnd w:id="14"/>
      <w:bookmarkEnd w:id="15"/>
    </w:p>
    <w:p w14:paraId="52E99CE9">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2. 0. 1</w:t>
      </w:r>
      <w:r>
        <w:rPr>
          <w:rFonts w:hint="eastAsia" w:ascii="Times New Roman" w:hAnsi="Times New Roman" w:cs="Times New Roman"/>
          <w:highlight w:val="none"/>
          <w:lang w:val="en-US" w:eastAsia="zh-CN"/>
        </w:rPr>
        <w:t xml:space="preserve">  建筑边坡 building slope</w:t>
      </w:r>
    </w:p>
    <w:p w14:paraId="55718465">
      <w:pPr>
        <w:shd w:val="clear" w:fill="auto"/>
        <w:bidi w:val="0"/>
        <w:ind w:firstLine="480"/>
        <w:rPr>
          <w:rFonts w:hint="eastAsia" w:ascii="Times New Roman" w:hAnsi="Times New Roman" w:cs="Times New Roman"/>
          <w:highlight w:val="none"/>
          <w:shd w:val="clear"/>
          <w:lang w:val="en-US" w:eastAsia="zh-CN"/>
        </w:rPr>
      </w:pPr>
      <w:r>
        <w:rPr>
          <w:rFonts w:hint="eastAsia" w:ascii="Times New Roman" w:hAnsi="Times New Roman" w:cs="Times New Roman"/>
          <w:highlight w:val="none"/>
          <w:shd w:val="clear" w:color="auto" w:fill="auto"/>
          <w:lang w:val="en-US" w:eastAsia="zh-CN"/>
        </w:rPr>
        <w:t>指在建（构）筑物场地及其周边，由于建（构）筑物和市政工程开挖或填筑施工所形成的人工边坡和对建（构）筑物安全或稳定有不利影响的自然斜坡。在本</w:t>
      </w:r>
      <w:r>
        <w:rPr>
          <w:rFonts w:hint="eastAsia" w:cs="Times New Roman"/>
          <w:highlight w:val="none"/>
          <w:shd w:val="clear" w:color="auto" w:fill="auto"/>
          <w:lang w:val="en-US" w:eastAsia="zh-CN"/>
        </w:rPr>
        <w:t>标准</w:t>
      </w:r>
      <w:r>
        <w:rPr>
          <w:rFonts w:hint="eastAsia" w:ascii="Times New Roman" w:hAnsi="Times New Roman" w:cs="Times New Roman"/>
          <w:highlight w:val="none"/>
          <w:shd w:val="clear" w:color="auto" w:fill="auto"/>
          <w:lang w:val="en-US" w:eastAsia="zh-CN"/>
        </w:rPr>
        <w:t>中简称边坡。</w:t>
      </w:r>
    </w:p>
    <w:p w14:paraId="28E113F3">
      <w:pPr>
        <w:bidi w:val="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2. 0. 2</w:t>
      </w:r>
      <w:r>
        <w:rPr>
          <w:rFonts w:hint="eastAsia" w:ascii="Times New Roman" w:hAnsi="Times New Roman" w:cs="Times New Roman"/>
          <w:highlight w:val="none"/>
          <w:lang w:val="en-US" w:eastAsia="zh-CN"/>
        </w:rPr>
        <w:t xml:space="preserve">  边坡支护 slope support</w:t>
      </w:r>
    </w:p>
    <w:p w14:paraId="06AE4A5B">
      <w:pPr>
        <w:bidi w:val="0"/>
        <w:ind w:firstLine="48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为保证边坡稳定及其环境的安全，对边坡采取的支挡、加固与防护措施。</w:t>
      </w:r>
    </w:p>
    <w:p w14:paraId="45BCB088">
      <w:pPr>
        <w:bidi w:val="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2. 0. 3</w:t>
      </w:r>
      <w:r>
        <w:rPr>
          <w:rFonts w:hint="eastAsia" w:ascii="Times New Roman" w:hAnsi="Times New Roman" w:cs="Times New Roman"/>
          <w:highlight w:val="none"/>
          <w:lang w:val="en-US" w:eastAsia="zh-CN"/>
        </w:rPr>
        <w:t xml:space="preserve">  边坡监测 slope monitoring</w:t>
      </w:r>
    </w:p>
    <w:p w14:paraId="1CCFE0A7">
      <w:pPr>
        <w:bidi w:val="0"/>
        <w:ind w:firstLine="48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在建筑边坡施工和运营期采用仪器量测、现场巡视等手段和方法对边坡及周边环境的安全状况、变化特征及其发展趋势实施的定期或连续巡查、量测、监视以及数据采集、分析、反馈的活动。</w:t>
      </w:r>
    </w:p>
    <w:p w14:paraId="49D17E60">
      <w:pPr>
        <w:spacing w:line="360" w:lineRule="auto"/>
        <w:rPr>
          <w:rFonts w:ascii="Times New Roman" w:hAnsi="Times New Roman" w:cs="Times New Roman"/>
          <w:kern w:val="0"/>
          <w:sz w:val="24"/>
          <w:highlight w:val="none"/>
        </w:rPr>
      </w:pPr>
      <w:r>
        <w:rPr>
          <w:rFonts w:hint="eastAsia" w:ascii="Times New Roman" w:hAnsi="Times New Roman" w:cs="Times New Roman"/>
          <w:b/>
          <w:bCs/>
          <w:highlight w:val="none"/>
          <w:lang w:val="en-US" w:eastAsia="zh-CN"/>
        </w:rPr>
        <w:t>2. 0. 4</w:t>
      </w:r>
      <w:r>
        <w:rPr>
          <w:rFonts w:hint="eastAsia" w:ascii="Times New Roman" w:hAnsi="Times New Roman" w:cs="Times New Roman"/>
          <w:highlight w:val="none"/>
          <w:lang w:val="en-US" w:eastAsia="zh-CN"/>
        </w:rPr>
        <w:t xml:space="preserve">  自动化</w:t>
      </w:r>
      <w:r>
        <w:rPr>
          <w:rFonts w:ascii="Times New Roman" w:hAnsi="Times New Roman" w:cs="Times New Roman"/>
          <w:kern w:val="0"/>
          <w:sz w:val="24"/>
          <w:highlight w:val="none"/>
        </w:rPr>
        <w:t xml:space="preserve">监测  </w:t>
      </w:r>
      <w:r>
        <w:rPr>
          <w:rFonts w:ascii="Times New Roman" w:hAnsi="Times New Roman" w:cs="Times New Roman"/>
          <w:kern w:val="0"/>
          <w:sz w:val="26"/>
          <w:szCs w:val="26"/>
          <w:highlight w:val="none"/>
          <w:shd w:val="clear"/>
        </w:rPr>
        <w:t>real-time</w:t>
      </w:r>
      <w:r>
        <w:rPr>
          <w:rFonts w:ascii="Times New Roman" w:hAnsi="Times New Roman" w:cs="Times New Roman"/>
          <w:kern w:val="0"/>
          <w:sz w:val="26"/>
          <w:szCs w:val="26"/>
          <w:highlight w:val="none"/>
        </w:rPr>
        <w:t xml:space="preserve"> monitoring</w:t>
      </w:r>
    </w:p>
    <w:p w14:paraId="4C97539D">
      <w:pPr>
        <w:spacing w:line="360" w:lineRule="auto"/>
        <w:ind w:firstLine="470" w:firstLineChars="196"/>
        <w:rPr>
          <w:rFonts w:hint="default"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应用现代电子、信息、通信及计算机技术，实现数据实时采集、传输、分析、管理的监测技术。</w:t>
      </w:r>
    </w:p>
    <w:p w14:paraId="70BAF389">
      <w:pPr>
        <w:shd w:val="clear"/>
        <w:bidi w:val="0"/>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shd w:val="clear"/>
          <w:lang w:val="en-US" w:eastAsia="zh-CN"/>
          <w14:textFill>
            <w14:solidFill>
              <w14:schemeClr w14:val="tx1"/>
            </w14:solidFill>
          </w14:textFill>
        </w:rPr>
        <w:t>2. 0. 5</w:t>
      </w:r>
      <w:r>
        <w:rPr>
          <w:rFonts w:hint="eastAsia" w:ascii="Times New Roman" w:hAnsi="Times New Roman" w:cs="Times New Roman"/>
          <w:color w:val="000000" w:themeColor="text1"/>
          <w:highlight w:val="none"/>
          <w:shd w:val="clear"/>
          <w:lang w:val="en-US" w:eastAsia="zh-CN"/>
          <w14:textFill>
            <w14:solidFill>
              <w14:schemeClr w14:val="tx1"/>
            </w14:solidFill>
          </w14:textFill>
        </w:rPr>
        <w:t xml:space="preserve">  非接触式位移监测  non contact displacement monitoring</w:t>
      </w:r>
    </w:p>
    <w:p w14:paraId="4A1A7E73">
      <w:pPr>
        <w:bidi w:val="0"/>
        <w:ind w:firstLine="48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无需与监测对象接触或在监测对象上安装测量设备的变形量测方法。</w:t>
      </w:r>
    </w:p>
    <w:p w14:paraId="477E5A27">
      <w:pPr>
        <w:bidi w:val="0"/>
        <w:rPr>
          <w:rFonts w:hint="eastAsia" w:ascii="Times New Roman" w:hAnsi="Times New Roman" w:cs="Times New Roman"/>
          <w:b/>
          <w:bCs/>
          <w:color w:val="0000FF"/>
          <w:kern w:val="0"/>
          <w:sz w:val="24"/>
          <w:highlight w:val="none"/>
          <w:lang w:val="en-US" w:eastAsia="zh-CN"/>
        </w:rPr>
      </w:pPr>
      <w:r>
        <w:rPr>
          <w:rFonts w:hint="eastAsia" w:ascii="Times New Roman" w:hAnsi="Times New Roman" w:cs="Times New Roman"/>
          <w:b/>
          <w:bCs/>
          <w:color w:val="0000FF"/>
          <w:kern w:val="0"/>
          <w:sz w:val="24"/>
          <w:highlight w:val="none"/>
          <w:lang w:val="en-US" w:eastAsia="zh-CN"/>
        </w:rPr>
        <w:t>条文说明：</w:t>
      </w:r>
    </w:p>
    <w:p w14:paraId="5E7BDD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kern w:val="0"/>
          <w:sz w:val="24"/>
          <w:highlight w:val="none"/>
          <w:lang w:val="en-US" w:eastAsia="zh-CN"/>
        </w:rPr>
      </w:pPr>
      <w:r>
        <w:rPr>
          <w:rFonts w:hint="eastAsia" w:ascii="Times New Roman" w:hAnsi="Times New Roman" w:cs="Times New Roman"/>
          <w:color w:val="0000FF"/>
          <w:kern w:val="0"/>
          <w:sz w:val="24"/>
          <w:highlight w:val="none"/>
          <w:lang w:val="en-US" w:eastAsia="zh-CN"/>
        </w:rPr>
        <w:t>如机器视觉测量法、三维激光扫描法等。</w:t>
      </w:r>
    </w:p>
    <w:p w14:paraId="485A29A8">
      <w:pPr>
        <w:bidi w:val="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2. 0. 6  </w:t>
      </w:r>
      <w:r>
        <w:rPr>
          <w:rFonts w:hint="eastAsia" w:ascii="Times New Roman" w:hAnsi="Times New Roman" w:cs="Times New Roman"/>
          <w:highlight w:val="none"/>
          <w:lang w:val="en-US" w:eastAsia="zh-CN"/>
        </w:rPr>
        <w:t>三维激光扫描法测量  measurement using three-dimensional laser scanning method</w:t>
      </w:r>
    </w:p>
    <w:p w14:paraId="5DE93510">
      <w:pPr>
        <w:bidi w:val="0"/>
        <w:ind w:firstLine="48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利用三维激光扫描仪按期限对边坡进行扫描，结合相关软件系统获取边坡变形信息的测量方法。</w:t>
      </w:r>
    </w:p>
    <w:p w14:paraId="27CA148A">
      <w:pPr>
        <w:bidi w:val="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2. 0. 7  </w:t>
      </w:r>
      <w:r>
        <w:rPr>
          <w:rFonts w:hint="eastAsia" w:ascii="Times New Roman" w:hAnsi="Times New Roman" w:cs="Times New Roman"/>
          <w:highlight w:val="none"/>
          <w:lang w:val="en-US" w:eastAsia="zh-CN"/>
        </w:rPr>
        <w:t>机器视觉测量  m</w:t>
      </w:r>
      <w:r>
        <w:rPr>
          <w:rFonts w:hint="eastAsia" w:ascii="Times New Roman" w:hAnsi="Times New Roman" w:cs="Times New Roman"/>
          <w:highlight w:val="none"/>
        </w:rPr>
        <w:t>achine vision measurement</w:t>
      </w:r>
    </w:p>
    <w:p w14:paraId="06E5B788">
      <w:pPr>
        <w:bidi w:val="0"/>
        <w:ind w:firstLine="480" w:firstLineChars="200"/>
        <w:rPr>
          <w:rFonts w:hint="eastAsia" w:ascii="Times New Roman" w:hAnsi="Times New Roman" w:cs="Times New Roman"/>
          <w:b/>
          <w:bCs/>
          <w:kern w:val="0"/>
          <w:sz w:val="24"/>
          <w:highlight w:val="none"/>
          <w:lang w:val="en-US" w:eastAsia="zh-CN"/>
        </w:rPr>
      </w:pPr>
      <w:r>
        <w:rPr>
          <w:rFonts w:hint="eastAsia" w:ascii="Times New Roman" w:hAnsi="Times New Roman" w:cs="Times New Roman"/>
          <w:highlight w:val="none"/>
          <w:lang w:val="en-US" w:eastAsia="zh-CN"/>
        </w:rPr>
        <w:t>一种利用机器视觉技术进行的测量方法，模拟人眼的视觉功能，用机器代替人眼来进行测量。</w:t>
      </w:r>
    </w:p>
    <w:p w14:paraId="0E25CB64">
      <w:pPr>
        <w:bidi w:val="0"/>
        <w:rPr>
          <w:rFonts w:hint="default" w:ascii="Times New Roman" w:hAnsi="Times New Roman" w:cs="Times New Roman"/>
          <w:kern w:val="0"/>
          <w:sz w:val="24"/>
          <w:highlight w:val="none"/>
          <w:lang w:val="en-US" w:eastAsia="zh-CN"/>
        </w:rPr>
      </w:pPr>
      <w:r>
        <w:rPr>
          <w:rFonts w:hint="eastAsia" w:ascii="Times New Roman" w:hAnsi="Times New Roman" w:cs="Times New Roman"/>
          <w:b/>
          <w:bCs/>
          <w:kern w:val="0"/>
          <w:sz w:val="24"/>
          <w:highlight w:val="none"/>
          <w:lang w:val="en-US" w:eastAsia="zh-CN"/>
        </w:rPr>
        <w:t>2. 0. 8</w:t>
      </w:r>
      <w:r>
        <w:rPr>
          <w:rFonts w:hint="eastAsia" w:ascii="Times New Roman" w:hAnsi="Times New Roman" w:cs="Times New Roman"/>
          <w:kern w:val="0"/>
          <w:sz w:val="24"/>
          <w:highlight w:val="none"/>
          <w:lang w:val="en-US" w:eastAsia="zh-CN"/>
        </w:rPr>
        <w:t xml:space="preserve">  边坡自动化监测系统  slope </w:t>
      </w:r>
      <w:r>
        <w:rPr>
          <w:rFonts w:ascii="Times New Roman" w:hAnsi="Times New Roman" w:cs="Times New Roman"/>
          <w:kern w:val="0"/>
          <w:sz w:val="26"/>
          <w:szCs w:val="26"/>
          <w:highlight w:val="none"/>
          <w:shd w:val="clear"/>
        </w:rPr>
        <w:t>real-time</w:t>
      </w:r>
      <w:r>
        <w:rPr>
          <w:rFonts w:hint="eastAsia" w:ascii="Times New Roman" w:hAnsi="Times New Roman" w:cs="Times New Roman"/>
          <w:kern w:val="0"/>
          <w:sz w:val="24"/>
          <w:highlight w:val="none"/>
          <w:lang w:val="en-US" w:eastAsia="zh-CN"/>
        </w:rPr>
        <w:t xml:space="preserve"> monitoring system</w:t>
      </w:r>
    </w:p>
    <w:p w14:paraId="02826B4C">
      <w:pPr>
        <w:bidi w:val="0"/>
        <w:ind w:firstLine="480"/>
        <w:rPr>
          <w:rFonts w:hint="default"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本</w:t>
      </w:r>
      <w:r>
        <w:rPr>
          <w:rFonts w:hint="eastAsia" w:cs="Times New Roman"/>
          <w:kern w:val="0"/>
          <w:sz w:val="24"/>
          <w:highlight w:val="none"/>
          <w:lang w:val="en-US" w:eastAsia="zh-CN"/>
        </w:rPr>
        <w:t>标准</w:t>
      </w:r>
      <w:r>
        <w:rPr>
          <w:rFonts w:hint="default" w:ascii="Times New Roman" w:hAnsi="Times New Roman" w:cs="Times New Roman"/>
          <w:kern w:val="0"/>
          <w:sz w:val="24"/>
          <w:highlight w:val="none"/>
          <w:lang w:val="en-US" w:eastAsia="zh-CN"/>
        </w:rPr>
        <w:t>中简称监测系统，包括仪器设备、数据平台及现场作业APP等，实现数据采集、数据传输、数据存储、数据分析及信息发布等功能，达到数据协同、自动预警和防危解危的目的。</w:t>
      </w:r>
    </w:p>
    <w:p w14:paraId="51E09B81">
      <w:pPr>
        <w:numPr>
          <w:ilvl w:val="0"/>
          <w:numId w:val="1"/>
        </w:numPr>
        <w:bidi w:val="0"/>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 xml:space="preserve">0. 9 </w:t>
      </w:r>
      <w:r>
        <w:rPr>
          <w:rFonts w:hint="eastAsia" w:ascii="Times New Roman" w:hAnsi="Times New Roman" w:cs="Times New Roman"/>
          <w:color w:val="auto"/>
          <w:highlight w:val="none"/>
          <w:lang w:val="en-US" w:eastAsia="zh-CN"/>
        </w:rPr>
        <w:t>建筑边坡监测期限  m</w:t>
      </w:r>
      <w:r>
        <w:rPr>
          <w:rFonts w:hint="eastAsia" w:ascii="Times New Roman" w:hAnsi="Times New Roman" w:cs="Times New Roman"/>
          <w:color w:val="auto"/>
          <w:highlight w:val="none"/>
        </w:rPr>
        <w:t>onitoring period for building slopes</w:t>
      </w:r>
    </w:p>
    <w:p w14:paraId="431CA65B">
      <w:pPr>
        <w:bidi w:val="0"/>
        <w:ind w:firstLine="480" w:firstLineChars="200"/>
        <w:rPr>
          <w:rFonts w:hint="default" w:ascii="Times New Roman" w:hAnsi="Times New Roman" w:cs="Times New Roman"/>
          <w:b w:val="0"/>
          <w:bCs w:val="0"/>
          <w:color w:val="auto"/>
          <w:highlight w:val="none"/>
          <w:shd w:val="clear" w:fill="auto"/>
          <w:lang w:val="en-US" w:eastAsia="zh-CN"/>
        </w:rPr>
      </w:pPr>
      <w:r>
        <w:rPr>
          <w:rFonts w:hint="eastAsia" w:ascii="Times New Roman" w:hAnsi="Times New Roman" w:cs="Times New Roman"/>
          <w:b w:val="0"/>
          <w:bCs w:val="0"/>
          <w:color w:val="auto"/>
          <w:highlight w:val="none"/>
          <w:shd w:val="clear" w:fill="auto"/>
          <w:lang w:val="en-US" w:eastAsia="zh-CN"/>
        </w:rPr>
        <w:t>建筑边坡监测期限</w:t>
      </w:r>
      <w:r>
        <w:rPr>
          <w:rFonts w:hint="eastAsia" w:ascii="Times New Roman" w:hAnsi="Times New Roman" w:cs="Times New Roman"/>
          <w:b w:val="0"/>
          <w:bCs w:val="0"/>
          <w:highlight w:val="none"/>
          <w:shd w:val="clear" w:fill="auto"/>
          <w:lang w:val="en-US" w:eastAsia="zh-CN"/>
        </w:rPr>
        <w:t>包含施工期和运营期监测。</w:t>
      </w:r>
    </w:p>
    <w:p w14:paraId="74D5115B">
      <w:p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1969B1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参考《建筑变形测量规范》</w:t>
      </w:r>
      <w:r>
        <w:rPr>
          <w:rFonts w:hint="eastAsia" w:cs="Times New Roman"/>
          <w:color w:val="0000FF"/>
          <w:highlight w:val="none"/>
          <w:lang w:val="en-US" w:eastAsia="zh-CN"/>
        </w:rPr>
        <w:t xml:space="preserve"> </w:t>
      </w:r>
      <w:r>
        <w:rPr>
          <w:rFonts w:hint="eastAsia" w:ascii="Times New Roman" w:hAnsi="Times New Roman" w:cs="Times New Roman" w:eastAsiaTheme="minorEastAsia"/>
          <w:i w:val="0"/>
          <w:iCs w:val="0"/>
          <w:caps w:val="0"/>
          <w:color w:val="0000FF"/>
          <w:spacing w:val="0"/>
          <w:sz w:val="24"/>
          <w:szCs w:val="24"/>
          <w:highlight w:val="none"/>
          <w:shd w:val="clear"/>
        </w:rPr>
        <w:t>JGJ</w:t>
      </w:r>
      <w:r>
        <w:rPr>
          <w:rFonts w:hint="eastAsia" w:ascii="Times New Roman" w:hAnsi="Times New Roman" w:cs="Times New Roman"/>
          <w:i w:val="0"/>
          <w:iCs w:val="0"/>
          <w:caps w:val="0"/>
          <w:color w:val="0000FF"/>
          <w:spacing w:val="0"/>
          <w:sz w:val="24"/>
          <w:szCs w:val="24"/>
          <w:highlight w:val="none"/>
          <w:shd w:val="clear"/>
          <w:lang w:val="en-US" w:eastAsia="zh-CN"/>
        </w:rPr>
        <w:t xml:space="preserve"> </w:t>
      </w:r>
      <w:r>
        <w:rPr>
          <w:rFonts w:hint="eastAsia" w:ascii="Times New Roman" w:hAnsi="Times New Roman" w:cs="Times New Roman" w:eastAsiaTheme="minorEastAsia"/>
          <w:i w:val="0"/>
          <w:iCs w:val="0"/>
          <w:caps w:val="0"/>
          <w:color w:val="0000FF"/>
          <w:spacing w:val="0"/>
          <w:sz w:val="24"/>
          <w:szCs w:val="24"/>
          <w:highlight w:val="none"/>
          <w:shd w:val="clear"/>
        </w:rPr>
        <w:t>8-2016</w:t>
      </w:r>
      <w:r>
        <w:rPr>
          <w:rFonts w:hint="eastAsia" w:cs="Times New Roman"/>
          <w:color w:val="0000FF"/>
          <w:highlight w:val="none"/>
          <w:lang w:val="en-US" w:eastAsia="zh-CN"/>
        </w:rPr>
        <w:t>，</w:t>
      </w:r>
      <w:r>
        <w:rPr>
          <w:rFonts w:hint="eastAsia" w:ascii="Times New Roman" w:hAnsi="Times New Roman" w:cs="Times New Roman"/>
          <w:color w:val="0000FF"/>
          <w:highlight w:val="none"/>
          <w:lang w:val="en-US" w:eastAsia="zh-CN"/>
        </w:rPr>
        <w:t>7.1.5相关条款将监测期限分为施工期和运营期。</w:t>
      </w:r>
    </w:p>
    <w:p w14:paraId="7A81AA7E">
      <w:pPr>
        <w:bidi w:val="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2. 0. 10  </w:t>
      </w:r>
      <w:r>
        <w:rPr>
          <w:rFonts w:hint="eastAsia" w:ascii="Times New Roman" w:hAnsi="Times New Roman" w:cs="Times New Roman"/>
          <w:color w:val="auto"/>
          <w:highlight w:val="none"/>
          <w:lang w:val="en-US" w:eastAsia="zh-CN"/>
        </w:rPr>
        <w:t>建筑边坡施工期  construction period of building slope</w:t>
      </w:r>
    </w:p>
    <w:p w14:paraId="5750D998">
      <w:pPr>
        <w:bidi w:val="0"/>
        <w:ind w:firstLine="480" w:firstLineChars="200"/>
        <w:rPr>
          <w:rFonts w:hint="eastAsia" w:ascii="Times New Roman" w:hAnsi="Times New Roman" w:cs="Times New Roman"/>
          <w:highlight w:val="none"/>
          <w:shd w:val="clear" w:fill="auto"/>
          <w:lang w:val="en-US" w:eastAsia="zh-CN"/>
        </w:rPr>
      </w:pPr>
      <w:r>
        <w:rPr>
          <w:rFonts w:hint="eastAsia" w:ascii="Times New Roman" w:hAnsi="Times New Roman" w:cs="Times New Roman"/>
          <w:highlight w:val="none"/>
          <w:shd w:val="clear" w:fill="auto"/>
          <w:lang w:val="en-US" w:eastAsia="zh-CN"/>
        </w:rPr>
        <w:t>自建筑边坡开始施工至竣工。</w:t>
      </w:r>
    </w:p>
    <w:p w14:paraId="4B3857FC">
      <w:pPr>
        <w:bidi w:val="0"/>
        <w:ind w:firstLine="480" w:firstLineChars="200"/>
        <w:rPr>
          <w:rFonts w:hint="eastAsia" w:ascii="Times New Roman" w:hAnsi="Times New Roman" w:cs="Times New Roman"/>
          <w:color w:val="0000FF"/>
          <w:highlight w:val="none"/>
          <w:shd w:val="clear" w:fill="auto"/>
          <w:lang w:val="en-US" w:eastAsia="zh-CN"/>
        </w:rPr>
      </w:pPr>
    </w:p>
    <w:p w14:paraId="5DBA6426">
      <w:p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205980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建筑边坡施工期是从开始到竣工截止，期间监测项目、监测频率等应按照本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相关要求执行。</w:t>
      </w:r>
    </w:p>
    <w:p w14:paraId="3E71BB90">
      <w:pPr>
        <w:bidi w:val="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2. 0. 11</w:t>
      </w:r>
      <w:r>
        <w:rPr>
          <w:rFonts w:hint="eastAsia" w:ascii="Times New Roman" w:hAnsi="Times New Roman" w:cs="Times New Roman"/>
          <w:color w:val="auto"/>
          <w:highlight w:val="none"/>
          <w:lang w:val="en-US" w:eastAsia="zh-CN"/>
        </w:rPr>
        <w:t xml:space="preserve">  建筑边坡运营期  service life of building slope</w:t>
      </w:r>
    </w:p>
    <w:p w14:paraId="70471F4F">
      <w:pPr>
        <w:bidi w:val="0"/>
        <w:ind w:firstLine="480"/>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自边坡</w:t>
      </w:r>
      <w:r>
        <w:rPr>
          <w:rFonts w:hint="eastAsia" w:ascii="Times New Roman" w:hAnsi="Times New Roman" w:cs="Times New Roman"/>
          <w:highlight w:val="none"/>
          <w:shd w:val="clear" w:fill="auto"/>
          <w:lang w:val="en-US" w:eastAsia="zh-CN"/>
        </w:rPr>
        <w:t>竣工</w:t>
      </w:r>
      <w:r>
        <w:rPr>
          <w:rFonts w:hint="eastAsia" w:ascii="Times New Roman" w:hAnsi="Times New Roman" w:cs="Times New Roman"/>
          <w:color w:val="000000" w:themeColor="text1"/>
          <w:highlight w:val="none"/>
          <w:lang w:val="en-US" w:eastAsia="zh-CN"/>
          <w14:textFill>
            <w14:solidFill>
              <w14:schemeClr w14:val="tx1"/>
            </w14:solidFill>
          </w14:textFill>
        </w:rPr>
        <w:t>后至边坡使用年限为止。</w:t>
      </w:r>
    </w:p>
    <w:p w14:paraId="5D69677E">
      <w:p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6CDCA3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在建筑边坡工程施工期结束后即开始进入运营期，直至达到边坡使用年限才停止监测。边坡的使用年限指边坡工程的支护结构能发挥正常支护功能的年限，临时边坡为2年，永久边坡按50年设计，同时建筑边坡工程的使用年限不应低于边坡支护结构保护的建筑物（坡顶塌滑区、坡下塌方区）的设计使用年限。</w:t>
      </w:r>
    </w:p>
    <w:p w14:paraId="03E32341">
      <w:pPr>
        <w:numPr>
          <w:ilvl w:val="0"/>
          <w:numId w:val="0"/>
        </w:numPr>
        <w:bidi w:val="0"/>
        <w:ind w:left="0" w:leftChars="0" w:firstLine="0" w:firstLineChars="0"/>
        <w:rPr>
          <w:rFonts w:hint="default" w:ascii="Times New Roman" w:hAnsi="Times New Roman" w:cs="Times New Roman"/>
          <w:b/>
          <w:bCs/>
          <w:color w:val="auto"/>
          <w:highlight w:val="none"/>
          <w:lang w:val="en-US" w:eastAsia="zh-CN"/>
        </w:rPr>
      </w:pPr>
      <w:r>
        <w:rPr>
          <w:rFonts w:hint="default" w:ascii="Times New Roman" w:hAnsi="Times New Roman" w:cs="Times New Roman" w:eastAsiaTheme="minorEastAsia"/>
          <w:b/>
          <w:bCs/>
          <w:color w:val="auto"/>
          <w:kern w:val="2"/>
          <w:sz w:val="24"/>
          <w:szCs w:val="24"/>
          <w:highlight w:val="none"/>
          <w:lang w:val="en-US" w:eastAsia="zh-CN" w:bidi="ar-SA"/>
        </w:rPr>
        <w:t>2.</w:t>
      </w:r>
      <w:r>
        <w:rPr>
          <w:rFonts w:hint="eastAsia" w:ascii="Times New Roman" w:hAnsi="Times New Roman" w:cs="Times New Roman"/>
          <w:b/>
          <w:bCs/>
          <w:color w:val="auto"/>
          <w:highlight w:val="none"/>
          <w:lang w:val="en-US" w:eastAsia="zh-CN"/>
        </w:rPr>
        <w:t>0. 12</w:t>
      </w:r>
      <w:r>
        <w:rPr>
          <w:rFonts w:hint="eastAsia" w:ascii="Times New Roman" w:hAnsi="Times New Roman" w:cs="Times New Roman"/>
          <w:b w:val="0"/>
          <w:bCs w:val="0"/>
          <w:color w:val="auto"/>
          <w:highlight w:val="none"/>
          <w:lang w:val="en-US" w:eastAsia="zh-CN"/>
        </w:rPr>
        <w:t xml:space="preserve">  边坡塌滑区  slope collapse area</w:t>
      </w:r>
    </w:p>
    <w:p w14:paraId="3CFB200C">
      <w:pPr>
        <w:bidi w:val="0"/>
        <w:ind w:firstLine="48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计算边坡最大侧压力时潜在滑动面和控制边坡稳定的外倾结构面以外的区域。</w:t>
      </w:r>
    </w:p>
    <w:p w14:paraId="2280A184">
      <w:p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24238CC3">
      <w:pPr>
        <w:bidi w:val="0"/>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边坡塌滑区范围可按下式估算：</w:t>
      </w:r>
    </w:p>
    <w:p w14:paraId="7C0877CE">
      <w:pPr>
        <w:bidi w:val="0"/>
        <w:ind w:firstLine="480" w:firstLineChars="200"/>
        <w:jc w:val="center"/>
        <w:rPr>
          <w:rFonts w:ascii="Times New Roman" w:hAnsi="Times New Roman" w:cs="Times New Roman"/>
          <w:color w:val="0000FF"/>
          <w:highlight w:val="none"/>
        </w:rPr>
      </w:pPr>
      <w:r>
        <w:rPr>
          <w:rFonts w:ascii="Times New Roman" w:hAnsi="Times New Roman" w:cs="Times New Roman"/>
          <w:color w:val="0000FF"/>
          <w:highlight w:val="none"/>
        </w:rPr>
        <w:drawing>
          <wp:inline distT="0" distB="0" distL="114300" distR="114300">
            <wp:extent cx="742950" cy="390525"/>
            <wp:effectExtent l="0" t="0" r="0" b="8255"/>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1"/>
                    <a:stretch>
                      <a:fillRect/>
                    </a:stretch>
                  </pic:blipFill>
                  <pic:spPr>
                    <a:xfrm>
                      <a:off x="0" y="0"/>
                      <a:ext cx="742950" cy="390525"/>
                    </a:xfrm>
                    <a:prstGeom prst="rect">
                      <a:avLst/>
                    </a:prstGeom>
                    <a:noFill/>
                    <a:ln>
                      <a:noFill/>
                    </a:ln>
                  </pic:spPr>
                </pic:pic>
              </a:graphicData>
            </a:graphic>
          </wp:inline>
        </w:drawing>
      </w:r>
    </w:p>
    <w:p w14:paraId="54EFF7E3">
      <w:pPr>
        <w:bidi w:val="0"/>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i/>
          <w:iCs/>
          <w:color w:val="0000FF"/>
          <w:highlight w:val="none"/>
          <w:lang w:val="en-US" w:eastAsia="zh-CN"/>
        </w:rPr>
        <w:t>L</w:t>
      </w:r>
      <w:r>
        <w:rPr>
          <w:rFonts w:hint="eastAsia" w:ascii="Times New Roman" w:hAnsi="Times New Roman" w:cs="Times New Roman"/>
          <w:color w:val="0000FF"/>
          <w:highlight w:val="none"/>
          <w:lang w:val="en-US" w:eastAsia="zh-CN"/>
        </w:rPr>
        <w:t>--边坡坡顶塌滑区外缘至底边缘的水平投影距离（m）；</w:t>
      </w:r>
    </w:p>
    <w:p w14:paraId="3A570114">
      <w:pPr>
        <w:bidi w:val="0"/>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i/>
          <w:iCs/>
          <w:color w:val="0000FF"/>
          <w:highlight w:val="none"/>
          <w:lang w:val="en-US" w:eastAsia="zh-CN"/>
        </w:rPr>
        <w:t>H</w:t>
      </w:r>
      <w:r>
        <w:rPr>
          <w:rFonts w:hint="eastAsia" w:ascii="Times New Roman" w:hAnsi="Times New Roman" w:cs="Times New Roman"/>
          <w:color w:val="0000FF"/>
          <w:highlight w:val="none"/>
          <w:lang w:val="en-US" w:eastAsia="zh-CN"/>
        </w:rPr>
        <w:t>--边坡高度（m）；</w:t>
      </w:r>
    </w:p>
    <w:p w14:paraId="6DA94E7D">
      <w:pPr>
        <w:bidi w:val="0"/>
        <w:ind w:firstLine="480" w:firstLineChars="200"/>
        <w:rPr>
          <w:rFonts w:hint="default" w:ascii="Times New Roman" w:hAnsi="Times New Roman" w:cs="Times New Roman"/>
          <w:color w:val="0000FF"/>
          <w:highlight w:val="none"/>
          <w:lang w:val="en-US" w:eastAsia="zh-CN"/>
        </w:rPr>
      </w:pPr>
      <w:r>
        <w:rPr>
          <w:rFonts w:ascii="Times New Roman" w:hAnsi="Times New Roman" w:cs="Times New Roman"/>
          <w:color w:val="0000FF"/>
          <w:highlight w:val="none"/>
        </w:rPr>
        <w:drawing>
          <wp:inline distT="0" distB="0" distL="114300" distR="114300">
            <wp:extent cx="123825" cy="171450"/>
            <wp:effectExtent l="0" t="0" r="9525"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2"/>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cs="Times New Roman"/>
          <w:color w:val="0000FF"/>
          <w:highlight w:val="none"/>
          <w:lang w:val="en-US" w:eastAsia="zh-CN"/>
        </w:rPr>
        <w:t>--坡顶无荷载时边坡的破裂角（°）；对直立土质边坡可取45°+</w:t>
      </w:r>
      <w:r>
        <w:rPr>
          <w:rFonts w:hint="default" w:ascii="Times New Roman" w:hAnsi="Times New Roman" w:cs="Times New Roman"/>
          <w:i/>
          <w:iCs/>
          <w:color w:val="0000FF"/>
          <w:highlight w:val="none"/>
          <w:lang w:val="en-US" w:eastAsia="zh-CN"/>
        </w:rPr>
        <w:t>φ</w:t>
      </w:r>
      <w:r>
        <w:rPr>
          <w:rFonts w:hint="eastAsia" w:ascii="Times New Roman" w:hAnsi="Times New Roman" w:cs="Times New Roman"/>
          <w:i w:val="0"/>
          <w:iCs w:val="0"/>
          <w:color w:val="0000FF"/>
          <w:highlight w:val="none"/>
          <w:lang w:val="en-US" w:eastAsia="zh-CN"/>
        </w:rPr>
        <w:t>/2，</w:t>
      </w:r>
      <w:r>
        <w:rPr>
          <w:rFonts w:hint="default" w:ascii="Times New Roman" w:hAnsi="Times New Roman" w:cs="Times New Roman"/>
          <w:i/>
          <w:iCs/>
          <w:color w:val="0000FF"/>
          <w:highlight w:val="none"/>
          <w:lang w:val="en-US" w:eastAsia="zh-CN"/>
        </w:rPr>
        <w:t>φ</w:t>
      </w:r>
      <w:r>
        <w:rPr>
          <w:rFonts w:hint="eastAsia" w:ascii="Times New Roman" w:hAnsi="Times New Roman" w:cs="Times New Roman"/>
          <w:i w:val="0"/>
          <w:iCs w:val="0"/>
          <w:color w:val="0000FF"/>
          <w:highlight w:val="none"/>
          <w:lang w:val="en-US" w:eastAsia="zh-CN"/>
        </w:rPr>
        <w:t>为土体的内摩擦角；对斜面土质边坡，可取（</w:t>
      </w:r>
      <w:r>
        <w:rPr>
          <w:rFonts w:hint="eastAsia" w:ascii="Times New Roman" w:hAnsi="Times New Roman" w:cs="Times New Roman"/>
          <w:i/>
          <w:iCs/>
          <w:color w:val="0000FF"/>
          <w:highlight w:val="none"/>
          <w:lang w:val="en-US" w:eastAsia="zh-CN"/>
        </w:rPr>
        <w:t>β</w:t>
      </w:r>
      <w:r>
        <w:rPr>
          <w:rFonts w:hint="eastAsia" w:ascii="Times New Roman" w:hAnsi="Times New Roman" w:cs="Times New Roman"/>
          <w:i w:val="0"/>
          <w:iCs w:val="0"/>
          <w:color w:val="0000FF"/>
          <w:highlight w:val="none"/>
          <w:lang w:val="en-US" w:eastAsia="zh-CN"/>
        </w:rPr>
        <w:t>+</w:t>
      </w:r>
      <w:r>
        <w:rPr>
          <w:rFonts w:hint="default" w:ascii="Times New Roman" w:hAnsi="Times New Roman" w:cs="Times New Roman"/>
          <w:i/>
          <w:iCs/>
          <w:color w:val="0000FF"/>
          <w:highlight w:val="none"/>
          <w:lang w:val="en-US" w:eastAsia="zh-CN"/>
        </w:rPr>
        <w:t>φ</w:t>
      </w:r>
      <w:r>
        <w:rPr>
          <w:rFonts w:hint="eastAsia" w:ascii="Times New Roman" w:hAnsi="Times New Roman" w:cs="Times New Roman"/>
          <w:i w:val="0"/>
          <w:iCs w:val="0"/>
          <w:color w:val="0000FF"/>
          <w:highlight w:val="none"/>
          <w:lang w:val="en-US" w:eastAsia="zh-CN"/>
        </w:rPr>
        <w:t>）/2，</w:t>
      </w:r>
      <w:r>
        <w:rPr>
          <w:rFonts w:hint="eastAsia" w:ascii="Times New Roman" w:hAnsi="Times New Roman" w:cs="Times New Roman"/>
          <w:i/>
          <w:iCs/>
          <w:color w:val="0000FF"/>
          <w:highlight w:val="none"/>
          <w:lang w:val="en-US" w:eastAsia="zh-CN"/>
        </w:rPr>
        <w:t>β</w:t>
      </w:r>
      <w:r>
        <w:rPr>
          <w:rFonts w:hint="eastAsia" w:ascii="Times New Roman" w:hAnsi="Times New Roman" w:cs="Times New Roman"/>
          <w:i w:val="0"/>
          <w:iCs w:val="0"/>
          <w:color w:val="0000FF"/>
          <w:highlight w:val="none"/>
          <w:lang w:val="en-US" w:eastAsia="zh-CN"/>
        </w:rPr>
        <w:t>为坡面与水平面的夹角，</w:t>
      </w:r>
      <w:r>
        <w:rPr>
          <w:rFonts w:hint="default" w:ascii="Times New Roman" w:hAnsi="Times New Roman" w:cs="Times New Roman"/>
          <w:i/>
          <w:iCs/>
          <w:color w:val="0000FF"/>
          <w:highlight w:val="none"/>
          <w:lang w:val="en-US" w:eastAsia="zh-CN"/>
        </w:rPr>
        <w:t>φ</w:t>
      </w:r>
      <w:r>
        <w:rPr>
          <w:rFonts w:hint="eastAsia" w:ascii="Times New Roman" w:hAnsi="Times New Roman" w:cs="Times New Roman"/>
          <w:i w:val="0"/>
          <w:iCs w:val="0"/>
          <w:color w:val="0000FF"/>
          <w:highlight w:val="none"/>
          <w:lang w:val="en-US" w:eastAsia="zh-CN"/>
        </w:rPr>
        <w:t>为土体的内摩擦角；对于岩质边坡可</w:t>
      </w:r>
      <w:r>
        <w:rPr>
          <w:rFonts w:hint="eastAsia" w:ascii="Times New Roman" w:hAnsi="Times New Roman" w:cs="Times New Roman"/>
          <w:color w:val="0000FF"/>
          <w:highlight w:val="none"/>
          <w:lang w:val="en-US" w:eastAsia="zh-CN"/>
        </w:rPr>
        <w:t>根据《建筑边坡工程技术规范》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 50330</w:t>
      </w:r>
      <w:r>
        <w:rPr>
          <w:rFonts w:hint="eastAsia" w:cs="Times New Roman"/>
          <w:color w:val="0000FF"/>
          <w:highlight w:val="none"/>
          <w:lang w:val="en-US" w:eastAsia="zh-CN"/>
        </w:rPr>
        <w:t>中的</w:t>
      </w:r>
      <w:r>
        <w:rPr>
          <w:rFonts w:hint="eastAsia" w:ascii="Times New Roman" w:hAnsi="Times New Roman" w:cs="Times New Roman"/>
          <w:color w:val="0000FF"/>
          <w:highlight w:val="none"/>
          <w:lang w:val="en-US" w:eastAsia="zh-CN"/>
        </w:rPr>
        <w:t>3.2.3条确定。</w:t>
      </w:r>
    </w:p>
    <w:p w14:paraId="72CA791F">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2. 0. 13</w:t>
      </w:r>
      <w:r>
        <w:rPr>
          <w:rFonts w:hint="eastAsia" w:ascii="Times New Roman" w:hAnsi="Times New Roman" w:cs="Times New Roman"/>
          <w:highlight w:val="none"/>
          <w:lang w:val="en-US" w:eastAsia="zh-CN"/>
        </w:rPr>
        <w:t xml:space="preserve">  </w:t>
      </w:r>
      <w:r>
        <w:rPr>
          <w:rFonts w:hint="eastAsia" w:ascii="Times New Roman" w:hAnsi="Times New Roman" w:cs="Times New Roman"/>
          <w:color w:val="000000" w:themeColor="text1"/>
          <w:highlight w:val="none"/>
          <w:shd w:val="clear"/>
          <w:lang w:val="en-US" w:eastAsia="zh-CN"/>
          <w14:textFill>
            <w14:solidFill>
              <w14:schemeClr w14:val="tx1"/>
            </w14:solidFill>
          </w14:textFill>
        </w:rPr>
        <w:t>典型边坡段  typical slope section</w:t>
      </w:r>
    </w:p>
    <w:p w14:paraId="225743AE">
      <w:pPr>
        <w:bidi w:val="0"/>
        <w:ind w:firstLine="48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根据工程地质、周边环境、边坡走向等由设计单位确定的边坡支护段。</w:t>
      </w:r>
    </w:p>
    <w:p w14:paraId="57BA0BB4">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6090D3C0">
      <w:pPr>
        <w:bidi w:val="0"/>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3660775" cy="2940050"/>
            <wp:effectExtent l="0" t="0" r="15875" b="12700"/>
            <wp:docPr id="4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
                    <pic:cNvPicPr>
                      <a:picLocks noChangeAspect="1"/>
                    </pic:cNvPicPr>
                  </pic:nvPicPr>
                  <pic:blipFill>
                    <a:blip r:embed="rId13"/>
                    <a:stretch>
                      <a:fillRect/>
                    </a:stretch>
                  </pic:blipFill>
                  <pic:spPr>
                    <a:xfrm>
                      <a:off x="0" y="0"/>
                      <a:ext cx="3660775" cy="2940050"/>
                    </a:xfrm>
                    <a:prstGeom prst="rect">
                      <a:avLst/>
                    </a:prstGeom>
                    <a:noFill/>
                    <a:ln>
                      <a:noFill/>
                    </a:ln>
                  </pic:spPr>
                </pic:pic>
              </a:graphicData>
            </a:graphic>
          </wp:inline>
        </w:drawing>
      </w:r>
    </w:p>
    <w:p w14:paraId="0E31933B">
      <w:pPr>
        <w:bidi w:val="0"/>
        <w:jc w:val="center"/>
        <w:rPr>
          <w:rFonts w:hint="default" w:ascii="Times New Roman" w:hAnsi="Times New Roman" w:cs="Times New Roman" w:eastAsiaTheme="minorEastAsia"/>
          <w:highlight w:val="none"/>
          <w:lang w:val="en-US" w:eastAsia="zh-CN"/>
        </w:rPr>
      </w:pPr>
      <w:r>
        <w:rPr>
          <w:rFonts w:hint="eastAsia" w:cs="Times New Roman"/>
          <w:highlight w:val="none"/>
          <w:lang w:val="en-US" w:eastAsia="zh-CN"/>
        </w:rPr>
        <w:t>图2-1 典型</w:t>
      </w:r>
      <w:r>
        <w:rPr>
          <w:rFonts w:hint="eastAsia" w:ascii="Times New Roman" w:hAnsi="Times New Roman" w:cs="Times New Roman"/>
          <w:color w:val="0000FF"/>
          <w:highlight w:val="none"/>
          <w:lang w:val="en-US" w:eastAsia="zh-CN"/>
        </w:rPr>
        <w:t>边坡段</w:t>
      </w:r>
    </w:p>
    <w:p w14:paraId="43A030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图ABCD、ABEF、CDHG皆为典型边坡段。</w:t>
      </w:r>
    </w:p>
    <w:p w14:paraId="62AEC65B">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2. 0. 14</w:t>
      </w:r>
      <w:r>
        <w:rPr>
          <w:rFonts w:hint="eastAsia" w:ascii="Times New Roman" w:hAnsi="Times New Roman" w:cs="Times New Roman"/>
          <w:highlight w:val="none"/>
          <w:lang w:val="en-US" w:eastAsia="zh-CN"/>
        </w:rPr>
        <w:t xml:space="preserve">  监测断面  monitoring section</w:t>
      </w:r>
    </w:p>
    <w:p w14:paraId="2C660FDF">
      <w:pPr>
        <w:bidi w:val="0"/>
        <w:ind w:firstLine="480"/>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highlight w:val="none"/>
          <w:lang w:val="en-US" w:eastAsia="zh-CN"/>
        </w:rPr>
        <w:t>本</w:t>
      </w:r>
      <w:r>
        <w:rPr>
          <w:rFonts w:hint="eastAsia" w:cs="Times New Roman"/>
          <w:highlight w:val="none"/>
          <w:lang w:val="en-US" w:eastAsia="zh-CN"/>
        </w:rPr>
        <w:t>标准</w:t>
      </w:r>
      <w:r>
        <w:rPr>
          <w:rFonts w:hint="eastAsia" w:ascii="Times New Roman" w:hAnsi="Times New Roman" w:cs="Times New Roman"/>
          <w:highlight w:val="none"/>
          <w:lang w:val="en-US" w:eastAsia="zh-CN"/>
        </w:rPr>
        <w:t>指</w:t>
      </w:r>
      <w:r>
        <w:rPr>
          <w:rFonts w:hint="eastAsia" w:ascii="Times New Roman" w:hAnsi="Times New Roman" w:cs="Times New Roman"/>
          <w:color w:val="000000" w:themeColor="text1"/>
          <w:highlight w:val="none"/>
          <w:lang w:val="en-US" w:eastAsia="zh-CN"/>
          <w14:textFill>
            <w14:solidFill>
              <w14:schemeClr w14:val="tx1"/>
            </w14:solidFill>
          </w14:textFill>
        </w:rPr>
        <w:t>与边坡走向相垂直的监测面。</w:t>
      </w:r>
    </w:p>
    <w:p w14:paraId="12BA3E44">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0A978BCA">
      <w:pPr>
        <w:jc w:val="center"/>
        <w:rPr>
          <w:rFonts w:hint="eastAsia" w:ascii="Times New Roman" w:hAnsi="Times New Roman" w:cs="Times New Roman"/>
          <w:color w:val="0000FF"/>
          <w:highlight w:val="none"/>
          <w:lang w:val="en-US" w:eastAsia="zh-CN"/>
        </w:rPr>
      </w:pPr>
      <w:r>
        <w:rPr>
          <w:rFonts w:ascii="Times New Roman" w:hAnsi="Times New Roman" w:cs="Times New Roman"/>
          <w:color w:val="0000FF"/>
          <w:highlight w:val="none"/>
        </w:rPr>
        <w:drawing>
          <wp:inline distT="0" distB="0" distL="114300" distR="114300">
            <wp:extent cx="3705860" cy="2087245"/>
            <wp:effectExtent l="0" t="0" r="12700" b="63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4"/>
                    <a:stretch>
                      <a:fillRect/>
                    </a:stretch>
                  </pic:blipFill>
                  <pic:spPr>
                    <a:xfrm>
                      <a:off x="0" y="0"/>
                      <a:ext cx="3705860" cy="2087245"/>
                    </a:xfrm>
                    <a:prstGeom prst="rect">
                      <a:avLst/>
                    </a:prstGeom>
                    <a:noFill/>
                    <a:ln>
                      <a:noFill/>
                    </a:ln>
                  </pic:spPr>
                </pic:pic>
              </a:graphicData>
            </a:graphic>
          </wp:inline>
        </w:drawing>
      </w:r>
    </w:p>
    <w:p w14:paraId="6689AC2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0000FF"/>
          <w:highlight w:val="none"/>
          <w:lang w:val="en-US" w:eastAsia="zh-CN"/>
        </w:rPr>
      </w:pPr>
      <w:r>
        <w:rPr>
          <w:rFonts w:hint="eastAsia" w:cs="Times New Roman"/>
          <w:highlight w:val="none"/>
          <w:lang w:val="en-US" w:eastAsia="zh-CN"/>
        </w:rPr>
        <w:t>图2-2 监测断面</w:t>
      </w:r>
    </w:p>
    <w:p w14:paraId="55EBD0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color w:val="0000FF"/>
          <w:highlight w:val="none"/>
          <w:lang w:val="en-US" w:eastAsia="zh-CN"/>
        </w:rPr>
        <w:t>图ABCDEFG</w:t>
      </w:r>
      <w:r>
        <w:rPr>
          <w:rFonts w:hint="default" w:ascii="Times New Roman" w:hAnsi="Times New Roman" w:cs="Times New Roman"/>
          <w:color w:val="0000FF"/>
          <w:highlight w:val="none"/>
          <w:lang w:val="en-US" w:eastAsia="zh-CN"/>
        </w:rPr>
        <w:t>组成的面就是一个断面</w:t>
      </w:r>
      <w:r>
        <w:rPr>
          <w:rFonts w:hint="eastAsia" w:ascii="Times New Roman" w:hAnsi="Times New Roman" w:cs="Times New Roman"/>
          <w:color w:val="0000FF"/>
          <w:highlight w:val="none"/>
          <w:lang w:val="en-US" w:eastAsia="zh-CN"/>
        </w:rPr>
        <w:t>。</w:t>
      </w:r>
    </w:p>
    <w:p w14:paraId="427AC324">
      <w:pPr>
        <w:rPr>
          <w:rFonts w:hint="eastAsia" w:ascii="Times New Roman" w:hAnsi="Times New Roman" w:cs="Times New Roman"/>
          <w:highlight w:val="none"/>
          <w:lang w:val="en-US" w:eastAsia="zh-CN"/>
        </w:rPr>
      </w:pPr>
    </w:p>
    <w:p w14:paraId="0A455127">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2. 0. 15</w:t>
      </w:r>
      <w:r>
        <w:rPr>
          <w:rFonts w:hint="eastAsia" w:ascii="Times New Roman" w:hAnsi="Times New Roman" w:cs="Times New Roman"/>
          <w:highlight w:val="none"/>
          <w:lang w:val="en-US" w:eastAsia="zh-CN"/>
        </w:rPr>
        <w:t xml:space="preserve">  监测仪器  monitoring instruments</w:t>
      </w:r>
    </w:p>
    <w:p w14:paraId="36D50C39">
      <w:pPr>
        <w:bidi w:val="0"/>
        <w:ind w:firstLine="48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单独或与一个或多个辅助设备组合，用于进行测量的装置。</w:t>
      </w:r>
    </w:p>
    <w:p w14:paraId="0A157BD1">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2. 0. 16</w:t>
      </w:r>
      <w:r>
        <w:rPr>
          <w:rFonts w:hint="eastAsia" w:ascii="Times New Roman" w:hAnsi="Times New Roman" w:cs="Times New Roman"/>
          <w:highlight w:val="none"/>
          <w:lang w:val="en-US" w:eastAsia="zh-CN"/>
        </w:rPr>
        <w:t xml:space="preserve">  监测设备  monitorin equipment</w:t>
      </w:r>
    </w:p>
    <w:p w14:paraId="48A1EFA1">
      <w:pPr>
        <w:bidi w:val="0"/>
        <w:ind w:firstLine="48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为实现监测过程所必需的监测仪器、软件、监测标准、标准物质、辅助设备或其组合。</w:t>
      </w:r>
    </w:p>
    <w:p w14:paraId="4D060ED7">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2. 0. 17</w:t>
      </w:r>
      <w:r>
        <w:rPr>
          <w:rFonts w:hint="eastAsia" w:ascii="Times New Roman" w:hAnsi="Times New Roman" w:cs="Times New Roman"/>
          <w:highlight w:val="none"/>
          <w:lang w:val="en-US" w:eastAsia="zh-CN"/>
        </w:rPr>
        <w:t xml:space="preserve">  监测传感器（监测元件）  monitoring sensors (monitoring components)</w:t>
      </w:r>
    </w:p>
    <w:p w14:paraId="211D8E30">
      <w:pPr>
        <w:bidi w:val="0"/>
        <w:ind w:firstLine="48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用于监测的，提供与输入量有确定关系的输出量的器件或器具。</w:t>
      </w:r>
    </w:p>
    <w:p w14:paraId="6C9699A0">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21C083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参考《通用计量术语及定义》</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JJF 1001-2011。</w:t>
      </w:r>
    </w:p>
    <w:p w14:paraId="7A606C93">
      <w:pPr>
        <w:rPr>
          <w:rFonts w:hint="eastAsia" w:ascii="Times New Roman" w:hAnsi="Times New Roman" w:cs="Times New Roman"/>
          <w:highlight w:val="none"/>
          <w:lang w:val="en-US" w:eastAsia="zh-CN"/>
        </w:rPr>
      </w:pPr>
    </w:p>
    <w:p w14:paraId="753AFD06">
      <w:pPr>
        <w:rPr>
          <w:rFonts w:hint="default"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51FD5D1D">
      <w:pPr>
        <w:pStyle w:val="2"/>
        <w:bidi w:val="0"/>
        <w:rPr>
          <w:rFonts w:hint="eastAsia" w:ascii="Times New Roman" w:hAnsi="Times New Roman" w:cs="Times New Roman"/>
          <w:highlight w:val="none"/>
          <w:lang w:val="en-US" w:eastAsia="zh-CN"/>
        </w:rPr>
      </w:pPr>
      <w:bookmarkStart w:id="16" w:name="_Toc28676"/>
      <w:bookmarkStart w:id="17" w:name="_Toc4933"/>
      <w:bookmarkStart w:id="18" w:name="_Toc18113"/>
      <w:bookmarkStart w:id="19" w:name="_Toc6472"/>
      <w:bookmarkStart w:id="20" w:name="_Toc18963"/>
      <w:bookmarkStart w:id="21" w:name="_Toc13230"/>
      <w:bookmarkStart w:id="22" w:name="_Toc27405"/>
      <w:r>
        <w:rPr>
          <w:rFonts w:hint="eastAsia" w:ascii="Times New Roman" w:hAnsi="Times New Roman" w:cs="Times New Roman"/>
          <w:highlight w:val="none"/>
          <w:lang w:val="en-US" w:eastAsia="zh-CN"/>
        </w:rPr>
        <w:t>3 基本规定</w:t>
      </w:r>
      <w:bookmarkEnd w:id="16"/>
      <w:bookmarkEnd w:id="17"/>
      <w:bookmarkEnd w:id="18"/>
      <w:bookmarkEnd w:id="19"/>
      <w:bookmarkEnd w:id="20"/>
      <w:bookmarkEnd w:id="21"/>
      <w:bookmarkEnd w:id="22"/>
    </w:p>
    <w:p w14:paraId="474B2F1C">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3. 0. 1</w:t>
      </w:r>
      <w:r>
        <w:rPr>
          <w:rFonts w:hint="eastAsia" w:ascii="Times New Roman" w:hAnsi="Times New Roman" w:cs="Times New Roman"/>
          <w:highlight w:val="none"/>
          <w:lang w:val="en-US" w:eastAsia="zh-CN"/>
        </w:rPr>
        <w:t xml:space="preserve">  下列建筑边坡应实施边坡工程监测：</w:t>
      </w:r>
    </w:p>
    <w:p w14:paraId="73C2D2AE">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工程安全等级为一、二级；</w:t>
      </w:r>
    </w:p>
    <w:p w14:paraId="573475CF">
      <w:pPr>
        <w:ind w:firstLine="482" w:firstLineChars="200"/>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 xml:space="preserve">2  </w:t>
      </w:r>
      <w:r>
        <w:rPr>
          <w:rFonts w:hint="eastAsia" w:ascii="Times New Roman" w:hAnsi="Times New Roman" w:cs="Times New Roman"/>
          <w:b w:val="0"/>
          <w:bCs w:val="0"/>
          <w:highlight w:val="none"/>
          <w:lang w:val="en-US" w:eastAsia="zh-CN"/>
        </w:rPr>
        <w:t>发现安全隐患的边坡；</w:t>
      </w:r>
    </w:p>
    <w:p w14:paraId="0BD32219">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其他需要进行监测的边坡。</w:t>
      </w:r>
    </w:p>
    <w:p w14:paraId="32C6B065">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0F646B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《2022年中国自然资源统计公报》显示，2022年，全国共发生地质灾害5659起，其中滑坡</w:t>
      </w:r>
      <w:r>
        <w:rPr>
          <w:rFonts w:hint="eastAsia" w:ascii="Times New Roman" w:hAnsi="Times New Roman" w:cs="Times New Roman"/>
          <w:color w:val="0000FF"/>
          <w:highlight w:val="none"/>
          <w:lang w:val="en-US" w:eastAsia="zh-CN"/>
        </w:rPr>
        <w:t>就有</w:t>
      </w:r>
      <w:r>
        <w:rPr>
          <w:rFonts w:hint="default" w:ascii="Times New Roman" w:hAnsi="Times New Roman" w:cs="Times New Roman"/>
          <w:color w:val="0000FF"/>
          <w:highlight w:val="none"/>
          <w:lang w:val="en-US" w:eastAsia="zh-CN"/>
        </w:rPr>
        <w:t>3919起</w:t>
      </w:r>
      <w:r>
        <w:rPr>
          <w:rFonts w:hint="eastAsia" w:ascii="Times New Roman" w:hAnsi="Times New Roman" w:cs="Times New Roman"/>
          <w:color w:val="0000FF"/>
          <w:highlight w:val="none"/>
          <w:lang w:val="en-US" w:eastAsia="zh-CN"/>
        </w:rPr>
        <w:t>。建筑边坡工程在施工和使用过程中经常发生滑塌、支护结构坍塌、周围岩土体坍塌以及建（构）筑物、地下管线等周边环境对象的过大变形或破坏等安全风险事件，因此，在建筑边坡施工过程中，开展工程监测工作对安全风险事件的预防预报和控制安全风险事件的发生具有十分重要的意义。</w:t>
      </w:r>
    </w:p>
    <w:p w14:paraId="18BACB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边坡工程安全等级的定义参考《建筑边坡工程技术规范》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 50330确定。而其他需要进行监测的边坡主要包括：采用新工艺、新工法施工的边坡。</w:t>
      </w:r>
    </w:p>
    <w:p w14:paraId="0D9ADD97">
      <w:pPr>
        <w:shd w:val="clea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3. 0. 2 </w:t>
      </w:r>
      <w:r>
        <w:rPr>
          <w:rFonts w:hint="eastAsia" w:ascii="Times New Roman" w:hAnsi="Times New Roman" w:cs="Times New Roman"/>
          <w:highlight w:val="none"/>
          <w:lang w:val="en-US" w:eastAsia="zh-CN"/>
        </w:rPr>
        <w:t>建筑边坡工程监测的技术要求应由设计单位提出，应包括安全等级、监测项目、测点分布、监测期限、监测频率和监测预警值等。</w:t>
      </w:r>
    </w:p>
    <w:p w14:paraId="12A498A8">
      <w:pPr>
        <w:shd w:val="clea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657115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由于建筑边坡成功设计理论还不够完善，施工场地也存在各种复杂因素的影响，建筑边坡工程设计方案能否真实地反映建筑边坡工程实际状况，只有在方案实施过程中才能得到最终的验证，其中现场监测是获得上述验证的重要和可靠手段，因此在建筑边坡工程设计阶段应由设计单位提出对建筑边坡工程进行现场监测的要求。由设计单位提出的监测要求，并非一个完整的监测方案，但有些内容或指标应由设计单位明确提出，如：边坡工程安全等级、监测项目、测点分布、监测期限、监测频率和监测预警值等。只有这样，监测单位才能依据设计单位的要求编制出合理的监测方案。</w:t>
      </w:r>
    </w:p>
    <w:p w14:paraId="2580E0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rPr>
        <w:t>边坡运营期各项监测技术要求主要由设计单位提出，经监测单位补充完善。</w:t>
      </w:r>
    </w:p>
    <w:p w14:paraId="68BD913A">
      <w:pPr>
        <w:bidi w:val="0"/>
        <w:jc w:val="left"/>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3. 0. 3</w:t>
      </w:r>
      <w:r>
        <w:rPr>
          <w:rFonts w:hint="eastAsia" w:ascii="Times New Roman" w:hAnsi="Times New Roman" w:cs="Times New Roman"/>
          <w:highlight w:val="none"/>
          <w:lang w:val="en-US" w:eastAsia="zh-CN"/>
        </w:rPr>
        <w:t xml:space="preserve">  建筑边坡工程施工前，应由建设单位委托具备相应能力的第三方监测单位对建筑边坡工程实施监测。</w:t>
      </w:r>
    </w:p>
    <w:p w14:paraId="14CAE871">
      <w:pPr>
        <w:bidi w:val="0"/>
        <w:jc w:val="left"/>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55D97F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工程监测包括施工监测和第三方监测，二者之间为相互独立的关系，第三方监测并不能代替施工监测。施工监测一般由施工单位自行完成，目的是对施工过程进行监控和控制，而第三方监测则由有相应能力独立第三方监测单位专门负责，目的是确保施工质量符合相关法规和标准。</w:t>
      </w:r>
    </w:p>
    <w:p w14:paraId="5A8063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对处于运营期的边坡，特别是对周边环境安全产生影响的边坡，除建设方外，亦可由可能受影响的主体或政府部门委托具备相应能力的监测单位对边坡进行监测。</w:t>
      </w:r>
    </w:p>
    <w:p w14:paraId="3651D578">
      <w:pPr>
        <w:bidi w:val="0"/>
        <w:jc w:val="left"/>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 xml:space="preserve">3. 0. 4  </w:t>
      </w:r>
      <w:r>
        <w:rPr>
          <w:rFonts w:hint="eastAsia" w:ascii="Times New Roman" w:hAnsi="Times New Roman" w:cs="Times New Roman"/>
          <w:highlight w:val="none"/>
          <w:lang w:val="en-US" w:eastAsia="zh-CN"/>
        </w:rPr>
        <w:t>监测单位应编制监测方案，监测方案应经建设单位、设计单位等认可，必要时尚应与周边环境涉及的相关权属单位协商一致后实施。</w:t>
      </w:r>
    </w:p>
    <w:p w14:paraId="015C5527">
      <w:pPr>
        <w:bidi w:val="0"/>
        <w:jc w:val="left"/>
        <w:rPr>
          <w:rFonts w:hint="eastAsia" w:ascii="Times New Roman" w:hAnsi="Times New Roman" w:cs="Times New Roman"/>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2FA061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监测单位拟定出监测方案后，提交工程建设单位，建设单位应遵照建设主管部门的有关规定，组织设计、监理、监测等单位讨论审定监测方案。当边坡工程影响范围内有重要的管线、道路桥梁、文物以及铁路、城市轨道交通等时，还应组织有相关主管单位参加的协调会议，监测方案经协商一致后，监测工作方能正式开始。必要时，应根据有关部门的要求，编制专项监测方案。</w:t>
      </w:r>
    </w:p>
    <w:p w14:paraId="79DF8272">
      <w:pPr>
        <w:numPr>
          <w:ilvl w:val="0"/>
          <w:numId w:val="0"/>
        </w:num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3. 0. 5</w:t>
      </w:r>
      <w:r>
        <w:rPr>
          <w:rFonts w:hint="eastAsia" w:ascii="Times New Roman" w:hAnsi="Times New Roman" w:cs="Times New Roman"/>
          <w:highlight w:val="none"/>
          <w:lang w:val="en-US" w:eastAsia="zh-CN"/>
        </w:rPr>
        <w:t xml:space="preserve">  下列建筑边坡工程的监测方案应进行专项论证：</w:t>
      </w:r>
    </w:p>
    <w:p w14:paraId="3E9600D6">
      <w:pPr>
        <w:numPr>
          <w:ilvl w:val="0"/>
          <w:numId w:val="0"/>
        </w:num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地质和环境条件复杂的建筑边坡工程；</w:t>
      </w:r>
    </w:p>
    <w:p w14:paraId="43E8B176">
      <w:pPr>
        <w:numPr>
          <w:ilvl w:val="0"/>
          <w:numId w:val="0"/>
        </w:num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邻近重要建筑、设施、管线等破坏后果很严重的建筑边坡工程；</w:t>
      </w:r>
    </w:p>
    <w:p w14:paraId="5FE89ACE">
      <w:pPr>
        <w:numPr>
          <w:ilvl w:val="0"/>
          <w:numId w:val="0"/>
        </w:num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3  </w:t>
      </w:r>
      <w:r>
        <w:rPr>
          <w:rFonts w:hint="eastAsia" w:ascii="Times New Roman" w:hAnsi="Times New Roman" w:cs="Times New Roman"/>
          <w:highlight w:val="none"/>
          <w:lang w:val="en-US" w:eastAsia="zh-CN"/>
        </w:rPr>
        <w:t>已发生严重事故，重新组织施工的建筑边坡工程；</w:t>
      </w:r>
    </w:p>
    <w:p w14:paraId="241C26A8">
      <w:pPr>
        <w:numPr>
          <w:ilvl w:val="0"/>
          <w:numId w:val="0"/>
        </w:num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4  </w:t>
      </w:r>
      <w:r>
        <w:rPr>
          <w:rFonts w:hint="eastAsia" w:ascii="Times New Roman" w:hAnsi="Times New Roman" w:cs="Times New Roman"/>
          <w:highlight w:val="none"/>
          <w:lang w:val="en-US" w:eastAsia="zh-CN"/>
        </w:rPr>
        <w:t>采用新技术、新工艺、新材料、新设备的一、二级建筑边坡工程；</w:t>
      </w:r>
    </w:p>
    <w:p w14:paraId="15C87D5D">
      <w:pPr>
        <w:numPr>
          <w:ilvl w:val="0"/>
          <w:numId w:val="0"/>
        </w:numPr>
        <w:bidi w:val="0"/>
        <w:ind w:firstLine="482"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 xml:space="preserve">5  </w:t>
      </w:r>
      <w:r>
        <w:rPr>
          <w:rFonts w:hint="eastAsia" w:ascii="Times New Roman" w:hAnsi="Times New Roman" w:cs="Times New Roman"/>
          <w:color w:val="000000" w:themeColor="text1"/>
          <w:highlight w:val="none"/>
          <w:lang w:val="en-US" w:eastAsia="zh-CN"/>
          <w14:textFill>
            <w14:solidFill>
              <w14:schemeClr w14:val="tx1"/>
            </w14:solidFill>
          </w14:textFill>
        </w:rPr>
        <w:t>其他需要论证的建筑边坡工程。</w:t>
      </w:r>
    </w:p>
    <w:p w14:paraId="61D90E4C">
      <w:pPr>
        <w:numPr>
          <w:ilvl w:val="0"/>
          <w:numId w:val="0"/>
        </w:num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1CE1FC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本条对</w:t>
      </w:r>
      <w:r>
        <w:rPr>
          <w:rFonts w:hint="eastAsia" w:ascii="Times New Roman" w:hAnsi="Times New Roman" w:cs="Times New Roman"/>
          <w:color w:val="0000FF"/>
          <w:highlight w:val="none"/>
          <w:lang w:val="en-US" w:eastAsia="zh-CN"/>
        </w:rPr>
        <w:t>边坡</w:t>
      </w:r>
      <w:r>
        <w:rPr>
          <w:rFonts w:hint="default" w:ascii="Times New Roman" w:hAnsi="Times New Roman" w:cs="Times New Roman"/>
          <w:color w:val="0000FF"/>
          <w:highlight w:val="none"/>
          <w:lang w:val="en-US" w:eastAsia="zh-CN"/>
        </w:rPr>
        <w:t>工程监测方案的专项论证</w:t>
      </w:r>
      <w:r>
        <w:rPr>
          <w:rFonts w:hint="eastAsia" w:ascii="Times New Roman" w:hAnsi="Times New Roman" w:cs="Times New Roman"/>
          <w:color w:val="0000FF"/>
          <w:highlight w:val="none"/>
          <w:lang w:val="en-US" w:eastAsia="zh-CN"/>
        </w:rPr>
        <w:t>作出</w:t>
      </w:r>
      <w:r>
        <w:rPr>
          <w:rFonts w:hint="default" w:ascii="Times New Roman" w:hAnsi="Times New Roman" w:cs="Times New Roman"/>
          <w:color w:val="0000FF"/>
          <w:highlight w:val="none"/>
          <w:lang w:val="en-US" w:eastAsia="zh-CN"/>
        </w:rPr>
        <w:t>了规定</w:t>
      </w:r>
      <w:r>
        <w:rPr>
          <w:rFonts w:hint="eastAsia" w:ascii="Times New Roman" w:hAnsi="Times New Roman" w:cs="Times New Roman"/>
          <w:color w:val="0000FF"/>
          <w:highlight w:val="none"/>
          <w:lang w:val="en-US" w:eastAsia="zh-CN"/>
        </w:rPr>
        <w:t>。</w:t>
      </w:r>
    </w:p>
    <w:p w14:paraId="184611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主要从边坡破坏后果和建筑工程技术难度来进行考虑。建筑边坡邻近重要建（构）筑物时，破坏后会产生较严重后果，需进行专项论证。</w:t>
      </w:r>
      <w:r>
        <w:rPr>
          <w:rFonts w:hint="default" w:ascii="Times New Roman" w:hAnsi="Times New Roman" w:cs="Times New Roman"/>
          <w:color w:val="0000FF"/>
          <w:highlight w:val="none"/>
          <w:lang w:val="en-US" w:eastAsia="zh-CN"/>
        </w:rPr>
        <w:t>对</w:t>
      </w:r>
      <w:r>
        <w:rPr>
          <w:rFonts w:hint="eastAsia" w:ascii="Times New Roman" w:hAnsi="Times New Roman" w:cs="Times New Roman"/>
          <w:color w:val="0000FF"/>
          <w:highlight w:val="none"/>
          <w:lang w:val="en-US" w:eastAsia="zh-CN"/>
        </w:rPr>
        <w:t>高边坡、地质和环境条件复杂的边坡、</w:t>
      </w:r>
      <w:r>
        <w:rPr>
          <w:rFonts w:hint="default" w:ascii="Times New Roman" w:hAnsi="Times New Roman" w:cs="Times New Roman"/>
          <w:color w:val="0000FF"/>
          <w:highlight w:val="none"/>
          <w:lang w:val="en-US" w:eastAsia="zh-CN"/>
        </w:rPr>
        <w:t>工程中出现的重大技术难题、新成果的合理推广应用以及发生严重事故后重新组织施工的</w:t>
      </w:r>
      <w:r>
        <w:rPr>
          <w:rFonts w:hint="eastAsia" w:ascii="Times New Roman" w:hAnsi="Times New Roman" w:cs="Times New Roman"/>
          <w:color w:val="0000FF"/>
          <w:highlight w:val="none"/>
          <w:lang w:val="en-US" w:eastAsia="zh-CN"/>
        </w:rPr>
        <w:t>边坡</w:t>
      </w:r>
      <w:r>
        <w:rPr>
          <w:rFonts w:hint="default" w:ascii="Times New Roman" w:hAnsi="Times New Roman" w:cs="Times New Roman"/>
          <w:color w:val="0000FF"/>
          <w:highlight w:val="none"/>
          <w:lang w:val="en-US" w:eastAsia="zh-CN"/>
        </w:rPr>
        <w:t>工程监测，采用专门技术论证的方式可达到安全适用、技术先进、经济合理的良好效果。</w:t>
      </w:r>
    </w:p>
    <w:p w14:paraId="3065CF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同时，为总结各类需进行论证的建筑边坡的特征，编制组收集了省内各地经过方案论证的边坡方案的相关信息，如表</w:t>
      </w:r>
      <w:r>
        <w:rPr>
          <w:rFonts w:hint="eastAsia" w:cs="Times New Roman"/>
          <w:color w:val="0000FF"/>
          <w:highlight w:val="none"/>
          <w:lang w:val="en-US" w:eastAsia="zh-CN"/>
        </w:rPr>
        <w:t>3-1</w:t>
      </w:r>
      <w:r>
        <w:rPr>
          <w:rFonts w:hint="eastAsia" w:ascii="Times New Roman" w:hAnsi="Times New Roman" w:cs="Times New Roman"/>
          <w:color w:val="0000FF"/>
          <w:highlight w:val="none"/>
          <w:lang w:val="en-US" w:eastAsia="zh-CN"/>
        </w:rPr>
        <w:t>：</w:t>
      </w:r>
    </w:p>
    <w:p w14:paraId="1E0F2B8C">
      <w:pPr>
        <w:numPr>
          <w:ilvl w:val="0"/>
          <w:numId w:val="0"/>
        </w:numPr>
        <w:bidi w:val="0"/>
        <w:jc w:val="center"/>
        <w:rPr>
          <w:rFonts w:hint="eastAsia" w:ascii="Times New Roman" w:hAnsi="Times New Roman" w:cs="Times New Roman" w:eastAsiaTheme="minorEastAsia"/>
          <w:color w:val="0000FF"/>
          <w:highlight w:val="none"/>
          <w:lang w:val="en-US" w:eastAsia="zh-CN"/>
        </w:rPr>
      </w:pPr>
      <w:r>
        <w:rPr>
          <w:rFonts w:hint="eastAsia" w:cs="Times New Roman"/>
          <w:color w:val="0000FF"/>
          <w:highlight w:val="none"/>
          <w:lang w:val="en-US" w:eastAsia="zh-CN"/>
        </w:rPr>
        <w:t>表3-1 经</w:t>
      </w:r>
      <w:r>
        <w:rPr>
          <w:rFonts w:hint="eastAsia" w:cs="Times New Roman"/>
          <w:color w:val="0000FF"/>
          <w:highlight w:val="none"/>
        </w:rPr>
        <w:t>方案论证的边坡</w:t>
      </w:r>
      <w:r>
        <w:rPr>
          <w:rFonts w:hint="eastAsia" w:cs="Times New Roman"/>
          <w:color w:val="0000FF"/>
          <w:highlight w:val="none"/>
          <w:lang w:val="en-US" w:eastAsia="zh-CN"/>
        </w:rPr>
        <w:t>信息</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382"/>
        <w:gridCol w:w="644"/>
        <w:gridCol w:w="843"/>
        <w:gridCol w:w="1636"/>
        <w:gridCol w:w="900"/>
        <w:gridCol w:w="2351"/>
      </w:tblGrid>
      <w:tr w14:paraId="52CE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14:paraId="0BAB5EFF">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序号</w:t>
            </w:r>
          </w:p>
        </w:tc>
        <w:tc>
          <w:tcPr>
            <w:tcW w:w="1382" w:type="dxa"/>
            <w:vAlign w:val="center"/>
          </w:tcPr>
          <w:p w14:paraId="2521C6EC">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工程名称</w:t>
            </w:r>
          </w:p>
        </w:tc>
        <w:tc>
          <w:tcPr>
            <w:tcW w:w="644" w:type="dxa"/>
            <w:vAlign w:val="center"/>
          </w:tcPr>
          <w:p w14:paraId="2AA81706">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边坡类型</w:t>
            </w:r>
          </w:p>
        </w:tc>
        <w:tc>
          <w:tcPr>
            <w:tcW w:w="843" w:type="dxa"/>
            <w:vAlign w:val="center"/>
          </w:tcPr>
          <w:p w14:paraId="1201EF11">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边坡高度</w:t>
            </w:r>
          </w:p>
        </w:tc>
        <w:tc>
          <w:tcPr>
            <w:tcW w:w="1636" w:type="dxa"/>
            <w:vAlign w:val="center"/>
          </w:tcPr>
          <w:p w14:paraId="59CBC574">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支护形式</w:t>
            </w:r>
          </w:p>
        </w:tc>
        <w:tc>
          <w:tcPr>
            <w:tcW w:w="900" w:type="dxa"/>
            <w:vAlign w:val="center"/>
          </w:tcPr>
          <w:p w14:paraId="76815CB2">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填方或挖方边坡</w:t>
            </w:r>
          </w:p>
        </w:tc>
        <w:tc>
          <w:tcPr>
            <w:tcW w:w="2351" w:type="dxa"/>
            <w:vAlign w:val="center"/>
          </w:tcPr>
          <w:p w14:paraId="1B3591D3">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进行边坡监测方案论证原因</w:t>
            </w:r>
          </w:p>
        </w:tc>
      </w:tr>
      <w:tr w14:paraId="69A4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14:paraId="546ADA06">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1</w:t>
            </w:r>
          </w:p>
        </w:tc>
        <w:tc>
          <w:tcPr>
            <w:tcW w:w="1382" w:type="dxa"/>
            <w:vAlign w:val="center"/>
          </w:tcPr>
          <w:p w14:paraId="0E3BAE7B">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广东科贸职业学院清远校区二期工程</w:t>
            </w:r>
          </w:p>
        </w:tc>
        <w:tc>
          <w:tcPr>
            <w:tcW w:w="644" w:type="dxa"/>
            <w:vAlign w:val="center"/>
          </w:tcPr>
          <w:p w14:paraId="1C9C2269">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14:paraId="4B0A93F3">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64m</w:t>
            </w:r>
          </w:p>
        </w:tc>
        <w:tc>
          <w:tcPr>
            <w:tcW w:w="1636" w:type="dxa"/>
            <w:vAlign w:val="center"/>
          </w:tcPr>
          <w:p w14:paraId="62F52146">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放坡+格构梁</w:t>
            </w:r>
          </w:p>
        </w:tc>
        <w:tc>
          <w:tcPr>
            <w:tcW w:w="900" w:type="dxa"/>
            <w:vAlign w:val="center"/>
          </w:tcPr>
          <w:p w14:paraId="422247DB">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14:paraId="33A5A249">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边坡工程安全等级为一级，边坡高度超《建筑边坡工程技术规范》</w:t>
            </w:r>
            <w:r>
              <w:rPr>
                <w:rFonts w:hint="eastAsia" w:eastAsia="宋体" w:cs="Times New Roman"/>
                <w:color w:val="0000FF"/>
                <w:kern w:val="0"/>
                <w:sz w:val="20"/>
                <w:szCs w:val="20"/>
                <w:highlight w:val="none"/>
                <w:lang w:val="en-US" w:eastAsia="zh-CN" w:bidi="ar"/>
              </w:rPr>
              <w:t xml:space="preserve"> </w:t>
            </w:r>
            <w:r>
              <w:rPr>
                <w:rFonts w:ascii="Times New Roman" w:hAnsi="Times New Roman" w:eastAsia="宋体" w:cs="Times New Roman"/>
                <w:color w:val="0000FF"/>
                <w:kern w:val="0"/>
                <w:sz w:val="20"/>
                <w:szCs w:val="20"/>
                <w:highlight w:val="none"/>
                <w:lang w:val="en-US" w:eastAsia="zh-CN" w:bidi="ar"/>
              </w:rPr>
              <w:t>GB 50330-2013</w:t>
            </w:r>
            <w:r>
              <w:rPr>
                <w:rFonts w:hint="eastAsia" w:ascii="Times New Roman" w:hAnsi="Times New Roman" w:eastAsia="宋体" w:cs="Times New Roman"/>
                <w:color w:val="0000FF"/>
                <w:kern w:val="0"/>
                <w:sz w:val="20"/>
                <w:szCs w:val="20"/>
                <w:highlight w:val="none"/>
                <w:lang w:val="en-US" w:eastAsia="zh-CN" w:bidi="ar"/>
              </w:rPr>
              <w:t>适</w:t>
            </w:r>
            <w:r>
              <w:rPr>
                <w:rFonts w:ascii="Times New Roman" w:hAnsi="Times New Roman" w:eastAsia="宋体" w:cs="Times New Roman"/>
                <w:color w:val="0000FF"/>
                <w:kern w:val="0"/>
                <w:sz w:val="20"/>
                <w:szCs w:val="20"/>
                <w:highlight w:val="none"/>
                <w:lang w:val="en-US" w:eastAsia="zh-CN" w:bidi="ar"/>
              </w:rPr>
              <w:t>用范围</w:t>
            </w:r>
          </w:p>
        </w:tc>
      </w:tr>
      <w:tr w14:paraId="3A85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14:paraId="7DE7BFEC">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2</w:t>
            </w:r>
          </w:p>
        </w:tc>
        <w:tc>
          <w:tcPr>
            <w:tcW w:w="1382" w:type="dxa"/>
            <w:vAlign w:val="center"/>
          </w:tcPr>
          <w:p w14:paraId="274E8299">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广东工程职业技术学院清远校区二期工程</w:t>
            </w:r>
          </w:p>
        </w:tc>
        <w:tc>
          <w:tcPr>
            <w:tcW w:w="644" w:type="dxa"/>
            <w:vAlign w:val="center"/>
          </w:tcPr>
          <w:p w14:paraId="4B563A71">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14:paraId="5CF47140">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60.2m</w:t>
            </w:r>
          </w:p>
        </w:tc>
        <w:tc>
          <w:tcPr>
            <w:tcW w:w="1636" w:type="dxa"/>
            <w:vAlign w:val="center"/>
          </w:tcPr>
          <w:p w14:paraId="3D0190A8">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放坡+植草防护</w:t>
            </w:r>
          </w:p>
        </w:tc>
        <w:tc>
          <w:tcPr>
            <w:tcW w:w="900" w:type="dxa"/>
            <w:vAlign w:val="center"/>
          </w:tcPr>
          <w:p w14:paraId="3B402DFE">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14:paraId="3B291FAD">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边坡工程安全等级为一级，边坡高度超《建筑边坡工程技术规范》</w:t>
            </w:r>
            <w:r>
              <w:rPr>
                <w:rFonts w:hint="eastAsia" w:eastAsia="宋体" w:cs="Times New Roman"/>
                <w:color w:val="0000FF"/>
                <w:kern w:val="0"/>
                <w:sz w:val="20"/>
                <w:szCs w:val="20"/>
                <w:highlight w:val="none"/>
                <w:lang w:val="en-US" w:eastAsia="zh-CN" w:bidi="ar"/>
              </w:rPr>
              <w:t xml:space="preserve"> </w:t>
            </w:r>
            <w:r>
              <w:rPr>
                <w:rFonts w:ascii="Times New Roman" w:hAnsi="Times New Roman" w:eastAsia="宋体" w:cs="Times New Roman"/>
                <w:color w:val="0000FF"/>
                <w:kern w:val="0"/>
                <w:sz w:val="20"/>
                <w:szCs w:val="20"/>
                <w:highlight w:val="none"/>
                <w:lang w:val="en-US" w:eastAsia="zh-CN" w:bidi="ar"/>
              </w:rPr>
              <w:t>GB 50330-2013</w:t>
            </w:r>
            <w:r>
              <w:rPr>
                <w:rFonts w:hint="eastAsia" w:ascii="Times New Roman" w:hAnsi="Times New Roman" w:eastAsia="宋体" w:cs="Times New Roman"/>
                <w:color w:val="0000FF"/>
                <w:kern w:val="0"/>
                <w:sz w:val="20"/>
                <w:szCs w:val="20"/>
                <w:highlight w:val="none"/>
                <w:lang w:val="en-US" w:eastAsia="zh-CN" w:bidi="ar"/>
              </w:rPr>
              <w:t>适</w:t>
            </w:r>
            <w:r>
              <w:rPr>
                <w:rFonts w:ascii="Times New Roman" w:hAnsi="Times New Roman" w:eastAsia="宋体" w:cs="Times New Roman"/>
                <w:color w:val="0000FF"/>
                <w:kern w:val="0"/>
                <w:sz w:val="20"/>
                <w:szCs w:val="20"/>
                <w:highlight w:val="none"/>
                <w:lang w:val="en-US" w:eastAsia="zh-CN" w:bidi="ar"/>
              </w:rPr>
              <w:t>用范围</w:t>
            </w:r>
          </w:p>
        </w:tc>
      </w:tr>
      <w:tr w14:paraId="290F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14:paraId="726484E0">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3</w:t>
            </w:r>
          </w:p>
        </w:tc>
        <w:tc>
          <w:tcPr>
            <w:tcW w:w="1382" w:type="dxa"/>
            <w:vAlign w:val="center"/>
          </w:tcPr>
          <w:p w14:paraId="27218525">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广清产业园希普边坡修复工程</w:t>
            </w:r>
          </w:p>
        </w:tc>
        <w:tc>
          <w:tcPr>
            <w:tcW w:w="644" w:type="dxa"/>
            <w:vAlign w:val="center"/>
          </w:tcPr>
          <w:p w14:paraId="7A3F19B0">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14:paraId="4F7FDBE0">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9.00m～12.50m</w:t>
            </w:r>
          </w:p>
        </w:tc>
        <w:tc>
          <w:tcPr>
            <w:tcW w:w="1636" w:type="dxa"/>
            <w:vAlign w:val="center"/>
          </w:tcPr>
          <w:p w14:paraId="7B3DA705">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灌注桩+锚索，桩顶采用1:1.5人字形骨架护坡的边坡支护型式</w:t>
            </w:r>
          </w:p>
        </w:tc>
        <w:tc>
          <w:tcPr>
            <w:tcW w:w="900" w:type="dxa"/>
            <w:vAlign w:val="center"/>
          </w:tcPr>
          <w:p w14:paraId="5C467452">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14:paraId="1A561A00">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原支挡方式为扶壁式挡墙+放坡，后因挡墙倾覆，边坡滑塌，重新设计修复</w:t>
            </w:r>
          </w:p>
        </w:tc>
      </w:tr>
      <w:tr w14:paraId="1ACB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14:paraId="78F203F3">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4</w:t>
            </w:r>
          </w:p>
        </w:tc>
        <w:tc>
          <w:tcPr>
            <w:tcW w:w="1382" w:type="dxa"/>
            <w:vAlign w:val="center"/>
          </w:tcPr>
          <w:p w14:paraId="50FB48FF">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鼎基花园高边坡</w:t>
            </w:r>
          </w:p>
        </w:tc>
        <w:tc>
          <w:tcPr>
            <w:tcW w:w="644" w:type="dxa"/>
            <w:vAlign w:val="center"/>
          </w:tcPr>
          <w:p w14:paraId="71756388">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14:paraId="15D6710E">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16m</w:t>
            </w:r>
          </w:p>
        </w:tc>
        <w:tc>
          <w:tcPr>
            <w:tcW w:w="1636" w:type="dxa"/>
            <w:vAlign w:val="center"/>
          </w:tcPr>
          <w:p w14:paraId="21778871">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桩锚支护</w:t>
            </w:r>
          </w:p>
        </w:tc>
        <w:tc>
          <w:tcPr>
            <w:tcW w:w="900" w:type="dxa"/>
            <w:vAlign w:val="center"/>
          </w:tcPr>
          <w:p w14:paraId="4E9D43B3">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14:paraId="2837D0F0">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边坡工程安全等级为一级，边坡高度超《建筑边坡工程技术规范》</w:t>
            </w:r>
            <w:r>
              <w:rPr>
                <w:rFonts w:hint="eastAsia" w:eastAsia="宋体" w:cs="Times New Roman"/>
                <w:color w:val="0000FF"/>
                <w:kern w:val="0"/>
                <w:sz w:val="20"/>
                <w:szCs w:val="20"/>
                <w:highlight w:val="none"/>
                <w:lang w:val="en-US" w:eastAsia="zh-CN" w:bidi="ar"/>
              </w:rPr>
              <w:t xml:space="preserve"> </w:t>
            </w:r>
            <w:r>
              <w:rPr>
                <w:rFonts w:ascii="Times New Roman" w:hAnsi="Times New Roman" w:eastAsia="宋体" w:cs="Times New Roman"/>
                <w:color w:val="0000FF"/>
                <w:kern w:val="0"/>
                <w:sz w:val="20"/>
                <w:szCs w:val="20"/>
                <w:highlight w:val="none"/>
                <w:lang w:val="en-US" w:eastAsia="zh-CN" w:bidi="ar"/>
              </w:rPr>
              <w:t>GB 50330-2013</w:t>
            </w:r>
            <w:r>
              <w:rPr>
                <w:rFonts w:hint="eastAsia" w:ascii="Times New Roman" w:hAnsi="Times New Roman" w:eastAsia="宋体" w:cs="Times New Roman"/>
                <w:color w:val="0000FF"/>
                <w:kern w:val="0"/>
                <w:sz w:val="20"/>
                <w:szCs w:val="20"/>
                <w:highlight w:val="none"/>
                <w:lang w:val="en-US" w:eastAsia="zh-CN" w:bidi="ar"/>
              </w:rPr>
              <w:t>适</w:t>
            </w:r>
            <w:r>
              <w:rPr>
                <w:rFonts w:ascii="Times New Roman" w:hAnsi="Times New Roman" w:eastAsia="宋体" w:cs="Times New Roman"/>
                <w:color w:val="0000FF"/>
                <w:kern w:val="0"/>
                <w:sz w:val="20"/>
                <w:szCs w:val="20"/>
                <w:highlight w:val="none"/>
                <w:lang w:val="en-US" w:eastAsia="zh-CN" w:bidi="ar"/>
              </w:rPr>
              <w:t>用范围</w:t>
            </w:r>
          </w:p>
        </w:tc>
      </w:tr>
      <w:tr w14:paraId="19CF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14:paraId="196B9759">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5</w:t>
            </w:r>
          </w:p>
        </w:tc>
        <w:tc>
          <w:tcPr>
            <w:tcW w:w="1382" w:type="dxa"/>
            <w:vAlign w:val="center"/>
          </w:tcPr>
          <w:p w14:paraId="319D31A6">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增城区增江街、永宁街、新塘镇、石滩镇、中新镇城市资源处理中心建设工程</w:t>
            </w:r>
          </w:p>
        </w:tc>
        <w:tc>
          <w:tcPr>
            <w:tcW w:w="644" w:type="dxa"/>
            <w:vAlign w:val="center"/>
          </w:tcPr>
          <w:p w14:paraId="684520E3">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14:paraId="6E1EA1B9">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12m</w:t>
            </w:r>
          </w:p>
        </w:tc>
        <w:tc>
          <w:tcPr>
            <w:tcW w:w="1636" w:type="dxa"/>
            <w:vAlign w:val="center"/>
          </w:tcPr>
          <w:p w14:paraId="00D5DC6B">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"放坡+锚杆混凝土格栅梁"、"重力式挡土墙"、"悬臂式挡土墙"、"放坡+重力式挡土墙"、"自然放坡"</w:t>
            </w:r>
          </w:p>
        </w:tc>
        <w:tc>
          <w:tcPr>
            <w:tcW w:w="900" w:type="dxa"/>
            <w:vAlign w:val="center"/>
          </w:tcPr>
          <w:p w14:paraId="4921E3A7">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14:paraId="7DC50C49">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w:t>
            </w:r>
          </w:p>
        </w:tc>
      </w:tr>
      <w:tr w14:paraId="21A9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14:paraId="48D0A8EB">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6</w:t>
            </w:r>
          </w:p>
        </w:tc>
        <w:tc>
          <w:tcPr>
            <w:tcW w:w="1382" w:type="dxa"/>
            <w:vAlign w:val="center"/>
          </w:tcPr>
          <w:p w14:paraId="4412046D">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增城区前海医院周边市政道路（一期）建设工程</w:t>
            </w:r>
          </w:p>
        </w:tc>
        <w:tc>
          <w:tcPr>
            <w:tcW w:w="644" w:type="dxa"/>
            <w:vAlign w:val="center"/>
          </w:tcPr>
          <w:p w14:paraId="5BA53599">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14:paraId="4FAC2653">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9.5m～34.0m</w:t>
            </w:r>
          </w:p>
        </w:tc>
        <w:tc>
          <w:tcPr>
            <w:tcW w:w="1636" w:type="dxa"/>
            <w:vAlign w:val="center"/>
          </w:tcPr>
          <w:p w14:paraId="3A40DC34">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坡率法、锚杆结合格构梁</w:t>
            </w:r>
          </w:p>
        </w:tc>
        <w:tc>
          <w:tcPr>
            <w:tcW w:w="900" w:type="dxa"/>
            <w:vAlign w:val="center"/>
          </w:tcPr>
          <w:p w14:paraId="5B20BF9A">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14:paraId="31FC29FE">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边坡工程安全等级为一级，边坡高度超《建筑边坡工程技术规范》</w:t>
            </w:r>
            <w:r>
              <w:rPr>
                <w:rFonts w:hint="eastAsia" w:eastAsia="宋体" w:cs="Times New Roman"/>
                <w:color w:val="0000FF"/>
                <w:kern w:val="0"/>
                <w:sz w:val="20"/>
                <w:szCs w:val="20"/>
                <w:highlight w:val="none"/>
                <w:lang w:val="en-US" w:eastAsia="zh-CN" w:bidi="ar"/>
              </w:rPr>
              <w:t xml:space="preserve"> </w:t>
            </w:r>
            <w:r>
              <w:rPr>
                <w:rFonts w:ascii="Times New Roman" w:hAnsi="Times New Roman" w:eastAsia="宋体" w:cs="Times New Roman"/>
                <w:color w:val="0000FF"/>
                <w:kern w:val="0"/>
                <w:sz w:val="20"/>
                <w:szCs w:val="20"/>
                <w:highlight w:val="none"/>
                <w:lang w:val="en-US" w:eastAsia="zh-CN" w:bidi="ar"/>
              </w:rPr>
              <w:t>GB 50330-2013</w:t>
            </w:r>
            <w:r>
              <w:rPr>
                <w:rFonts w:hint="eastAsia" w:ascii="Times New Roman" w:hAnsi="Times New Roman" w:eastAsia="宋体" w:cs="Times New Roman"/>
                <w:color w:val="0000FF"/>
                <w:kern w:val="0"/>
                <w:sz w:val="20"/>
                <w:szCs w:val="20"/>
                <w:highlight w:val="none"/>
                <w:lang w:val="en-US" w:eastAsia="zh-CN" w:bidi="ar"/>
              </w:rPr>
              <w:t>适</w:t>
            </w:r>
            <w:r>
              <w:rPr>
                <w:rFonts w:ascii="Times New Roman" w:hAnsi="Times New Roman" w:eastAsia="宋体" w:cs="Times New Roman"/>
                <w:color w:val="0000FF"/>
                <w:kern w:val="0"/>
                <w:sz w:val="20"/>
                <w:szCs w:val="20"/>
                <w:highlight w:val="none"/>
                <w:lang w:val="en-US" w:eastAsia="zh-CN" w:bidi="ar"/>
              </w:rPr>
              <w:t>用范围</w:t>
            </w:r>
          </w:p>
        </w:tc>
      </w:tr>
      <w:tr w14:paraId="06D9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14:paraId="2A501C79">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7</w:t>
            </w:r>
          </w:p>
        </w:tc>
        <w:tc>
          <w:tcPr>
            <w:tcW w:w="1382" w:type="dxa"/>
            <w:vAlign w:val="center"/>
          </w:tcPr>
          <w:p w14:paraId="37B81036">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广州飘峰地块住宅项目一期工程</w:t>
            </w:r>
          </w:p>
        </w:tc>
        <w:tc>
          <w:tcPr>
            <w:tcW w:w="644" w:type="dxa"/>
            <w:vAlign w:val="center"/>
          </w:tcPr>
          <w:p w14:paraId="604189F1">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14:paraId="2E3C4979">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21m</w:t>
            </w:r>
          </w:p>
        </w:tc>
        <w:tc>
          <w:tcPr>
            <w:tcW w:w="1636" w:type="dxa"/>
            <w:vAlign w:val="center"/>
          </w:tcPr>
          <w:p w14:paraId="09415A4D">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900" w:type="dxa"/>
            <w:vAlign w:val="center"/>
          </w:tcPr>
          <w:p w14:paraId="225392C1">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14:paraId="6FC7E561">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边坡工程安全等级为一级，边坡高度超《建筑边坡工程技术规范》</w:t>
            </w:r>
            <w:r>
              <w:rPr>
                <w:rFonts w:hint="eastAsia" w:eastAsia="宋体" w:cs="Times New Roman"/>
                <w:color w:val="0000FF"/>
                <w:kern w:val="0"/>
                <w:sz w:val="20"/>
                <w:szCs w:val="20"/>
                <w:highlight w:val="none"/>
                <w:lang w:val="en-US" w:eastAsia="zh-CN" w:bidi="ar"/>
              </w:rPr>
              <w:t xml:space="preserve"> </w:t>
            </w:r>
            <w:r>
              <w:rPr>
                <w:rFonts w:ascii="Times New Roman" w:hAnsi="Times New Roman" w:eastAsia="宋体" w:cs="Times New Roman"/>
                <w:color w:val="0000FF"/>
                <w:kern w:val="0"/>
                <w:sz w:val="20"/>
                <w:szCs w:val="20"/>
                <w:highlight w:val="none"/>
                <w:lang w:val="en-US" w:eastAsia="zh-CN" w:bidi="ar"/>
              </w:rPr>
              <w:t>GB 50330-2013</w:t>
            </w:r>
            <w:r>
              <w:rPr>
                <w:rFonts w:hint="eastAsia" w:ascii="Times New Roman" w:hAnsi="Times New Roman" w:eastAsia="宋体" w:cs="Times New Roman"/>
                <w:color w:val="0000FF"/>
                <w:kern w:val="0"/>
                <w:sz w:val="20"/>
                <w:szCs w:val="20"/>
                <w:highlight w:val="none"/>
                <w:lang w:val="en-US" w:eastAsia="zh-CN" w:bidi="ar"/>
              </w:rPr>
              <w:t>适</w:t>
            </w:r>
            <w:r>
              <w:rPr>
                <w:rFonts w:ascii="Times New Roman" w:hAnsi="Times New Roman" w:eastAsia="宋体" w:cs="Times New Roman"/>
                <w:color w:val="0000FF"/>
                <w:kern w:val="0"/>
                <w:sz w:val="20"/>
                <w:szCs w:val="20"/>
                <w:highlight w:val="none"/>
                <w:lang w:val="en-US" w:eastAsia="zh-CN" w:bidi="ar"/>
              </w:rPr>
              <w:t>用范围</w:t>
            </w:r>
          </w:p>
        </w:tc>
      </w:tr>
      <w:tr w14:paraId="669B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14:paraId="7515D20D">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8</w:t>
            </w:r>
          </w:p>
        </w:tc>
        <w:tc>
          <w:tcPr>
            <w:tcW w:w="1382" w:type="dxa"/>
            <w:vAlign w:val="center"/>
          </w:tcPr>
          <w:p w14:paraId="5BF2322F">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广州增城区荔城街三联地块住宅项目第四期（A区）边坡</w:t>
            </w:r>
          </w:p>
        </w:tc>
        <w:tc>
          <w:tcPr>
            <w:tcW w:w="644" w:type="dxa"/>
            <w:vAlign w:val="center"/>
          </w:tcPr>
          <w:p w14:paraId="6C7243CD">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14:paraId="7671EEE2">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11.7m～15.0m</w:t>
            </w:r>
          </w:p>
        </w:tc>
        <w:tc>
          <w:tcPr>
            <w:tcW w:w="1636" w:type="dxa"/>
            <w:vAlign w:val="center"/>
          </w:tcPr>
          <w:p w14:paraId="584FC208">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放坡+扶壁式</w:t>
            </w:r>
            <w:r>
              <w:rPr>
                <w:rFonts w:hint="eastAsia" w:ascii="Times New Roman" w:hAnsi="Times New Roman" w:eastAsia="宋体" w:cs="Times New Roman"/>
                <w:color w:val="0000FF"/>
                <w:kern w:val="0"/>
                <w:sz w:val="20"/>
                <w:szCs w:val="20"/>
                <w:highlight w:val="none"/>
                <w:lang w:val="en-US" w:eastAsia="zh-CN" w:bidi="ar"/>
              </w:rPr>
              <w:t>挡土墙</w:t>
            </w:r>
          </w:p>
        </w:tc>
        <w:tc>
          <w:tcPr>
            <w:tcW w:w="900" w:type="dxa"/>
            <w:vAlign w:val="center"/>
          </w:tcPr>
          <w:p w14:paraId="67BDBBF5">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挖方做</w:t>
            </w:r>
            <w:r>
              <w:rPr>
                <w:rFonts w:hint="eastAsia" w:ascii="Times New Roman" w:hAnsi="Times New Roman" w:eastAsia="宋体" w:cs="Times New Roman"/>
                <w:color w:val="0000FF"/>
                <w:kern w:val="0"/>
                <w:sz w:val="20"/>
                <w:szCs w:val="20"/>
                <w:highlight w:val="none"/>
                <w:lang w:val="en-US" w:eastAsia="zh-CN" w:bidi="ar"/>
              </w:rPr>
              <w:t>挡土墙</w:t>
            </w:r>
            <w:r>
              <w:rPr>
                <w:rFonts w:ascii="Times New Roman" w:hAnsi="Times New Roman" w:eastAsia="宋体" w:cs="Times New Roman"/>
                <w:color w:val="0000FF"/>
                <w:kern w:val="0"/>
                <w:sz w:val="20"/>
                <w:szCs w:val="20"/>
                <w:highlight w:val="none"/>
                <w:lang w:val="en-US" w:eastAsia="zh-CN" w:bidi="ar"/>
              </w:rPr>
              <w:t>，填方施坡</w:t>
            </w:r>
          </w:p>
        </w:tc>
        <w:tc>
          <w:tcPr>
            <w:tcW w:w="2351" w:type="dxa"/>
            <w:vAlign w:val="center"/>
          </w:tcPr>
          <w:p w14:paraId="782CF069">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边坡工程安全等级为一级、永久边坡</w:t>
            </w:r>
          </w:p>
        </w:tc>
      </w:tr>
      <w:tr w14:paraId="0F7F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14:paraId="055D97F9">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9</w:t>
            </w:r>
          </w:p>
        </w:tc>
        <w:tc>
          <w:tcPr>
            <w:tcW w:w="1382" w:type="dxa"/>
            <w:vAlign w:val="center"/>
          </w:tcPr>
          <w:p w14:paraId="167AA38D">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广州市公用事业高级技工学校迁建工程边坡监测技术方案</w:t>
            </w:r>
          </w:p>
        </w:tc>
        <w:tc>
          <w:tcPr>
            <w:tcW w:w="644" w:type="dxa"/>
            <w:vAlign w:val="center"/>
          </w:tcPr>
          <w:p w14:paraId="207041E4">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14:paraId="4F972B04">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7.3m～15.6m</w:t>
            </w:r>
          </w:p>
        </w:tc>
        <w:tc>
          <w:tcPr>
            <w:tcW w:w="1636" w:type="dxa"/>
            <w:vAlign w:val="center"/>
          </w:tcPr>
          <w:p w14:paraId="14A6A4E0">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hint="eastAsia" w:ascii="Times New Roman" w:hAnsi="Times New Roman" w:eastAsia="宋体" w:cs="Times New Roman"/>
                <w:color w:val="0000FF"/>
                <w:kern w:val="0"/>
                <w:sz w:val="20"/>
                <w:szCs w:val="20"/>
                <w:highlight w:val="none"/>
                <w:lang w:val="en-US" w:eastAsia="zh-CN" w:bidi="ar"/>
              </w:rPr>
              <w:t>挡土墙</w:t>
            </w:r>
            <w:r>
              <w:rPr>
                <w:rFonts w:ascii="Times New Roman" w:hAnsi="Times New Roman" w:eastAsia="宋体" w:cs="Times New Roman"/>
                <w:color w:val="0000FF"/>
                <w:kern w:val="0"/>
                <w:sz w:val="20"/>
                <w:szCs w:val="20"/>
                <w:highlight w:val="none"/>
                <w:lang w:val="en-US" w:eastAsia="zh-CN" w:bidi="ar"/>
              </w:rPr>
              <w:t>、放坡</w:t>
            </w:r>
          </w:p>
        </w:tc>
        <w:tc>
          <w:tcPr>
            <w:tcW w:w="900" w:type="dxa"/>
            <w:vAlign w:val="center"/>
          </w:tcPr>
          <w:p w14:paraId="34A78278">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14:paraId="29195DB0">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边坡工程安全等级为一级、永久边坡</w:t>
            </w:r>
          </w:p>
        </w:tc>
      </w:tr>
      <w:tr w14:paraId="7F09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14:paraId="249292AE">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10</w:t>
            </w:r>
          </w:p>
        </w:tc>
        <w:tc>
          <w:tcPr>
            <w:tcW w:w="1382" w:type="dxa"/>
            <w:vAlign w:val="center"/>
          </w:tcPr>
          <w:p w14:paraId="0DE29015">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国际冷链物流项目周边道路设计施工总承包-高边坡工程监测</w:t>
            </w:r>
          </w:p>
        </w:tc>
        <w:tc>
          <w:tcPr>
            <w:tcW w:w="644" w:type="dxa"/>
            <w:vAlign w:val="center"/>
          </w:tcPr>
          <w:p w14:paraId="650ECB83">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14:paraId="53745078">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14</w:t>
            </w:r>
            <w:r>
              <w:rPr>
                <w:rFonts w:hint="eastAsia" w:ascii="Times New Roman" w:hAnsi="Times New Roman" w:eastAsia="宋体" w:cs="Times New Roman"/>
                <w:color w:val="0000FF"/>
                <w:kern w:val="0"/>
                <w:sz w:val="20"/>
                <w:szCs w:val="20"/>
                <w:highlight w:val="none"/>
                <w:lang w:val="en-US" w:eastAsia="zh-CN" w:bidi="ar"/>
              </w:rPr>
              <w:t>-</w:t>
            </w:r>
            <w:r>
              <w:rPr>
                <w:rFonts w:ascii="Times New Roman" w:hAnsi="Times New Roman" w:eastAsia="宋体" w:cs="Times New Roman"/>
                <w:color w:val="0000FF"/>
                <w:kern w:val="0"/>
                <w:sz w:val="20"/>
                <w:szCs w:val="20"/>
                <w:highlight w:val="none"/>
                <w:lang w:val="en-US" w:eastAsia="zh-CN" w:bidi="ar"/>
              </w:rPr>
              <w:t>m～21m</w:t>
            </w:r>
          </w:p>
        </w:tc>
        <w:tc>
          <w:tcPr>
            <w:tcW w:w="1636" w:type="dxa"/>
            <w:vAlign w:val="center"/>
          </w:tcPr>
          <w:p w14:paraId="768AEF55">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hint="eastAsia" w:ascii="Times New Roman" w:hAnsi="Times New Roman" w:eastAsia="宋体" w:cs="Times New Roman"/>
                <w:color w:val="0000FF"/>
                <w:kern w:val="0"/>
                <w:sz w:val="20"/>
                <w:szCs w:val="20"/>
                <w:highlight w:val="none"/>
                <w:lang w:val="en-US" w:eastAsia="zh-CN" w:bidi="ar"/>
              </w:rPr>
              <w:t>格构</w:t>
            </w:r>
            <w:r>
              <w:rPr>
                <w:rFonts w:ascii="Times New Roman" w:hAnsi="Times New Roman" w:eastAsia="宋体" w:cs="Times New Roman"/>
                <w:color w:val="0000FF"/>
                <w:kern w:val="0"/>
                <w:sz w:val="20"/>
                <w:szCs w:val="20"/>
                <w:highlight w:val="none"/>
                <w:lang w:val="en-US" w:eastAsia="zh-CN" w:bidi="ar"/>
              </w:rPr>
              <w:t>梁+锚索</w:t>
            </w:r>
          </w:p>
        </w:tc>
        <w:tc>
          <w:tcPr>
            <w:tcW w:w="900" w:type="dxa"/>
            <w:vAlign w:val="center"/>
          </w:tcPr>
          <w:p w14:paraId="027551B3">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14:paraId="54C12366">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边坡工程安全等级为一级、永久边坡</w:t>
            </w:r>
          </w:p>
        </w:tc>
      </w:tr>
    </w:tbl>
    <w:p w14:paraId="45D0FA6C">
      <w:pPr>
        <w:numPr>
          <w:ilvl w:val="0"/>
          <w:numId w:val="0"/>
        </w:numPr>
        <w:bidi w:val="0"/>
        <w:rPr>
          <w:rFonts w:hint="default" w:ascii="Times New Roman" w:hAnsi="Times New Roman" w:cs="Times New Roman"/>
          <w:color w:val="0000FF"/>
          <w:highlight w:val="none"/>
          <w:lang w:val="en-US" w:eastAsia="zh-CN"/>
        </w:rPr>
      </w:pPr>
    </w:p>
    <w:p w14:paraId="74A30B7C">
      <w:pPr>
        <w:rPr>
          <w:rFonts w:hint="default" w:ascii="Times New Roman" w:hAnsi="Times New Roman" w:cs="Times New Roman" w:eastAsiaTheme="minorEastAsia"/>
          <w:highlight w:val="none"/>
          <w:lang w:val="en-US" w:eastAsia="zh-CN"/>
        </w:rPr>
      </w:pPr>
      <w:r>
        <w:rPr>
          <w:rFonts w:hint="eastAsia" w:ascii="Times New Roman" w:hAnsi="Times New Roman" w:cs="Times New Roman"/>
          <w:b/>
          <w:bCs/>
          <w:highlight w:val="none"/>
          <w:lang w:val="en-US" w:eastAsia="zh-CN"/>
        </w:rPr>
        <w:t>3.0.6</w:t>
      </w:r>
      <w:r>
        <w:rPr>
          <w:rFonts w:hint="eastAsia" w:ascii="Times New Roman" w:hAnsi="Times New Roman" w:cs="Times New Roman"/>
          <w:b/>
          <w:bCs/>
          <w:highlight w:val="none"/>
        </w:rPr>
        <w:t xml:space="preserve">  </w:t>
      </w:r>
      <w:r>
        <w:rPr>
          <w:rFonts w:hint="eastAsia" w:ascii="Times New Roman" w:hAnsi="Times New Roman" w:cs="Times New Roman"/>
          <w:highlight w:val="none"/>
        </w:rPr>
        <w:t>在边坡工程监测中，符合以下情况之一时，</w:t>
      </w:r>
      <w:r>
        <w:rPr>
          <w:rFonts w:hint="eastAsia" w:ascii="Times New Roman" w:hAnsi="Times New Roman" w:cs="Times New Roman"/>
          <w:highlight w:val="none"/>
          <w:lang w:val="en-US" w:eastAsia="zh-CN"/>
        </w:rPr>
        <w:t>应</w:t>
      </w:r>
      <w:r>
        <w:rPr>
          <w:rFonts w:hint="eastAsia" w:ascii="Times New Roman" w:hAnsi="Times New Roman" w:cs="Times New Roman"/>
          <w:highlight w:val="none"/>
        </w:rPr>
        <w:t>采用自动化监测：</w:t>
      </w:r>
    </w:p>
    <w:p w14:paraId="4D7D2ED8">
      <w:pPr>
        <w:ind w:firstLine="482" w:firstLineChars="200"/>
        <w:rPr>
          <w:rFonts w:ascii="Times New Roman" w:hAnsi="Times New Roman" w:cs="Times New Roman"/>
          <w:highlight w:val="none"/>
        </w:rPr>
      </w:pPr>
      <w:r>
        <w:rPr>
          <w:rFonts w:hint="eastAsia" w:ascii="Times New Roman" w:hAnsi="Times New Roman" w:cs="Times New Roman"/>
          <w:b/>
          <w:bCs/>
          <w:highlight w:val="none"/>
        </w:rPr>
        <w:t>1</w:t>
      </w:r>
      <w:r>
        <w:rPr>
          <w:rFonts w:hint="eastAsia" w:ascii="Times New Roman" w:hAnsi="Times New Roman" w:cs="Times New Roman"/>
          <w:highlight w:val="none"/>
        </w:rPr>
        <w:t xml:space="preserve">  监测频率要求较高</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需持续观测</w:t>
      </w:r>
      <w:r>
        <w:rPr>
          <w:rFonts w:hint="eastAsia" w:ascii="Times New Roman" w:hAnsi="Times New Roman" w:cs="Times New Roman"/>
          <w:highlight w:val="none"/>
        </w:rPr>
        <w:t>；</w:t>
      </w:r>
    </w:p>
    <w:p w14:paraId="68343E12">
      <w:pPr>
        <w:ind w:firstLine="482" w:firstLineChars="200"/>
        <w:rPr>
          <w:rFonts w:ascii="Times New Roman" w:hAnsi="Times New Roman" w:cs="Times New Roman"/>
          <w:highlight w:val="none"/>
        </w:rPr>
      </w:pPr>
      <w:r>
        <w:rPr>
          <w:rFonts w:hint="eastAsia" w:ascii="Times New Roman" w:hAnsi="Times New Roman" w:cs="Times New Roman"/>
          <w:b/>
          <w:bCs/>
          <w:highlight w:val="none"/>
        </w:rPr>
        <w:t>2</w:t>
      </w:r>
      <w:r>
        <w:rPr>
          <w:rFonts w:hint="eastAsia" w:ascii="Times New Roman" w:hAnsi="Times New Roman" w:cs="Times New Roman"/>
          <w:highlight w:val="none"/>
        </w:rPr>
        <w:t xml:space="preserve">  现场人工难以实施监测；</w:t>
      </w:r>
    </w:p>
    <w:p w14:paraId="503F3F0C">
      <w:pPr>
        <w:ind w:firstLine="482" w:firstLineChars="200"/>
        <w:rPr>
          <w:rFonts w:ascii="Times New Roman" w:hAnsi="Times New Roman" w:cs="Times New Roman"/>
          <w:highlight w:val="none"/>
        </w:rPr>
      </w:pPr>
      <w:r>
        <w:rPr>
          <w:rFonts w:hint="eastAsia" w:ascii="Times New Roman" w:hAnsi="Times New Roman" w:cs="Times New Roman"/>
          <w:b/>
          <w:bCs/>
          <w:highlight w:val="none"/>
        </w:rPr>
        <w:t>3</w:t>
      </w:r>
      <w:r>
        <w:rPr>
          <w:rFonts w:hint="eastAsia" w:ascii="Times New Roman" w:hAnsi="Times New Roman" w:cs="Times New Roman"/>
          <w:highlight w:val="none"/>
        </w:rPr>
        <w:t xml:space="preserve">  安全等级为一级；</w:t>
      </w:r>
    </w:p>
    <w:p w14:paraId="4696A20F">
      <w:pPr>
        <w:ind w:firstLine="482" w:firstLineChars="200"/>
        <w:rPr>
          <w:rFonts w:ascii="Times New Roman" w:hAnsi="Times New Roman" w:cs="Times New Roman"/>
          <w:highlight w:val="none"/>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rPr>
        <w:t xml:space="preserve">  存在</w:t>
      </w:r>
      <w:r>
        <w:rPr>
          <w:rFonts w:hint="eastAsia" w:ascii="Times New Roman" w:hAnsi="Times New Roman" w:cs="Times New Roman"/>
          <w:highlight w:val="none"/>
          <w:lang w:val="en-US" w:eastAsia="zh-CN"/>
        </w:rPr>
        <w:t>落石、塌方等</w:t>
      </w:r>
      <w:r>
        <w:rPr>
          <w:rFonts w:hint="eastAsia" w:ascii="Times New Roman" w:hAnsi="Times New Roman" w:cs="Times New Roman"/>
          <w:highlight w:val="none"/>
        </w:rPr>
        <w:t>明显安全隐患；</w:t>
      </w:r>
    </w:p>
    <w:p w14:paraId="0E10768A">
      <w:pPr>
        <w:ind w:firstLine="482" w:firstLineChars="200"/>
        <w:rPr>
          <w:rFonts w:hint="eastAsia" w:ascii="Times New Roman" w:hAnsi="Times New Roman" w:cs="Times New Roman"/>
          <w:highlight w:val="none"/>
        </w:rPr>
      </w:pPr>
      <w:r>
        <w:rPr>
          <w:rFonts w:hint="eastAsia" w:ascii="Times New Roman" w:hAnsi="Times New Roman" w:cs="Times New Roman"/>
          <w:b/>
          <w:bCs/>
          <w:highlight w:val="none"/>
          <w:lang w:val="en-US" w:eastAsia="zh-CN"/>
        </w:rPr>
        <w:t>5</w:t>
      </w:r>
      <w:r>
        <w:rPr>
          <w:rFonts w:hint="eastAsia" w:ascii="Times New Roman" w:hAnsi="Times New Roman" w:cs="Times New Roman"/>
          <w:highlight w:val="none"/>
        </w:rPr>
        <w:t xml:space="preserve">  其他</w:t>
      </w:r>
      <w:r>
        <w:rPr>
          <w:rFonts w:hint="eastAsia" w:ascii="Times New Roman" w:hAnsi="Times New Roman" w:cs="Times New Roman"/>
          <w:highlight w:val="none"/>
          <w:lang w:val="en-US" w:eastAsia="zh-CN"/>
        </w:rPr>
        <w:t>应</w:t>
      </w:r>
      <w:r>
        <w:rPr>
          <w:rFonts w:hint="eastAsia" w:ascii="Times New Roman" w:hAnsi="Times New Roman" w:cs="Times New Roman"/>
          <w:highlight w:val="none"/>
        </w:rPr>
        <w:t>采用自动化监测的情形。</w:t>
      </w:r>
    </w:p>
    <w:p w14:paraId="288F377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576FA9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监测频率超过2次/1d可认为监测频率高。监测点所在部位采用人工方式进行观测比较困难的监测项目宜采用自动化监测。</w:t>
      </w:r>
    </w:p>
    <w:p w14:paraId="222BB73D">
      <w:p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3. 0. 7</w:t>
      </w:r>
      <w:r>
        <w:rPr>
          <w:rFonts w:hint="eastAsia" w:ascii="Times New Roman" w:hAnsi="Times New Roman" w:cs="Times New Roman"/>
          <w:highlight w:val="none"/>
          <w:lang w:val="en-US" w:eastAsia="zh-CN"/>
        </w:rPr>
        <w:t xml:space="preserve">  破坏后果很严重的边坡工程，应进行运营期监测。</w:t>
      </w:r>
    </w:p>
    <w:p w14:paraId="62109DE8">
      <w:p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441E932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5.1梅大高速路面塌方灾害”给人民生命财产安全造成巨大损失，梅大高速是在2014年12月31日竣工进入运营期，距今已接近10年，按照目前的规范要求，建筑边坡已处于无人监管的状态，为避免该类事故再次发生，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提出，对于破坏后果很严重的边坡工程，在运营期应进行长期监测。除定期的巡视检查外，应优先考虑自动化监测模式。</w:t>
      </w:r>
    </w:p>
    <w:p w14:paraId="5BE2B409">
      <w:p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3. 0. 8</w:t>
      </w:r>
      <w:r>
        <w:rPr>
          <w:rFonts w:hint="eastAsia" w:ascii="Times New Roman" w:hAnsi="Times New Roman" w:cs="Times New Roman"/>
          <w:highlight w:val="none"/>
          <w:lang w:val="en-US" w:eastAsia="zh-CN"/>
        </w:rPr>
        <w:t xml:space="preserve">  监测工作宜按下列步骤进行：</w:t>
      </w:r>
    </w:p>
    <w:p w14:paraId="2F3508FC">
      <w:p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接受委托；</w:t>
      </w:r>
    </w:p>
    <w:p w14:paraId="344F4480">
      <w:p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现场踏勘，收集资料；</w:t>
      </w:r>
    </w:p>
    <w:p w14:paraId="058EEA52">
      <w:p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制定监测方案；</w:t>
      </w:r>
    </w:p>
    <w:p w14:paraId="754558DC">
      <w:p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lang w:val="en-US" w:eastAsia="zh-CN"/>
        </w:rPr>
        <w:t xml:space="preserve">  监测点设置与验收，设备、仪器校验和元器件标定；</w:t>
      </w:r>
    </w:p>
    <w:p w14:paraId="3CD4273A">
      <w:p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highlight w:val="none"/>
          <w:lang w:val="en-US" w:eastAsia="zh-CN"/>
        </w:rPr>
        <w:t xml:space="preserve">  现场监测；</w:t>
      </w:r>
    </w:p>
    <w:p w14:paraId="7165EBCE">
      <w:p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w:t>
      </w:r>
      <w:r>
        <w:rPr>
          <w:rFonts w:hint="eastAsia" w:ascii="Times New Roman" w:hAnsi="Times New Roman" w:cs="Times New Roman"/>
          <w:highlight w:val="none"/>
          <w:lang w:val="en-US" w:eastAsia="zh-CN"/>
        </w:rPr>
        <w:t xml:space="preserve">  监测数据的处理、分析及信息反馈；</w:t>
      </w:r>
    </w:p>
    <w:p w14:paraId="4737D0F7">
      <w:p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7</w:t>
      </w:r>
      <w:r>
        <w:rPr>
          <w:rFonts w:hint="eastAsia" w:ascii="Times New Roman" w:hAnsi="Times New Roman" w:cs="Times New Roman"/>
          <w:highlight w:val="none"/>
          <w:lang w:val="en-US" w:eastAsia="zh-CN"/>
        </w:rPr>
        <w:t xml:space="preserve">  提交阶段性监测结果和报告；</w:t>
      </w:r>
    </w:p>
    <w:p w14:paraId="56C38AAB">
      <w:p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8</w:t>
      </w:r>
      <w:r>
        <w:rPr>
          <w:rFonts w:hint="eastAsia" w:ascii="Times New Roman" w:hAnsi="Times New Roman" w:cs="Times New Roman"/>
          <w:highlight w:val="none"/>
          <w:lang w:val="en-US" w:eastAsia="zh-CN"/>
        </w:rPr>
        <w:t xml:space="preserve">  现场监测工作结束后，提交完整的监测资料。</w:t>
      </w:r>
    </w:p>
    <w:p w14:paraId="58AE3FCD">
      <w:p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3. 0. 9</w:t>
      </w:r>
      <w:r>
        <w:rPr>
          <w:rFonts w:hint="eastAsia" w:ascii="Times New Roman" w:hAnsi="Times New Roman" w:cs="Times New Roman"/>
          <w:highlight w:val="none"/>
          <w:lang w:val="en-US" w:eastAsia="zh-CN"/>
        </w:rPr>
        <w:t xml:space="preserve">  监测单位在现场踏勘、资料收集阶段的主要工作应包括：</w:t>
      </w:r>
    </w:p>
    <w:p w14:paraId="542E06C0">
      <w:p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1  </w:t>
      </w:r>
      <w:r>
        <w:rPr>
          <w:rFonts w:hint="eastAsia" w:ascii="Times New Roman" w:hAnsi="Times New Roman" w:cs="Times New Roman"/>
          <w:b w:val="0"/>
          <w:bCs w:val="0"/>
          <w:highlight w:val="none"/>
          <w:lang w:val="en-US" w:eastAsia="zh-CN"/>
        </w:rPr>
        <w:t>明确</w:t>
      </w:r>
      <w:r>
        <w:rPr>
          <w:rFonts w:hint="eastAsia" w:ascii="Times New Roman" w:hAnsi="Times New Roman" w:cs="Times New Roman"/>
          <w:highlight w:val="none"/>
          <w:lang w:val="en-US" w:eastAsia="zh-CN"/>
        </w:rPr>
        <w:t>建设单位和相关单位的具体要求；</w:t>
      </w:r>
    </w:p>
    <w:p w14:paraId="23B67003">
      <w:p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收集和熟悉岩土工程勘察资料、气象资料、地下工程和建筑边坡工程的设计资料以及施工组织设计（或项目管理规划）等；</w:t>
      </w:r>
    </w:p>
    <w:p w14:paraId="123DC156">
      <w:p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3  </w:t>
      </w:r>
      <w:r>
        <w:rPr>
          <w:rFonts w:hint="eastAsia" w:ascii="Times New Roman" w:hAnsi="Times New Roman" w:cs="Times New Roman"/>
          <w:highlight w:val="none"/>
          <w:lang w:val="en-US" w:eastAsia="zh-CN"/>
        </w:rPr>
        <w:t>收集建筑边坡周边环境各监测对象的原始资料和使用现状等资料。必要时可采用拍照、录像等方法保存有关资料或进行必要的现场测试取得有关资料；</w:t>
      </w:r>
    </w:p>
    <w:p w14:paraId="673B51A6">
      <w:p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4  </w:t>
      </w:r>
      <w:r>
        <w:rPr>
          <w:rFonts w:hint="eastAsia" w:ascii="Times New Roman" w:hAnsi="Times New Roman" w:cs="Times New Roman"/>
          <w:highlight w:val="none"/>
          <w:lang w:val="en-US" w:eastAsia="zh-CN"/>
        </w:rPr>
        <w:t>复核相关资料与现场状况的关系，确定拟监测项目现场实施的可行性；</w:t>
      </w:r>
    </w:p>
    <w:p w14:paraId="062214C4">
      <w:p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highlight w:val="none"/>
          <w:lang w:val="en-US" w:eastAsia="zh-CN"/>
        </w:rPr>
        <w:t xml:space="preserve">  了解相邻工程的设计和施工情况。</w:t>
      </w:r>
    </w:p>
    <w:p w14:paraId="2BD66EDA">
      <w:p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3. 0. 10</w:t>
      </w:r>
      <w:r>
        <w:rPr>
          <w:rFonts w:hint="eastAsia" w:ascii="Times New Roman" w:hAnsi="Times New Roman" w:cs="Times New Roman"/>
          <w:highlight w:val="none"/>
          <w:lang w:val="en-US" w:eastAsia="zh-CN"/>
        </w:rPr>
        <w:t xml:space="preserve">  监测方案应包括下列内容：</w:t>
      </w:r>
    </w:p>
    <w:p w14:paraId="1E0789AF">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工程概况；</w:t>
      </w:r>
    </w:p>
    <w:p w14:paraId="5AC600E0">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监测目的及依据；</w:t>
      </w:r>
    </w:p>
    <w:p w14:paraId="2C40B78F">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监测内容及项目；</w:t>
      </w:r>
    </w:p>
    <w:p w14:paraId="7049D8A4">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lang w:val="en-US" w:eastAsia="zh-CN"/>
        </w:rPr>
        <w:t xml:space="preserve">  仪器设备和人员的配备；</w:t>
      </w:r>
    </w:p>
    <w:p w14:paraId="0C9E26A3">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highlight w:val="none"/>
          <w:lang w:val="en-US" w:eastAsia="zh-CN"/>
        </w:rPr>
        <w:t xml:space="preserve">  测点的布设与保护；</w:t>
      </w:r>
    </w:p>
    <w:p w14:paraId="2EBAEEDF">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w:t>
      </w:r>
      <w:r>
        <w:rPr>
          <w:rFonts w:hint="eastAsia" w:ascii="Times New Roman" w:hAnsi="Times New Roman" w:cs="Times New Roman"/>
          <w:highlight w:val="none"/>
          <w:lang w:val="en-US" w:eastAsia="zh-CN"/>
        </w:rPr>
        <w:t xml:space="preserve">  监测期限和监测频率；</w:t>
      </w:r>
    </w:p>
    <w:p w14:paraId="699A399E">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7</w:t>
      </w:r>
      <w:r>
        <w:rPr>
          <w:rFonts w:hint="eastAsia" w:ascii="Times New Roman" w:hAnsi="Times New Roman" w:cs="Times New Roman"/>
          <w:highlight w:val="none"/>
          <w:lang w:val="en-US" w:eastAsia="zh-CN"/>
        </w:rPr>
        <w:t xml:space="preserve">  监测预警值；</w:t>
      </w:r>
    </w:p>
    <w:p w14:paraId="5581A2C1">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8</w:t>
      </w:r>
      <w:r>
        <w:rPr>
          <w:rFonts w:hint="eastAsia" w:ascii="Times New Roman" w:hAnsi="Times New Roman" w:cs="Times New Roman"/>
          <w:highlight w:val="none"/>
          <w:lang w:val="en-US" w:eastAsia="zh-CN"/>
        </w:rPr>
        <w:t xml:space="preserve">  监测方法及精度；</w:t>
      </w:r>
    </w:p>
    <w:p w14:paraId="0CD743B1">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eastAsia" w:ascii="Times New Roman" w:hAnsi="Times New Roman" w:cs="Times New Roman"/>
          <w:highlight w:val="none"/>
          <w:lang w:val="en-US" w:eastAsia="zh-CN"/>
        </w:rPr>
        <w:t xml:space="preserve">  监测数据处理与信息反馈；</w:t>
      </w:r>
    </w:p>
    <w:p w14:paraId="083762F5">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10</w:t>
      </w:r>
      <w:r>
        <w:rPr>
          <w:rFonts w:hint="eastAsia" w:ascii="Times New Roman" w:hAnsi="Times New Roman" w:cs="Times New Roman"/>
          <w:highlight w:val="none"/>
          <w:lang w:val="en-US" w:eastAsia="zh-CN"/>
        </w:rPr>
        <w:t xml:space="preserve">  监测应急预案；</w:t>
      </w:r>
    </w:p>
    <w:p w14:paraId="5F342DDF">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11 </w:t>
      </w:r>
      <w:r>
        <w:rPr>
          <w:rFonts w:hint="eastAsia" w:ascii="Times New Roman" w:hAnsi="Times New Roman" w:cs="Times New Roman"/>
          <w:highlight w:val="none"/>
          <w:lang w:val="en-US" w:eastAsia="zh-CN"/>
        </w:rPr>
        <w:t xml:space="preserve"> 作业安全及其他管理制度。</w:t>
      </w:r>
    </w:p>
    <w:p w14:paraId="4EC6C1BA">
      <w:pPr>
        <w:numPr>
          <w:ilvl w:val="0"/>
          <w:numId w:val="0"/>
        </w:num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3. 0. 11 </w:t>
      </w:r>
      <w:r>
        <w:rPr>
          <w:rFonts w:hint="eastAsia" w:ascii="Times New Roman" w:hAnsi="Times New Roman" w:cs="Times New Roman"/>
          <w:highlight w:val="none"/>
          <w:lang w:val="en-US" w:eastAsia="zh-CN"/>
        </w:rPr>
        <w:t xml:space="preserve"> 监测单位应严格按照监测方案实施。当建筑边坡工程设计或施工有重大变更时，监测单位应与建设单位及相关单位研究并调整监测方案。</w:t>
      </w:r>
    </w:p>
    <w:p w14:paraId="4A9D434C">
      <w:pPr>
        <w:numPr>
          <w:ilvl w:val="0"/>
          <w:numId w:val="0"/>
        </w:num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4CD9857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监测单位应严格按照审定后的监测方案对</w:t>
      </w:r>
      <w:r>
        <w:rPr>
          <w:rFonts w:hint="eastAsia" w:ascii="Times New Roman" w:hAnsi="Times New Roman" w:cs="Times New Roman"/>
          <w:color w:val="0000FF"/>
          <w:highlight w:val="none"/>
          <w:lang w:val="en-US" w:eastAsia="zh-CN"/>
        </w:rPr>
        <w:t>建筑边坡</w:t>
      </w:r>
      <w:r>
        <w:rPr>
          <w:rFonts w:hint="default" w:ascii="Times New Roman" w:hAnsi="Times New Roman" w:cs="Times New Roman"/>
          <w:color w:val="0000FF"/>
          <w:highlight w:val="none"/>
          <w:lang w:val="en-US" w:eastAsia="zh-CN"/>
        </w:rPr>
        <w:t>工程进行监测</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不得任意减少监测项目、测点，降低监测频率。在实施过程中由于客观原因需要对监测方案做出调整时，应按照工程变更的程序和要求，向建设单位提出书面</w:t>
      </w:r>
      <w:r>
        <w:rPr>
          <w:rFonts w:hint="eastAsia" w:ascii="Times New Roman" w:hAnsi="Times New Roman" w:cs="Times New Roman"/>
          <w:color w:val="0000FF"/>
          <w:highlight w:val="none"/>
          <w:lang w:val="en-US" w:eastAsia="zh-CN"/>
        </w:rPr>
        <w:t>申请，</w:t>
      </w:r>
      <w:r>
        <w:rPr>
          <w:rFonts w:hint="default" w:ascii="Times New Roman" w:hAnsi="Times New Roman" w:cs="Times New Roman"/>
          <w:color w:val="0000FF"/>
          <w:highlight w:val="none"/>
          <w:lang w:val="en-US" w:eastAsia="zh-CN"/>
        </w:rPr>
        <w:t>新的监测方案经审定后方可实施。</w:t>
      </w:r>
    </w:p>
    <w:p w14:paraId="259ACF04">
      <w:pPr>
        <w:numPr>
          <w:ilvl w:val="0"/>
          <w:numId w:val="0"/>
        </w:num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3. 0. 12</w:t>
      </w:r>
      <w:r>
        <w:rPr>
          <w:rFonts w:hint="eastAsia" w:ascii="Times New Roman" w:hAnsi="Times New Roman" w:cs="Times New Roman"/>
          <w:highlight w:val="none"/>
          <w:lang w:val="en-US" w:eastAsia="zh-CN"/>
        </w:rPr>
        <w:t xml:space="preserve">  建筑边坡工程监测期间委托方及施工单位应协助监测单位保护监测设施。</w:t>
      </w:r>
    </w:p>
    <w:p w14:paraId="221EB7F8">
      <w:pPr>
        <w:numPr>
          <w:ilvl w:val="0"/>
          <w:numId w:val="0"/>
        </w:num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3B02429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监测期间，监测方应做好基准点、工作基点、监测点、传感器及导线等监测设施和元器件的保护。</w:t>
      </w:r>
      <w:r>
        <w:rPr>
          <w:rFonts w:hint="eastAsia" w:ascii="Times New Roman" w:hAnsi="Times New Roman" w:cs="Times New Roman"/>
          <w:color w:val="0000FF"/>
          <w:highlight w:val="none"/>
          <w:lang w:val="en-US" w:eastAsia="zh-CN"/>
        </w:rPr>
        <w:t>但除了进行仪器监测和现场巡检工作外，监测方大多时间并不在工程现场。因此，</w:t>
      </w:r>
      <w:r>
        <w:rPr>
          <w:rFonts w:hint="default" w:ascii="Times New Roman" w:hAnsi="Times New Roman" w:cs="Times New Roman"/>
          <w:color w:val="0000FF"/>
          <w:highlight w:val="none"/>
          <w:lang w:val="en-US" w:eastAsia="zh-CN"/>
        </w:rPr>
        <w:t>在</w:t>
      </w:r>
      <w:r>
        <w:rPr>
          <w:rFonts w:hint="eastAsia" w:ascii="Times New Roman" w:hAnsi="Times New Roman" w:cs="Times New Roman"/>
          <w:color w:val="0000FF"/>
          <w:highlight w:val="none"/>
          <w:lang w:val="en-US" w:eastAsia="zh-CN"/>
        </w:rPr>
        <w:t>建筑边坡工程监测期间，委托单位、施工单位</w:t>
      </w:r>
      <w:r>
        <w:rPr>
          <w:rFonts w:hint="default" w:ascii="Times New Roman" w:hAnsi="Times New Roman" w:cs="Times New Roman"/>
          <w:color w:val="0000FF"/>
          <w:highlight w:val="none"/>
          <w:lang w:val="en-US" w:eastAsia="zh-CN"/>
        </w:rPr>
        <w:t>等相关单位应协助监测单位做好保护工作</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施工作业中不得破坏监测设施，保证测点的存活。</w:t>
      </w:r>
    </w:p>
    <w:p w14:paraId="1801C5B6">
      <w:pPr>
        <w:numPr>
          <w:ilvl w:val="0"/>
          <w:numId w:val="0"/>
        </w:num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3. 0. 13 </w:t>
      </w:r>
      <w:r>
        <w:rPr>
          <w:rFonts w:hint="eastAsia" w:ascii="Times New Roman" w:hAnsi="Times New Roman" w:cs="Times New Roman"/>
          <w:highlight w:val="none"/>
          <w:lang w:val="en-US" w:eastAsia="zh-CN"/>
        </w:rPr>
        <w:t xml:space="preserve"> 监测单位应及时处理、分析监测数据，将监测结果和评价及时向相关单位做信息反馈。若监测数据达到监测预警值，监测单位应立即通报相关单位。</w:t>
      </w:r>
    </w:p>
    <w:p w14:paraId="1B03FCDA">
      <w:pPr>
        <w:numPr>
          <w:ilvl w:val="0"/>
          <w:numId w:val="0"/>
        </w:num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4060D3A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监测单位应严格依据监测方案进行监测</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为</w:t>
      </w:r>
      <w:r>
        <w:rPr>
          <w:rFonts w:hint="eastAsia" w:ascii="Times New Roman" w:hAnsi="Times New Roman" w:cs="Times New Roman"/>
          <w:color w:val="0000FF"/>
          <w:highlight w:val="none"/>
          <w:lang w:val="en-US" w:eastAsia="zh-CN"/>
        </w:rPr>
        <w:t>建筑边坡</w:t>
      </w:r>
      <w:r>
        <w:rPr>
          <w:rFonts w:hint="default" w:ascii="Times New Roman" w:hAnsi="Times New Roman" w:cs="Times New Roman"/>
          <w:color w:val="0000FF"/>
          <w:highlight w:val="none"/>
          <w:lang w:val="en-US" w:eastAsia="zh-CN"/>
        </w:rPr>
        <w:t>工程实施动态设计和信息化施工提供可靠依据。实施动态设计和信息化施工的关键是监测成果的准确、及时反馈，监测单位应建立有效的信息处理和信息反馈系统</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将监测成果准确、及时地反馈到建设</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监理、施工等有关单位。当监测数据达到监测预警值时监测单位应立即</w:t>
      </w:r>
      <w:r>
        <w:rPr>
          <w:rFonts w:hint="eastAsia" w:ascii="Times New Roman" w:hAnsi="Times New Roman" w:cs="Times New Roman"/>
          <w:color w:val="0000FF"/>
          <w:highlight w:val="none"/>
          <w:lang w:val="en-US" w:eastAsia="zh-CN"/>
        </w:rPr>
        <w:t>通过电话、微信、短信的方式及时通知</w:t>
      </w:r>
      <w:r>
        <w:rPr>
          <w:rFonts w:hint="default" w:ascii="Times New Roman" w:hAnsi="Times New Roman" w:cs="Times New Roman"/>
          <w:color w:val="0000FF"/>
          <w:highlight w:val="none"/>
          <w:lang w:val="en-US" w:eastAsia="zh-CN"/>
        </w:rPr>
        <w:t>建设单位及相关单位，以便建设单位和有关各方及时分析原因、采取措施。建设、施工等单位应认真对待监测单位的预警</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以避免事故的发生。</w:t>
      </w:r>
    </w:p>
    <w:p w14:paraId="6C275D3B">
      <w:pPr>
        <w:numPr>
          <w:ilvl w:val="0"/>
          <w:numId w:val="0"/>
        </w:num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3. 0. 14</w:t>
      </w:r>
      <w:r>
        <w:rPr>
          <w:rFonts w:hint="eastAsia" w:ascii="Times New Roman" w:hAnsi="Times New Roman" w:cs="Times New Roman"/>
          <w:highlight w:val="none"/>
          <w:lang w:val="en-US" w:eastAsia="zh-CN"/>
        </w:rPr>
        <w:t xml:space="preserve">  监测单位应向委托方提供以下资料并及时归档。</w:t>
      </w:r>
    </w:p>
    <w:p w14:paraId="1CE4146F">
      <w:pPr>
        <w:numPr>
          <w:ilvl w:val="0"/>
          <w:numId w:val="0"/>
        </w:num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监测方案；</w:t>
      </w:r>
    </w:p>
    <w:p w14:paraId="217FEDE7">
      <w:pPr>
        <w:numPr>
          <w:ilvl w:val="0"/>
          <w:numId w:val="0"/>
        </w:num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测点布设、验收记录；</w:t>
      </w:r>
    </w:p>
    <w:p w14:paraId="0E7BA5FD">
      <w:pPr>
        <w:numPr>
          <w:ilvl w:val="0"/>
          <w:numId w:val="0"/>
        </w:num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阶段性监测报告；</w:t>
      </w:r>
    </w:p>
    <w:p w14:paraId="47A4391E">
      <w:pPr>
        <w:numPr>
          <w:ilvl w:val="0"/>
          <w:numId w:val="0"/>
        </w:numPr>
        <w:bidi w:val="0"/>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lang w:val="en-US" w:eastAsia="zh-CN"/>
        </w:rPr>
        <w:t xml:space="preserve">  监测总结报告。</w:t>
      </w:r>
    </w:p>
    <w:p w14:paraId="13D146D8">
      <w:pPr>
        <w:numPr>
          <w:ilvl w:val="0"/>
          <w:numId w:val="0"/>
        </w:num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6325AD6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监测单位应按照合同等相关文件的要求，定期将建筑边坡工程监测方案等资料定期提供给委托方，及时将相关材料归档。</w:t>
      </w:r>
    </w:p>
    <w:p w14:paraId="6649A193">
      <w:pPr>
        <w:numPr>
          <w:ilvl w:val="0"/>
          <w:numId w:val="0"/>
        </w:numPr>
        <w:bidi w:val="0"/>
        <w:rPr>
          <w:rFonts w:hint="default" w:ascii="Times New Roman" w:hAnsi="Times New Roman" w:cs="Times New Roman"/>
          <w:highlight w:val="none"/>
          <w:lang w:val="en-US" w:eastAsia="zh-CN"/>
        </w:rPr>
      </w:pPr>
    </w:p>
    <w:p w14:paraId="77B31DBF">
      <w:pPr>
        <w:numPr>
          <w:ilvl w:val="0"/>
          <w:numId w:val="0"/>
        </w:numPr>
        <w:bidi w:val="0"/>
        <w:ind w:firstLine="480" w:firstLineChars="200"/>
        <w:rPr>
          <w:rFonts w:hint="eastAsia" w:ascii="Times New Roman" w:hAnsi="Times New Roman" w:cs="Times New Roman"/>
          <w:highlight w:val="none"/>
          <w:lang w:val="en-US" w:eastAsia="zh-CN"/>
        </w:rPr>
      </w:pPr>
    </w:p>
    <w:p w14:paraId="77CEB252">
      <w:pPr>
        <w:pStyle w:val="2"/>
        <w:bidi w:val="0"/>
        <w:outlineLvl w:val="9"/>
        <w:rPr>
          <w:rFonts w:hint="eastAsia"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08F4F4CB">
      <w:pPr>
        <w:pStyle w:val="2"/>
        <w:bidi w:val="0"/>
        <w:rPr>
          <w:rFonts w:hint="eastAsia" w:ascii="Times New Roman" w:hAnsi="Times New Roman" w:cs="Times New Roman"/>
          <w:highlight w:val="none"/>
          <w:lang w:val="en-US" w:eastAsia="zh-CN"/>
        </w:rPr>
      </w:pPr>
      <w:bookmarkStart w:id="23" w:name="_Toc25035"/>
      <w:bookmarkStart w:id="24" w:name="_Toc792"/>
      <w:bookmarkStart w:id="25" w:name="_Toc17253"/>
      <w:bookmarkStart w:id="26" w:name="_Toc3535"/>
      <w:bookmarkStart w:id="27" w:name="_Toc5981"/>
      <w:r>
        <w:rPr>
          <w:rFonts w:hint="eastAsia" w:ascii="Times New Roman" w:hAnsi="Times New Roman" w:cs="Times New Roman"/>
          <w:highlight w:val="none"/>
          <w:lang w:val="en-US" w:eastAsia="zh-CN"/>
        </w:rPr>
        <w:t>4 监测项目</w:t>
      </w:r>
      <w:bookmarkEnd w:id="23"/>
      <w:bookmarkEnd w:id="24"/>
      <w:bookmarkEnd w:id="25"/>
      <w:bookmarkEnd w:id="26"/>
      <w:bookmarkEnd w:id="27"/>
    </w:p>
    <w:p w14:paraId="2C6117E0">
      <w:pPr>
        <w:pStyle w:val="3"/>
        <w:bidi w:val="0"/>
        <w:rPr>
          <w:rFonts w:hint="eastAsia" w:ascii="Times New Roman" w:hAnsi="Times New Roman" w:cs="Times New Roman"/>
          <w:highlight w:val="none"/>
          <w:lang w:val="en-US" w:eastAsia="zh-CN"/>
        </w:rPr>
      </w:pPr>
      <w:bookmarkStart w:id="28" w:name="_Toc26330"/>
      <w:bookmarkStart w:id="29" w:name="_Toc26460"/>
      <w:bookmarkStart w:id="30" w:name="_Toc30111"/>
      <w:bookmarkStart w:id="31" w:name="_Toc15808"/>
      <w:bookmarkStart w:id="32" w:name="_Toc20628"/>
      <w:r>
        <w:rPr>
          <w:rFonts w:hint="eastAsia" w:ascii="Times New Roman" w:hAnsi="Times New Roman" w:cs="Times New Roman"/>
          <w:highlight w:val="none"/>
          <w:lang w:val="en-US" w:eastAsia="zh-CN"/>
        </w:rPr>
        <w:t>4.1 一般规定</w:t>
      </w:r>
      <w:bookmarkEnd w:id="28"/>
      <w:bookmarkEnd w:id="29"/>
      <w:bookmarkEnd w:id="30"/>
      <w:bookmarkEnd w:id="31"/>
      <w:bookmarkEnd w:id="32"/>
    </w:p>
    <w:p w14:paraId="0CBB2BFF">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4. 1. 1</w:t>
      </w:r>
      <w:r>
        <w:rPr>
          <w:rFonts w:hint="eastAsia" w:ascii="Times New Roman" w:hAnsi="Times New Roman" w:cs="Times New Roman"/>
          <w:highlight w:val="none"/>
          <w:lang w:val="en-US" w:eastAsia="zh-CN"/>
        </w:rPr>
        <w:t xml:space="preserve">  建筑边坡工程监测应采用仪器监测与巡视检查相结合的方式。</w:t>
      </w:r>
    </w:p>
    <w:p w14:paraId="7F5B3603">
      <w:pPr>
        <w:rPr>
          <w:rFonts w:hint="eastAsia" w:ascii="Times New Roman" w:hAnsi="Times New Roman" w:cs="Times New Roman"/>
          <w:b/>
          <w:bCs/>
          <w:color w:val="0000FF"/>
          <w:highlight w:val="none"/>
          <w:lang w:val="en-US" w:eastAsia="zh-CN"/>
        </w:rPr>
      </w:pPr>
    </w:p>
    <w:p w14:paraId="3C0A43BA">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64C5AE51">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仪器监测和巡视检查是建筑边坡工程监测的两种方式。仪器监测可定量测量出边坡位移、地下水位、支护结构应力等项目的变化情况，可为判断建筑边坡安全提供精确数据。人工巡检是对仪器监测的有效补充，通过观察支护结构、周边建筑和地表的裂缝分布规律、判别裂缝的新旧区别等，对于分析建筑边坡工程的安全和对邻近建筑的影响程度起着重要作用。特别是对于表面植被茂盛的边坡，采用仪器监测边坡表面水平和竖向位移时难度较大，监测效果也不尽如人意，可通过加强人工巡检，及时发现建筑边坡的安全隐患。多种监测方法互为补充相互验证，可以更加及时准确地分析、判断建筑边坡及周边环境的状态。</w:t>
      </w:r>
    </w:p>
    <w:p w14:paraId="1C0498F2">
      <w:pPr>
        <w:ind w:firstLine="480" w:firstLineChars="200"/>
        <w:rPr>
          <w:rFonts w:hint="default" w:ascii="Times New Roman" w:hAnsi="Times New Roman" w:cs="Times New Roman"/>
          <w:color w:val="0000FF"/>
          <w:highlight w:val="none"/>
          <w:lang w:val="en-US" w:eastAsia="zh-CN"/>
        </w:rPr>
      </w:pPr>
    </w:p>
    <w:p w14:paraId="2BBE19E1">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4. 1. 2</w:t>
      </w:r>
      <w:r>
        <w:rPr>
          <w:rFonts w:hint="eastAsia" w:ascii="Times New Roman" w:hAnsi="Times New Roman" w:cs="Times New Roman"/>
          <w:highlight w:val="none"/>
          <w:lang w:val="en-US" w:eastAsia="zh-CN"/>
        </w:rPr>
        <w:t xml:space="preserve">  建筑边坡工程现场监测的对象包括：</w:t>
      </w:r>
    </w:p>
    <w:p w14:paraId="1339B037">
      <w:pPr>
        <w:ind w:firstLine="48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w:t>
      </w:r>
      <w:r>
        <w:rPr>
          <w:rFonts w:hint="eastAsia" w:ascii="Times New Roman" w:hAnsi="Times New Roman" w:cs="Times New Roman"/>
          <w:color w:val="auto"/>
          <w:highlight w:val="none"/>
          <w:lang w:val="en-US" w:eastAsia="zh-CN"/>
        </w:rPr>
        <w:t xml:space="preserve">  支护结构；</w:t>
      </w:r>
    </w:p>
    <w:p w14:paraId="1CD325B5">
      <w:pPr>
        <w:ind w:firstLine="482"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2</w:t>
      </w:r>
      <w:r>
        <w:rPr>
          <w:rFonts w:hint="eastAsia" w:ascii="Times New Roman" w:hAnsi="Times New Roman" w:cs="Times New Roman"/>
          <w:color w:val="auto"/>
          <w:highlight w:val="none"/>
          <w:lang w:val="en-US" w:eastAsia="zh-CN"/>
        </w:rPr>
        <w:t xml:space="preserve">  边坡岩土体、水体；</w:t>
      </w:r>
    </w:p>
    <w:p w14:paraId="437E8561">
      <w:pPr>
        <w:ind w:firstLine="482"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color w:val="auto"/>
          <w:highlight w:val="none"/>
          <w:lang w:val="en-US" w:eastAsia="zh-CN"/>
        </w:rPr>
        <w:t xml:space="preserve">  周边环境；</w:t>
      </w:r>
    </w:p>
    <w:p w14:paraId="47E26B86">
      <w:pPr>
        <w:ind w:firstLine="482"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4</w:t>
      </w:r>
      <w:r>
        <w:rPr>
          <w:rFonts w:hint="eastAsia" w:ascii="Times New Roman" w:hAnsi="Times New Roman" w:cs="Times New Roman"/>
          <w:color w:val="auto"/>
          <w:highlight w:val="none"/>
          <w:lang w:val="en-US" w:eastAsia="zh-CN"/>
        </w:rPr>
        <w:t xml:space="preserve">  其他需要监测的对象。</w:t>
      </w:r>
    </w:p>
    <w:p w14:paraId="2AAD98F8">
      <w:pPr>
        <w:rPr>
          <w:rFonts w:hint="eastAsia" w:ascii="Times New Roman" w:hAnsi="Times New Roman" w:cs="Times New Roman"/>
          <w:b/>
          <w:bCs/>
          <w:color w:val="0000FF"/>
          <w:highlight w:val="none"/>
          <w:lang w:val="en-US" w:eastAsia="zh-CN"/>
        </w:rPr>
      </w:pPr>
    </w:p>
    <w:p w14:paraId="183728F6">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691A62BA">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工程的主要监测对象包括支护结构、边坡岩土体、周边环境、地下水位，支护结构监测对象主要为挡墙、支护桩、锚杆、土钉；边坡岩土体监测对象主要为边坡岩体、土体；周边环境监测对象主要为边坡周边的建（构）筑物，道路、地下管线及其他城市基础设施。其他需要监测的对象主要为可能会对建筑边坡工程安全造成影响的孤石、危岩等对象。</w:t>
      </w:r>
    </w:p>
    <w:p w14:paraId="7A43270D">
      <w:pPr>
        <w:ind w:firstLine="480" w:firstLineChars="200"/>
        <w:rPr>
          <w:rFonts w:hint="default" w:ascii="Times New Roman" w:hAnsi="Times New Roman" w:cs="Times New Roman"/>
          <w:color w:val="0000FF"/>
          <w:highlight w:val="none"/>
          <w:lang w:val="en-US" w:eastAsia="zh-CN"/>
        </w:rPr>
      </w:pPr>
    </w:p>
    <w:p w14:paraId="5A621E9C">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4. 1. 3</w:t>
      </w:r>
      <w:r>
        <w:rPr>
          <w:rFonts w:hint="eastAsia" w:ascii="Times New Roman" w:hAnsi="Times New Roman" w:cs="Times New Roman"/>
          <w:highlight w:val="none"/>
          <w:lang w:val="en-US" w:eastAsia="zh-CN"/>
        </w:rPr>
        <w:t xml:space="preserve">  建筑边坡的监测项目应综合考虑边坡安全等级、支护结构特点、施工工序和运营情况合理确定，各监测项目应相互配套，并形成有效、完整的监测体系。</w:t>
      </w:r>
    </w:p>
    <w:p w14:paraId="48AA39E0">
      <w:pPr>
        <w:rPr>
          <w:rFonts w:hint="eastAsia" w:ascii="Times New Roman" w:hAnsi="Times New Roman" w:cs="Times New Roman"/>
          <w:b/>
          <w:bCs/>
          <w:highlight w:val="none"/>
          <w:lang w:val="en-US" w:eastAsia="zh-CN"/>
        </w:rPr>
      </w:pPr>
    </w:p>
    <w:p w14:paraId="677ABD79">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7D8F6AD1">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工程在设置监测项目时，需考虑到各监测项目、各监测点并非独立存在，其相互关联，相互印证。如支护结构水平位移监测可与支护结构深层水平位移监测结果相互印证；支护结构深层水平监测结果可在一定程度反映支护结构内力变形情况。在边坡监测的过程中，单一监测项目往往无法反映边坡实际安全状态，需通过分析不同项目共同佐证。因此，边坡监测需要建立一个完整、有效、合理的监测体系。</w:t>
      </w:r>
    </w:p>
    <w:p w14:paraId="170971B6">
      <w:pPr>
        <w:pStyle w:val="3"/>
        <w:bidi w:val="0"/>
        <w:rPr>
          <w:rFonts w:hint="default" w:ascii="Times New Roman" w:hAnsi="Times New Roman" w:cs="Times New Roman"/>
          <w:highlight w:val="none"/>
          <w:lang w:val="en-US" w:eastAsia="zh-CN"/>
        </w:rPr>
      </w:pPr>
      <w:bookmarkStart w:id="33" w:name="_Toc15672"/>
      <w:bookmarkStart w:id="34" w:name="_Toc867"/>
      <w:bookmarkStart w:id="35" w:name="_Toc9599"/>
      <w:bookmarkStart w:id="36" w:name="_Toc31137"/>
      <w:bookmarkStart w:id="37" w:name="_Toc1428"/>
      <w:r>
        <w:rPr>
          <w:rFonts w:hint="eastAsia" w:ascii="Times New Roman" w:hAnsi="Times New Roman" w:cs="Times New Roman"/>
          <w:highlight w:val="none"/>
          <w:lang w:val="en-US" w:eastAsia="zh-CN"/>
        </w:rPr>
        <w:t>4.2 仪器监测</w:t>
      </w:r>
      <w:bookmarkEnd w:id="33"/>
      <w:bookmarkEnd w:id="34"/>
      <w:bookmarkEnd w:id="35"/>
      <w:bookmarkEnd w:id="36"/>
      <w:bookmarkEnd w:id="37"/>
    </w:p>
    <w:p w14:paraId="56E986D0">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4. 2. 1</w:t>
      </w:r>
      <w:r>
        <w:rPr>
          <w:rFonts w:hint="eastAsia" w:ascii="Times New Roman" w:hAnsi="Times New Roman" w:cs="Times New Roman"/>
          <w:highlight w:val="none"/>
          <w:lang w:val="en-US" w:eastAsia="zh-CN"/>
        </w:rPr>
        <w:t xml:space="preserve">  建筑边坡工程仪器监测项目宜按表4.2.1确定。</w:t>
      </w:r>
    </w:p>
    <w:p w14:paraId="00511EB0">
      <w:pPr>
        <w:jc w:val="center"/>
        <w:rPr>
          <w:rFonts w:hint="eastAsia" w:ascii="Times New Roman" w:hAnsi="Times New Roman" w:cs="Times New Roman"/>
          <w:highlight w:val="none"/>
          <w:lang w:val="en-US" w:eastAsia="zh-CN"/>
        </w:rPr>
      </w:pPr>
      <w:r>
        <w:rPr>
          <w:rFonts w:hint="eastAsia" w:ascii="Times New Roman" w:hAnsi="Times New Roman" w:cs="Times New Roman"/>
          <w:b/>
          <w:bCs/>
          <w:sz w:val="24"/>
          <w:szCs w:val="24"/>
          <w:highlight w:val="none"/>
          <w:lang w:val="en-US" w:eastAsia="zh-CN"/>
        </w:rPr>
        <w:t>表4.2.1 建筑边坡工程监测项目表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4071"/>
        <w:gridCol w:w="917"/>
        <w:gridCol w:w="917"/>
        <w:gridCol w:w="917"/>
      </w:tblGrid>
      <w:tr w14:paraId="3B99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restart"/>
            <w:vAlign w:val="center"/>
          </w:tcPr>
          <w:p w14:paraId="5DD18427">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监测对象</w:t>
            </w:r>
          </w:p>
        </w:tc>
        <w:tc>
          <w:tcPr>
            <w:tcW w:w="2389" w:type="pct"/>
            <w:vMerge w:val="restart"/>
            <w:vAlign w:val="center"/>
          </w:tcPr>
          <w:p w14:paraId="1B031889">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监测项目</w:t>
            </w:r>
          </w:p>
        </w:tc>
        <w:tc>
          <w:tcPr>
            <w:tcW w:w="1614" w:type="pct"/>
            <w:gridSpan w:val="3"/>
            <w:vAlign w:val="center"/>
          </w:tcPr>
          <w:p w14:paraId="38CA5BB1">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边坡工程安全等级</w:t>
            </w:r>
          </w:p>
        </w:tc>
      </w:tr>
      <w:tr w14:paraId="2E57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continue"/>
            <w:vAlign w:val="center"/>
          </w:tcPr>
          <w:p w14:paraId="1E7D6EF7">
            <w:pPr>
              <w:jc w:val="center"/>
              <w:rPr>
                <w:rFonts w:hint="eastAsia" w:ascii="Times New Roman" w:hAnsi="Times New Roman" w:cs="Times New Roman"/>
                <w:sz w:val="18"/>
                <w:szCs w:val="18"/>
                <w:highlight w:val="none"/>
                <w:vertAlign w:val="baseline"/>
                <w:lang w:val="en-US" w:eastAsia="zh-CN"/>
              </w:rPr>
            </w:pPr>
          </w:p>
        </w:tc>
        <w:tc>
          <w:tcPr>
            <w:tcW w:w="2389" w:type="pct"/>
            <w:vMerge w:val="continue"/>
            <w:vAlign w:val="center"/>
          </w:tcPr>
          <w:p w14:paraId="194A6DB7">
            <w:pPr>
              <w:jc w:val="center"/>
              <w:rPr>
                <w:rFonts w:hint="eastAsia" w:ascii="Times New Roman" w:hAnsi="Times New Roman" w:cs="Times New Roman"/>
                <w:sz w:val="18"/>
                <w:szCs w:val="18"/>
                <w:highlight w:val="none"/>
                <w:vertAlign w:val="baseline"/>
                <w:lang w:val="en-US" w:eastAsia="zh-CN"/>
              </w:rPr>
            </w:pPr>
          </w:p>
        </w:tc>
        <w:tc>
          <w:tcPr>
            <w:tcW w:w="538" w:type="pct"/>
            <w:vAlign w:val="center"/>
          </w:tcPr>
          <w:p w14:paraId="17A28E1B">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一级</w:t>
            </w:r>
          </w:p>
        </w:tc>
        <w:tc>
          <w:tcPr>
            <w:tcW w:w="538" w:type="pct"/>
            <w:vAlign w:val="center"/>
          </w:tcPr>
          <w:p w14:paraId="738FE356">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二级</w:t>
            </w:r>
          </w:p>
        </w:tc>
        <w:tc>
          <w:tcPr>
            <w:tcW w:w="538" w:type="pct"/>
            <w:vAlign w:val="center"/>
          </w:tcPr>
          <w:p w14:paraId="36A2536F">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三级</w:t>
            </w:r>
          </w:p>
        </w:tc>
      </w:tr>
      <w:tr w14:paraId="7299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restart"/>
            <w:vAlign w:val="center"/>
          </w:tcPr>
          <w:p w14:paraId="6D6968CF">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支护结构</w:t>
            </w:r>
          </w:p>
        </w:tc>
        <w:tc>
          <w:tcPr>
            <w:tcW w:w="2389" w:type="pct"/>
            <w:vAlign w:val="center"/>
          </w:tcPr>
          <w:p w14:paraId="53E7924C">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支护结构水平位移和竖向位移</w:t>
            </w:r>
          </w:p>
        </w:tc>
        <w:tc>
          <w:tcPr>
            <w:tcW w:w="538" w:type="pct"/>
            <w:vAlign w:val="center"/>
          </w:tcPr>
          <w:p w14:paraId="4C14AA31">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1DED1FF8">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44C7B051">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r>
      <w:tr w14:paraId="3EFE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continue"/>
            <w:vAlign w:val="center"/>
          </w:tcPr>
          <w:p w14:paraId="3A78CA3B">
            <w:pPr>
              <w:jc w:val="center"/>
              <w:rPr>
                <w:rFonts w:hint="eastAsia" w:ascii="Times New Roman" w:hAnsi="Times New Roman" w:cs="Times New Roman"/>
                <w:sz w:val="18"/>
                <w:szCs w:val="18"/>
                <w:highlight w:val="none"/>
                <w:vertAlign w:val="baseline"/>
                <w:lang w:val="en-US" w:eastAsia="zh-CN"/>
              </w:rPr>
            </w:pPr>
          </w:p>
        </w:tc>
        <w:tc>
          <w:tcPr>
            <w:tcW w:w="2389" w:type="pct"/>
            <w:vAlign w:val="center"/>
          </w:tcPr>
          <w:p w14:paraId="786E8E36">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深层水平位移</w:t>
            </w:r>
          </w:p>
        </w:tc>
        <w:tc>
          <w:tcPr>
            <w:tcW w:w="538" w:type="pct"/>
            <w:vAlign w:val="center"/>
          </w:tcPr>
          <w:p w14:paraId="18C5D10A">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62492E7D">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4F66CD70">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r>
      <w:tr w14:paraId="1C33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continue"/>
            <w:vAlign w:val="center"/>
          </w:tcPr>
          <w:p w14:paraId="745C91E7">
            <w:pPr>
              <w:jc w:val="center"/>
              <w:rPr>
                <w:rFonts w:hint="eastAsia" w:ascii="Times New Roman" w:hAnsi="Times New Roman" w:cs="Times New Roman"/>
                <w:sz w:val="18"/>
                <w:szCs w:val="18"/>
                <w:highlight w:val="none"/>
                <w:vertAlign w:val="baseline"/>
                <w:lang w:val="en-US" w:eastAsia="zh-CN"/>
              </w:rPr>
            </w:pPr>
          </w:p>
        </w:tc>
        <w:tc>
          <w:tcPr>
            <w:tcW w:w="2389" w:type="pct"/>
            <w:vAlign w:val="center"/>
          </w:tcPr>
          <w:p w14:paraId="64ECFF37">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锚杆（索）拉力</w:t>
            </w:r>
          </w:p>
        </w:tc>
        <w:tc>
          <w:tcPr>
            <w:tcW w:w="538" w:type="pct"/>
            <w:vAlign w:val="center"/>
          </w:tcPr>
          <w:p w14:paraId="774A9FD7">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062F7F33">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1F6D755D">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r>
      <w:tr w14:paraId="1F79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continue"/>
            <w:vAlign w:val="center"/>
          </w:tcPr>
          <w:p w14:paraId="11475FB4">
            <w:pPr>
              <w:jc w:val="center"/>
              <w:rPr>
                <w:rFonts w:hint="eastAsia" w:ascii="Times New Roman" w:hAnsi="Times New Roman" w:cs="Times New Roman"/>
                <w:sz w:val="18"/>
                <w:szCs w:val="18"/>
                <w:highlight w:val="none"/>
                <w:vertAlign w:val="baseline"/>
                <w:lang w:val="en-US" w:eastAsia="zh-CN"/>
              </w:rPr>
            </w:pPr>
          </w:p>
        </w:tc>
        <w:tc>
          <w:tcPr>
            <w:tcW w:w="2389" w:type="pct"/>
            <w:vAlign w:val="center"/>
          </w:tcPr>
          <w:p w14:paraId="01D41A14">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支护结构应力</w:t>
            </w:r>
          </w:p>
        </w:tc>
        <w:tc>
          <w:tcPr>
            <w:tcW w:w="538" w:type="pct"/>
            <w:vAlign w:val="center"/>
          </w:tcPr>
          <w:p w14:paraId="19A50E5B">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379E61B0">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c>
          <w:tcPr>
            <w:tcW w:w="538" w:type="pct"/>
            <w:vAlign w:val="center"/>
          </w:tcPr>
          <w:p w14:paraId="3E77F4FD">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r>
      <w:tr w14:paraId="4E36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continue"/>
            <w:vAlign w:val="center"/>
          </w:tcPr>
          <w:p w14:paraId="4765176A">
            <w:pPr>
              <w:jc w:val="center"/>
              <w:rPr>
                <w:rFonts w:hint="eastAsia" w:ascii="Times New Roman" w:hAnsi="Times New Roman" w:cs="Times New Roman"/>
                <w:sz w:val="18"/>
                <w:szCs w:val="18"/>
                <w:highlight w:val="none"/>
                <w:vertAlign w:val="baseline"/>
                <w:lang w:val="en-US" w:eastAsia="zh-CN"/>
              </w:rPr>
            </w:pPr>
          </w:p>
        </w:tc>
        <w:tc>
          <w:tcPr>
            <w:tcW w:w="2389" w:type="pct"/>
            <w:vAlign w:val="center"/>
          </w:tcPr>
          <w:p w14:paraId="390D8813">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支护结构裂缝</w:t>
            </w:r>
          </w:p>
        </w:tc>
        <w:tc>
          <w:tcPr>
            <w:tcW w:w="538" w:type="pct"/>
            <w:vAlign w:val="center"/>
          </w:tcPr>
          <w:p w14:paraId="78EC4E04">
            <w:pPr>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246BF9BD">
            <w:pPr>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2C423322">
            <w:pPr>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w:t>
            </w:r>
          </w:p>
        </w:tc>
      </w:tr>
      <w:tr w14:paraId="316D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restart"/>
            <w:vAlign w:val="center"/>
          </w:tcPr>
          <w:p w14:paraId="47CD2412">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周边环境</w:t>
            </w:r>
          </w:p>
        </w:tc>
        <w:tc>
          <w:tcPr>
            <w:tcW w:w="2389" w:type="pct"/>
            <w:vAlign w:val="center"/>
          </w:tcPr>
          <w:p w14:paraId="48D190D9">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建（构）筑物竖向位移、倾斜</w:t>
            </w:r>
          </w:p>
        </w:tc>
        <w:tc>
          <w:tcPr>
            <w:tcW w:w="538" w:type="pct"/>
            <w:vAlign w:val="center"/>
          </w:tcPr>
          <w:p w14:paraId="68C6D265">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7B6D7051">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17EA2A9C">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r>
      <w:tr w14:paraId="5E0B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continue"/>
            <w:vAlign w:val="center"/>
          </w:tcPr>
          <w:p w14:paraId="36BBD10B">
            <w:pPr>
              <w:jc w:val="center"/>
              <w:rPr>
                <w:rFonts w:hint="eastAsia" w:ascii="Times New Roman" w:hAnsi="Times New Roman" w:cs="Times New Roman"/>
                <w:sz w:val="18"/>
                <w:szCs w:val="18"/>
                <w:highlight w:val="none"/>
                <w:vertAlign w:val="baseline"/>
                <w:lang w:val="en-US" w:eastAsia="zh-CN"/>
              </w:rPr>
            </w:pPr>
          </w:p>
        </w:tc>
        <w:tc>
          <w:tcPr>
            <w:tcW w:w="2389" w:type="pct"/>
            <w:vAlign w:val="center"/>
          </w:tcPr>
          <w:p w14:paraId="486E0454">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建筑裂缝</w:t>
            </w:r>
          </w:p>
        </w:tc>
        <w:tc>
          <w:tcPr>
            <w:tcW w:w="538" w:type="pct"/>
            <w:vAlign w:val="center"/>
          </w:tcPr>
          <w:p w14:paraId="28BF70DB">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25E5925E">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34ABBCC5">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r>
      <w:tr w14:paraId="4182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continue"/>
            <w:vAlign w:val="center"/>
          </w:tcPr>
          <w:p w14:paraId="46033087">
            <w:pPr>
              <w:jc w:val="center"/>
              <w:rPr>
                <w:rFonts w:hint="eastAsia" w:ascii="Times New Roman" w:hAnsi="Times New Roman" w:cs="Times New Roman"/>
                <w:sz w:val="18"/>
                <w:szCs w:val="18"/>
                <w:highlight w:val="none"/>
                <w:vertAlign w:val="baseline"/>
                <w:lang w:val="en-US" w:eastAsia="zh-CN"/>
              </w:rPr>
            </w:pPr>
          </w:p>
        </w:tc>
        <w:tc>
          <w:tcPr>
            <w:tcW w:w="2389" w:type="pct"/>
            <w:vAlign w:val="center"/>
          </w:tcPr>
          <w:p w14:paraId="0FB25C2D">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道路及管线竖向位移</w:t>
            </w:r>
          </w:p>
        </w:tc>
        <w:tc>
          <w:tcPr>
            <w:tcW w:w="538" w:type="pct"/>
            <w:vAlign w:val="center"/>
          </w:tcPr>
          <w:p w14:paraId="6EB371E6">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768708AA">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c>
          <w:tcPr>
            <w:tcW w:w="538" w:type="pct"/>
            <w:vAlign w:val="center"/>
          </w:tcPr>
          <w:p w14:paraId="29AC6780">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r>
      <w:tr w14:paraId="5DF3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restart"/>
            <w:vAlign w:val="center"/>
          </w:tcPr>
          <w:p w14:paraId="50EAFC71">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边坡岩土体</w:t>
            </w:r>
          </w:p>
        </w:tc>
        <w:tc>
          <w:tcPr>
            <w:tcW w:w="2389" w:type="pct"/>
            <w:vAlign w:val="center"/>
          </w:tcPr>
          <w:p w14:paraId="4BD29286">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坡顶水平位移和竖向位移</w:t>
            </w:r>
          </w:p>
        </w:tc>
        <w:tc>
          <w:tcPr>
            <w:tcW w:w="538" w:type="pct"/>
            <w:vAlign w:val="center"/>
          </w:tcPr>
          <w:p w14:paraId="5E7D56AC">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222EC06E">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2CC13BBF">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r>
      <w:tr w14:paraId="0FAF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continue"/>
            <w:vAlign w:val="center"/>
          </w:tcPr>
          <w:p w14:paraId="3B87B6A3">
            <w:pPr>
              <w:jc w:val="center"/>
              <w:rPr>
                <w:rFonts w:hint="eastAsia" w:ascii="Times New Roman" w:hAnsi="Times New Roman" w:cs="Times New Roman"/>
                <w:sz w:val="18"/>
                <w:szCs w:val="18"/>
                <w:highlight w:val="none"/>
                <w:vertAlign w:val="baseline"/>
                <w:lang w:val="en-US" w:eastAsia="zh-CN"/>
              </w:rPr>
            </w:pPr>
          </w:p>
        </w:tc>
        <w:tc>
          <w:tcPr>
            <w:tcW w:w="2389" w:type="pct"/>
            <w:vAlign w:val="center"/>
          </w:tcPr>
          <w:p w14:paraId="1799E6F7">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地表裂缝</w:t>
            </w:r>
          </w:p>
        </w:tc>
        <w:tc>
          <w:tcPr>
            <w:tcW w:w="538" w:type="pct"/>
            <w:vAlign w:val="center"/>
          </w:tcPr>
          <w:p w14:paraId="6A24F4D0">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14E93A33">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73FAACDA">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r>
      <w:tr w14:paraId="2F61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continue"/>
            <w:vAlign w:val="center"/>
          </w:tcPr>
          <w:p w14:paraId="6A31B1E6">
            <w:pPr>
              <w:jc w:val="center"/>
              <w:rPr>
                <w:rFonts w:hint="eastAsia" w:ascii="Times New Roman" w:hAnsi="Times New Roman" w:cs="Times New Roman"/>
                <w:sz w:val="18"/>
                <w:szCs w:val="18"/>
                <w:highlight w:val="none"/>
                <w:vertAlign w:val="baseline"/>
                <w:lang w:val="en-US" w:eastAsia="zh-CN"/>
              </w:rPr>
            </w:pPr>
          </w:p>
        </w:tc>
        <w:tc>
          <w:tcPr>
            <w:tcW w:w="2389" w:type="pct"/>
            <w:vAlign w:val="center"/>
          </w:tcPr>
          <w:p w14:paraId="2FCC3B8A">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深层水平位移</w:t>
            </w:r>
          </w:p>
        </w:tc>
        <w:tc>
          <w:tcPr>
            <w:tcW w:w="538" w:type="pct"/>
            <w:vAlign w:val="center"/>
          </w:tcPr>
          <w:p w14:paraId="57A7DE79">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1389EE95">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5D469F5C">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r>
      <w:tr w14:paraId="5EAD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Align w:val="center"/>
          </w:tcPr>
          <w:p w14:paraId="26878946">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水体</w:t>
            </w:r>
          </w:p>
        </w:tc>
        <w:tc>
          <w:tcPr>
            <w:tcW w:w="2389" w:type="pct"/>
            <w:vAlign w:val="center"/>
          </w:tcPr>
          <w:p w14:paraId="657D823A">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地下水与降雨的关系</w:t>
            </w:r>
          </w:p>
        </w:tc>
        <w:tc>
          <w:tcPr>
            <w:tcW w:w="538" w:type="pct"/>
            <w:vAlign w:val="center"/>
          </w:tcPr>
          <w:p w14:paraId="4D6F7664">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14:paraId="1CB1A0C4">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c>
          <w:tcPr>
            <w:tcW w:w="538" w:type="pct"/>
            <w:vAlign w:val="center"/>
          </w:tcPr>
          <w:p w14:paraId="5AF17A19">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r>
    </w:tbl>
    <w:p w14:paraId="59AAA9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1"/>
          <w:szCs w:val="21"/>
          <w:highlight w:val="none"/>
          <w:vertAlign w:val="baseline"/>
          <w:lang w:val="en-US" w:eastAsia="zh-CN"/>
        </w:rPr>
        <w:t xml:space="preserve">注：1  </w:t>
      </w:r>
      <w:r>
        <w:rPr>
          <w:rFonts w:hint="default" w:ascii="Times New Roman" w:hAnsi="Times New Roman" w:eastAsia="宋体" w:cs="Times New Roman"/>
          <w:color w:val="000000"/>
          <w:sz w:val="21"/>
          <w:szCs w:val="21"/>
          <w:highlight w:val="none"/>
          <w:u w:val="none"/>
          <w:shd w:val="clear" w:color="auto" w:fill="auto"/>
          <w:lang w:val="zh-TW" w:eastAsia="zh-TW" w:bidi="zh-TW"/>
        </w:rPr>
        <w:t>√代表应测，⭕代表宜测，△可测</w:t>
      </w:r>
    </w:p>
    <w:p w14:paraId="337D0FAD">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733" w:leftChars="174" w:right="0" w:hanging="315" w:hangingChars="150"/>
        <w:jc w:val="left"/>
        <w:textAlignment w:val="auto"/>
        <w:rPr>
          <w:rFonts w:hint="eastAsia" w:ascii="Times New Roman" w:hAnsi="Times New Roman" w:cs="Times New Roman"/>
          <w:b w:val="0"/>
          <w:bCs w:val="0"/>
          <w:color w:val="000000"/>
          <w:spacing w:val="0"/>
          <w:w w:val="100"/>
          <w:position w:val="0"/>
          <w:sz w:val="21"/>
          <w:szCs w:val="21"/>
          <w:highlight w:val="none"/>
          <w:lang w:val="en-US" w:eastAsia="zh-CN"/>
        </w:rPr>
      </w:pPr>
      <w:r>
        <w:rPr>
          <w:rFonts w:hint="eastAsia" w:ascii="Times New Roman" w:hAnsi="Times New Roman" w:cs="Times New Roman"/>
          <w:b w:val="0"/>
          <w:bCs w:val="0"/>
          <w:color w:val="000000"/>
          <w:spacing w:val="0"/>
          <w:w w:val="100"/>
          <w:position w:val="0"/>
          <w:sz w:val="21"/>
          <w:szCs w:val="21"/>
          <w:highlight w:val="none"/>
          <w:lang w:val="en-US" w:eastAsia="zh-CN"/>
        </w:rPr>
        <w:t xml:space="preserve">2 </w:t>
      </w:r>
      <w:r>
        <w:rPr>
          <w:rFonts w:ascii="Times New Roman" w:hAnsi="Times New Roman" w:cs="Times New Roman"/>
          <w:b w:val="0"/>
          <w:bCs w:val="0"/>
          <w:color w:val="000000"/>
          <w:spacing w:val="0"/>
          <w:w w:val="100"/>
          <w:position w:val="0"/>
          <w:sz w:val="21"/>
          <w:szCs w:val="21"/>
          <w:highlight w:val="none"/>
        </w:rPr>
        <w:t>在边坡塌滑区内有重要建（构）筑物，破坏后果严重时，应加强对支护</w:t>
      </w:r>
      <w:r>
        <w:rPr>
          <w:rFonts w:hint="eastAsia" w:ascii="Times New Roman" w:hAnsi="Times New Roman" w:cs="Times New Roman"/>
          <w:b w:val="0"/>
          <w:bCs w:val="0"/>
          <w:color w:val="000000"/>
          <w:spacing w:val="0"/>
          <w:w w:val="100"/>
          <w:position w:val="0"/>
          <w:sz w:val="21"/>
          <w:szCs w:val="21"/>
          <w:highlight w:val="none"/>
          <w:lang w:val="en-US" w:eastAsia="zh-CN"/>
        </w:rPr>
        <w:t>结构的应力监测。</w:t>
      </w:r>
    </w:p>
    <w:p w14:paraId="1295DF12">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733" w:leftChars="174" w:right="0" w:hanging="315" w:hangingChars="150"/>
        <w:jc w:val="left"/>
        <w:textAlignment w:val="auto"/>
        <w:rPr>
          <w:rFonts w:hint="eastAsia" w:ascii="Times New Roman" w:hAnsi="Times New Roman" w:cs="Times New Roman"/>
          <w:b w:val="0"/>
          <w:bCs w:val="0"/>
          <w:color w:val="000000"/>
          <w:spacing w:val="0"/>
          <w:w w:val="100"/>
          <w:position w:val="0"/>
          <w:sz w:val="21"/>
          <w:szCs w:val="21"/>
          <w:highlight w:val="none"/>
          <w:lang w:val="en-US" w:eastAsia="zh-CN"/>
        </w:rPr>
      </w:pPr>
      <w:r>
        <w:rPr>
          <w:rFonts w:hint="eastAsia" w:ascii="Times New Roman" w:hAnsi="Times New Roman" w:cs="Times New Roman"/>
          <w:b w:val="0"/>
          <w:bCs w:val="0"/>
          <w:color w:val="000000"/>
          <w:spacing w:val="0"/>
          <w:w w:val="100"/>
          <w:position w:val="0"/>
          <w:sz w:val="21"/>
          <w:szCs w:val="21"/>
          <w:highlight w:val="none"/>
          <w:lang w:val="en-US" w:eastAsia="zh-CN"/>
        </w:rPr>
        <w:t>3 对于长期监测的工程，应对支护结构及边坡岩土体、水体进行监测，监测项目应包含位移、裂缝、地下水与降雨等。</w:t>
      </w:r>
    </w:p>
    <w:p w14:paraId="496B70B9">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733" w:leftChars="174" w:right="0" w:hanging="315" w:hangingChars="150"/>
        <w:jc w:val="left"/>
        <w:textAlignment w:val="auto"/>
        <w:rPr>
          <w:rFonts w:hint="eastAsia" w:ascii="Times New Roman" w:hAnsi="Times New Roman" w:eastAsia="宋体" w:cs="Times New Roman"/>
          <w:b w:val="0"/>
          <w:bCs w:val="0"/>
          <w:color w:val="000000"/>
          <w:spacing w:val="0"/>
          <w:w w:val="100"/>
          <w:position w:val="0"/>
          <w:sz w:val="21"/>
          <w:szCs w:val="21"/>
          <w:highlight w:val="none"/>
          <w:lang w:val="en-US" w:eastAsia="zh-CN"/>
        </w:rPr>
      </w:pPr>
      <w:r>
        <w:rPr>
          <w:rFonts w:hint="eastAsia" w:ascii="Times New Roman" w:hAnsi="Times New Roman" w:eastAsia="宋体" w:cs="Times New Roman"/>
          <w:b w:val="0"/>
          <w:bCs w:val="0"/>
          <w:color w:val="000000"/>
          <w:kern w:val="2"/>
          <w:sz w:val="21"/>
          <w:szCs w:val="21"/>
          <w:highlight w:val="none"/>
          <w:lang w:val="en-US" w:eastAsia="zh-CN" w:bidi="ar"/>
        </w:rPr>
        <w:t>4 运营期监测以变形监测为主，应力、应变监测做参考项目。</w:t>
      </w:r>
    </w:p>
    <w:p w14:paraId="189386C0">
      <w:pPr>
        <w:rPr>
          <w:rFonts w:hint="eastAsia" w:ascii="Times New Roman" w:hAnsi="Times New Roman" w:cs="Times New Roman"/>
          <w:b/>
          <w:bCs/>
          <w:color w:val="0000FF"/>
          <w:highlight w:val="none"/>
          <w:lang w:val="en-US" w:eastAsia="zh-CN"/>
        </w:rPr>
      </w:pPr>
    </w:p>
    <w:p w14:paraId="4B33FCF4">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0159E8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监测项目的选择主要考虑以下因素：</w:t>
      </w:r>
    </w:p>
    <w:p w14:paraId="09CFAD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将坡顶变形与支护结构变形分为不同的监测项目，若边坡的支护形式为放坡或仅采用喷锚支护形式，可将坡面和坡体整体理解为支护结构。</w:t>
      </w:r>
    </w:p>
    <w:p w14:paraId="4D4AF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000000"/>
          <w:spacing w:val="0"/>
          <w:w w:val="100"/>
          <w:position w:val="0"/>
          <w:sz w:val="21"/>
          <w:szCs w:val="21"/>
          <w:highlight w:val="none"/>
          <w:lang w:val="en-US" w:eastAsia="zh-CN"/>
        </w:rPr>
      </w:pPr>
      <w:r>
        <w:rPr>
          <w:rFonts w:hint="eastAsia" w:ascii="Times New Roman" w:hAnsi="Times New Roman" w:cs="Times New Roman"/>
          <w:color w:val="0000FF"/>
          <w:highlight w:val="none"/>
          <w:lang w:val="en-US" w:eastAsia="zh-CN"/>
        </w:rPr>
        <w:t>边坡监测包括第三方监测和施工监测，第三方监测并不能代替施工监测，同时，为了比对第三方监测和施工监测数据，双方测点布置宜一致或相近。</w:t>
      </w:r>
    </w:p>
    <w:p w14:paraId="017BAEA4">
      <w:pPr>
        <w:pStyle w:val="3"/>
        <w:bidi w:val="0"/>
        <w:rPr>
          <w:rFonts w:hint="default" w:ascii="Times New Roman" w:hAnsi="Times New Roman" w:cs="Times New Roman"/>
          <w:highlight w:val="none"/>
          <w:lang w:val="en-US" w:eastAsia="zh-CN"/>
        </w:rPr>
      </w:pPr>
      <w:bookmarkStart w:id="38" w:name="_Toc30917"/>
      <w:bookmarkStart w:id="39" w:name="_Toc1241"/>
      <w:bookmarkStart w:id="40" w:name="_Toc11016"/>
      <w:bookmarkStart w:id="41" w:name="_Toc25030"/>
      <w:bookmarkStart w:id="42" w:name="_Toc16945"/>
      <w:r>
        <w:rPr>
          <w:rFonts w:hint="eastAsia" w:ascii="Times New Roman" w:hAnsi="Times New Roman" w:cs="Times New Roman"/>
          <w:highlight w:val="none"/>
          <w:lang w:val="en-US" w:eastAsia="zh-CN"/>
        </w:rPr>
        <w:t>4.3 巡视检查</w:t>
      </w:r>
      <w:bookmarkEnd w:id="38"/>
      <w:bookmarkEnd w:id="39"/>
      <w:bookmarkEnd w:id="40"/>
      <w:bookmarkEnd w:id="41"/>
      <w:bookmarkEnd w:id="42"/>
    </w:p>
    <w:p w14:paraId="5BB0F0D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highlight w:val="none"/>
          <w:lang w:val="en-US" w:eastAsia="zh-CN"/>
        </w:rPr>
        <w:t xml:space="preserve">4. 3. </w:t>
      </w:r>
      <w:r>
        <w:rPr>
          <w:rFonts w:hint="default" w:ascii="Times New Roman" w:hAnsi="Times New Roman" w:cs="Times New Roman"/>
          <w:b/>
          <w:highlight w:val="none"/>
          <w:lang w:val="en-US" w:eastAsia="zh-CN"/>
        </w:rPr>
        <w:t>1</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 xml:space="preserve"> 建筑边坡</w:t>
      </w:r>
      <w:r>
        <w:rPr>
          <w:rFonts w:hint="default" w:ascii="Times New Roman" w:hAnsi="Times New Roman" w:cs="Times New Roman"/>
          <w:highlight w:val="none"/>
          <w:lang w:val="en-US" w:eastAsia="zh-CN"/>
        </w:rPr>
        <w:t>施工期</w:t>
      </w:r>
      <w:r>
        <w:rPr>
          <w:rFonts w:hint="eastAsia" w:ascii="Times New Roman" w:hAnsi="Times New Roman" w:cs="Times New Roman"/>
          <w:highlight w:val="none"/>
          <w:lang w:val="en-US" w:eastAsia="zh-CN"/>
        </w:rPr>
        <w:t>及运营期</w:t>
      </w:r>
      <w:r>
        <w:rPr>
          <w:rFonts w:hint="default" w:ascii="Times New Roman" w:hAnsi="Times New Roman" w:cs="Times New Roman"/>
          <w:highlight w:val="none"/>
          <w:lang w:val="en-US" w:eastAsia="zh-CN"/>
        </w:rPr>
        <w:t>内，应由专人进行巡视</w:t>
      </w:r>
      <w:r>
        <w:rPr>
          <w:rFonts w:hint="eastAsia" w:ascii="Times New Roman" w:hAnsi="Times New Roman" w:cs="Times New Roman"/>
          <w:highlight w:val="none"/>
          <w:lang w:val="en-US" w:eastAsia="zh-CN"/>
        </w:rPr>
        <w:t>检查。</w:t>
      </w:r>
    </w:p>
    <w:p w14:paraId="1BC10C1C">
      <w:pPr>
        <w:rPr>
          <w:rFonts w:hint="eastAsia" w:ascii="Times New Roman" w:hAnsi="Times New Roman" w:cs="Times New Roman"/>
          <w:b/>
          <w:bCs/>
          <w:color w:val="0000FF"/>
          <w:highlight w:val="none"/>
          <w:lang w:val="en-US" w:eastAsia="zh-CN"/>
        </w:rPr>
      </w:pPr>
    </w:p>
    <w:p w14:paraId="1BF7046C">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19D322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若有暴雨、洪水、地震等异常情况下，应在异常天气来临前对边坡进行专门巡查，排查有关安全隐患。在异常天气发生时，考虑到监测人员人身安全，不宜上边坡巡查，</w:t>
      </w:r>
      <w:r>
        <w:rPr>
          <w:rFonts w:hint="eastAsia" w:ascii="Times New Roman" w:hAnsi="Times New Roman" w:cs="Times New Roman"/>
          <w:color w:val="0000FF"/>
          <w:sz w:val="24"/>
          <w:highlight w:val="none"/>
          <w:lang w:val="en-US" w:eastAsia="zh-CN"/>
        </w:rPr>
        <w:t>有条件的工程可借助视频远程监控或无人机巡视检查等手段监控边坡实际情况</w:t>
      </w:r>
      <w:r>
        <w:rPr>
          <w:rFonts w:hint="eastAsia" w:ascii="Times New Roman" w:hAnsi="Times New Roman" w:cs="Times New Roman"/>
          <w:color w:val="0000FF"/>
          <w:highlight w:val="none"/>
          <w:lang w:val="en-US" w:eastAsia="zh-CN"/>
        </w:rPr>
        <w:t>。在暴雨、洪水等天气过去后，在保证人身安全的前提下，对边坡进行巡检，判断边坡安全状态。</w:t>
      </w:r>
    </w:p>
    <w:p w14:paraId="3374DA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highlight w:val="none"/>
          <w:lang w:val="en-US" w:eastAsia="zh-CN"/>
        </w:rPr>
      </w:pPr>
    </w:p>
    <w:p w14:paraId="63D94D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color w:val="000000" w:themeColor="text1"/>
          <w:highlight w:val="none"/>
          <w:lang w:val="en-US" w:eastAsia="zh-CN"/>
          <w14:textFill>
            <w14:solidFill>
              <w14:schemeClr w14:val="tx1"/>
            </w14:solidFill>
          </w14:textFill>
        </w:rPr>
        <w:t>4. 3. 2</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对自然条件、支护结构、施工工况、周边环境、监测设施等的巡视检查情况应做好记录。检查记录应及时整理，并与仪器监测数据进行综合分析。</w:t>
      </w:r>
    </w:p>
    <w:p w14:paraId="6BA440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p>
    <w:p w14:paraId="078ED4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55BA49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的巡视检查是仪器监测方法的有效补充，特别是处于运营期的边坡，巡视检查的重要性更高。巡查工作应由具备丰富经验的技术人员进行，并在巡查记录上签字，应结合巡查记录和仪器监测数据，整理成巡查技术报告并履行签字程序，巡查报告应提出合理建议。</w:t>
      </w:r>
    </w:p>
    <w:p w14:paraId="651AE1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现场巡查和仪器监测数据成果之间大多存在着内在的联系，可以把被监测对象从定性和定量两方面有机地结合起来，更加全面地分析</w:t>
      </w:r>
      <w:r>
        <w:rPr>
          <w:rFonts w:hint="eastAsia" w:ascii="Times New Roman" w:hAnsi="Times New Roman" w:cs="Times New Roman"/>
          <w:color w:val="0000FF"/>
          <w:highlight w:val="none"/>
          <w:lang w:val="en-US" w:eastAsia="zh-CN"/>
        </w:rPr>
        <w:t>建筑边坡</w:t>
      </w:r>
      <w:r>
        <w:rPr>
          <w:rFonts w:hint="default" w:ascii="Times New Roman" w:hAnsi="Times New Roman" w:cs="Times New Roman"/>
          <w:color w:val="0000FF"/>
          <w:highlight w:val="none"/>
          <w:lang w:val="en-US" w:eastAsia="zh-CN"/>
        </w:rPr>
        <w:t>工程围(支)护体系及周边环境的变形规律及安全状态</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更好地指导施工或及时采取相应的安全措施，保证工程施工顺利进行。</w:t>
      </w:r>
    </w:p>
    <w:p w14:paraId="358F12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color w:val="0000FF"/>
          <w:highlight w:val="none"/>
          <w:lang w:val="en-US" w:eastAsia="zh-CN"/>
        </w:rPr>
      </w:pPr>
    </w:p>
    <w:p w14:paraId="7E993799">
      <w:pPr>
        <w:keepNext w:val="0"/>
        <w:keepLines w:val="0"/>
        <w:pageBreakBefore w:val="0"/>
        <w:widowControl w:val="0"/>
        <w:tabs>
          <w:tab w:val="right" w:pos="8306"/>
        </w:tabs>
        <w:kinsoku/>
        <w:wordWrap/>
        <w:overflowPunct/>
        <w:topLinePunct w:val="0"/>
        <w:autoSpaceDE/>
        <w:autoSpaceDN/>
        <w:bidi w:val="0"/>
        <w:adjustRightInd/>
        <w:snapToGrid/>
        <w:spacing w:line="360" w:lineRule="auto"/>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color w:val="000000" w:themeColor="text1"/>
          <w:highlight w:val="none"/>
          <w:lang w:val="en-US" w:eastAsia="zh-CN"/>
          <w14:textFill>
            <w14:solidFill>
              <w14:schemeClr w14:val="tx1"/>
            </w14:solidFill>
          </w14:textFill>
        </w:rPr>
        <w:t>4. 3. 3</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巡视检查发现异常情况时，应立即通知委托方及其他相关单位，并开展复测复核。</w:t>
      </w:r>
    </w:p>
    <w:p w14:paraId="7B158C0E">
      <w:pPr>
        <w:keepNext w:val="0"/>
        <w:keepLines w:val="0"/>
        <w:pageBreakBefore w:val="0"/>
        <w:widowControl w:val="0"/>
        <w:tabs>
          <w:tab w:val="right" w:pos="8306"/>
        </w:tabs>
        <w:kinsoku/>
        <w:wordWrap/>
        <w:overflowPunct/>
        <w:topLinePunct w:val="0"/>
        <w:autoSpaceDE/>
        <w:autoSpaceDN/>
        <w:bidi w:val="0"/>
        <w:adjustRightInd/>
        <w:snapToGrid/>
        <w:spacing w:line="360" w:lineRule="auto"/>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p>
    <w:p w14:paraId="059FDD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7CD0D1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当前主要的仪器监测手段难以做到分布式测量，依然是基于经济合理原则下以点带面的方式。不易发现监测点/断面之间的变形特征。因此，</w:t>
      </w:r>
      <w:r>
        <w:rPr>
          <w:rFonts w:hint="default" w:ascii="Times New Roman" w:hAnsi="Times New Roman" w:cs="Times New Roman"/>
          <w:color w:val="0000FF"/>
          <w:highlight w:val="none"/>
          <w:lang w:val="en-US" w:eastAsia="zh-CN"/>
        </w:rPr>
        <w:t>现场巡查到的任何异常情况必须引起足够重视，并结合出现异常区域的监测数据和施工工况进行综合分析判断，及时发现可能出现的事故隐患或征兆，以便施工</w:t>
      </w:r>
      <w:r>
        <w:rPr>
          <w:rFonts w:hint="eastAsia" w:ascii="Times New Roman" w:hAnsi="Times New Roman" w:cs="Times New Roman"/>
          <w:color w:val="0000FF"/>
          <w:highlight w:val="none"/>
          <w:lang w:val="en-US" w:eastAsia="zh-CN"/>
        </w:rPr>
        <w:t>单位</w:t>
      </w:r>
      <w:r>
        <w:rPr>
          <w:rFonts w:hint="default" w:ascii="Times New Roman" w:hAnsi="Times New Roman" w:cs="Times New Roman"/>
          <w:color w:val="0000FF"/>
          <w:highlight w:val="none"/>
          <w:lang w:val="en-US" w:eastAsia="zh-CN"/>
        </w:rPr>
        <w:t>及相关单位及时启动应急预案，采取应对措施，避免事故的发生。</w:t>
      </w:r>
    </w:p>
    <w:p w14:paraId="6C599178">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779C0348">
      <w:pP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color w:val="000000" w:themeColor="text1"/>
          <w:highlight w:val="none"/>
          <w:lang w:val="en-US" w:eastAsia="zh-CN"/>
          <w14:textFill>
            <w14:solidFill>
              <w14:schemeClr w14:val="tx1"/>
            </w14:solidFill>
          </w14:textFill>
        </w:rPr>
        <w:t>4. 3. 4</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建筑边坡工程巡视检查宜包括以下内容：</w:t>
      </w:r>
    </w:p>
    <w:p w14:paraId="761E7C2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auto"/>
          <w:highlight w:val="none"/>
          <w:lang w:val="en-US" w:eastAsia="zh-CN"/>
        </w:rPr>
        <w:t xml:space="preserve"> 施工状况</w:t>
      </w:r>
    </w:p>
    <w:p w14:paraId="478C44FB">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1</w:t>
      </w:r>
      <w:r>
        <w:rPr>
          <w:rFonts w:hint="eastAsia" w:ascii="Times New Roman" w:hAnsi="Times New Roman" w:cs="Times New Roman"/>
          <w:b/>
          <w:bCs/>
          <w:color w:val="auto"/>
          <w:highlight w:val="none"/>
          <w:lang w:val="en-US" w:eastAsia="zh-CN"/>
        </w:rPr>
        <w:t>）</w:t>
      </w:r>
      <w:r>
        <w:rPr>
          <w:rFonts w:hint="eastAsia" w:ascii="Times New Roman" w:hAnsi="Times New Roman" w:cs="Times New Roman"/>
          <w:b w:val="0"/>
          <w:bCs w:val="0"/>
          <w:color w:val="auto"/>
          <w:highlight w:val="none"/>
          <w:lang w:val="en-US" w:eastAsia="zh-CN"/>
        </w:rPr>
        <w:t>开挖后暴露的岩土体情况与岩土勘察报告有无差异</w:t>
      </w:r>
      <w:r>
        <w:rPr>
          <w:rFonts w:hint="default" w:ascii="Times New Roman" w:hAnsi="Times New Roman" w:cs="Times New Roman"/>
          <w:color w:val="auto"/>
          <w:highlight w:val="none"/>
          <w:lang w:val="en-US" w:eastAsia="zh-CN"/>
        </w:rPr>
        <w:t>；</w:t>
      </w:r>
    </w:p>
    <w:p w14:paraId="7CB2996D">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2）</w:t>
      </w:r>
      <w:r>
        <w:rPr>
          <w:rFonts w:hint="eastAsia" w:ascii="Times New Roman" w:hAnsi="Times New Roman" w:cs="Times New Roman"/>
          <w:b w:val="0"/>
          <w:bCs w:val="0"/>
          <w:color w:val="auto"/>
          <w:highlight w:val="none"/>
          <w:lang w:val="en-US" w:eastAsia="zh-CN"/>
        </w:rPr>
        <w:t>开挖分段长度、分层厚度及锚杆（索）设置是否与设计要求一致；</w:t>
      </w:r>
    </w:p>
    <w:p w14:paraId="0105B49F">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b w:val="0"/>
          <w:bCs w:val="0"/>
          <w:color w:val="auto"/>
          <w:highlight w:val="none"/>
          <w:lang w:val="en-US" w:eastAsia="zh-CN"/>
        </w:rPr>
        <w:t>锚杆（索）是否施工及时；</w:t>
      </w:r>
    </w:p>
    <w:p w14:paraId="771605B4">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4）</w:t>
      </w:r>
      <w:r>
        <w:rPr>
          <w:rFonts w:hint="eastAsia" w:ascii="Times New Roman" w:hAnsi="Times New Roman" w:cs="Times New Roman"/>
          <w:color w:val="auto"/>
          <w:highlight w:val="none"/>
          <w:lang w:val="en-US" w:eastAsia="zh-CN"/>
        </w:rPr>
        <w:t>坡顶坡体有无超载；</w:t>
      </w:r>
    </w:p>
    <w:p w14:paraId="7D8DBA7E">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b/>
          <w:sz w:val="24"/>
          <w:highlight w:val="none"/>
          <w:lang w:val="en-US" w:eastAsia="zh-CN"/>
        </w:rPr>
        <w:t>5）</w:t>
      </w:r>
      <w:r>
        <w:rPr>
          <w:rFonts w:hint="eastAsia" w:ascii="Times New Roman" w:hAnsi="Times New Roman" w:cs="Times New Roman"/>
          <w:b w:val="0"/>
          <w:color w:val="auto"/>
          <w:sz w:val="24"/>
          <w:highlight w:val="none"/>
        </w:rPr>
        <w:t>开挖后边坡是否及时封闭</w:t>
      </w:r>
      <w:r>
        <w:rPr>
          <w:rFonts w:hint="eastAsia" w:cs="Times New Roman"/>
          <w:b w:val="0"/>
          <w:color w:val="auto"/>
          <w:sz w:val="24"/>
          <w:highlight w:val="none"/>
          <w:lang w:eastAsia="zh-CN"/>
        </w:rPr>
        <w:t>。</w:t>
      </w:r>
    </w:p>
    <w:p w14:paraId="356F845B">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支护结构</w:t>
      </w:r>
    </w:p>
    <w:p w14:paraId="686790BE">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Times New Roman" w:hAnsi="Times New Roman"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1</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）支护结构成型质量；</w:t>
      </w:r>
    </w:p>
    <w:p w14:paraId="286987C4">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2</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支护结构</w:t>
      </w:r>
      <w:r>
        <w:rPr>
          <w:rFonts w:hint="eastAsia" w:ascii="Times New Roman" w:hAnsi="Times New Roman" w:cs="Times New Roman"/>
          <w:color w:val="000000" w:themeColor="text1"/>
          <w:highlight w:val="none"/>
          <w:lang w:val="en-US" w:eastAsia="zh-CN"/>
          <w14:textFill>
            <w14:solidFill>
              <w14:schemeClr w14:val="tx1"/>
            </w14:solidFill>
          </w14:textFill>
        </w:rPr>
        <w:t>是否有裂缝；</w:t>
      </w:r>
    </w:p>
    <w:p w14:paraId="106ABA6E">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3</w:t>
      </w:r>
      <w:r>
        <w:rPr>
          <w:rFonts w:hint="eastAsia" w:ascii="Times New Roman" w:hAnsi="Times New Roman" w:cs="Times New Roman"/>
          <w:color w:val="000000" w:themeColor="text1"/>
          <w:highlight w:val="none"/>
          <w:lang w:val="en-US" w:eastAsia="zh-CN"/>
          <w14:textFill>
            <w14:solidFill>
              <w14:schemeClr w14:val="tx1"/>
            </w14:solidFill>
          </w14:textFill>
        </w:rPr>
        <w:t>）锚杆垫板有无松动、变形；</w:t>
      </w:r>
    </w:p>
    <w:p w14:paraId="475E1F93">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4</w:t>
      </w:r>
      <w:r>
        <w:rPr>
          <w:rFonts w:hint="eastAsia" w:ascii="Times New Roman" w:hAnsi="Times New Roman" w:cs="Times New Roman"/>
          <w:color w:val="000000" w:themeColor="text1"/>
          <w:highlight w:val="none"/>
          <w:lang w:val="en-US" w:eastAsia="zh-CN"/>
          <w14:textFill>
            <w14:solidFill>
              <w14:schemeClr w14:val="tx1"/>
            </w14:solidFill>
          </w14:textFill>
        </w:rPr>
        <w:t>）支护结构锈蚀情况；</w:t>
      </w:r>
    </w:p>
    <w:p w14:paraId="02D6EB59">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5</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支护结构间的渗漏情况</w:t>
      </w:r>
      <w:r>
        <w:rPr>
          <w:rFonts w:hint="eastAsia" w:cs="Times New Roman"/>
          <w:color w:val="000000" w:themeColor="text1"/>
          <w:highlight w:val="none"/>
          <w:lang w:val="en-US" w:eastAsia="zh-CN"/>
          <w14:textFill>
            <w14:solidFill>
              <w14:schemeClr w14:val="tx1"/>
            </w14:solidFill>
          </w14:textFill>
        </w:rPr>
        <w:t>。</w:t>
      </w:r>
    </w:p>
    <w:p w14:paraId="04E4BF63">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周边岩土体</w:t>
      </w:r>
    </w:p>
    <w:p w14:paraId="4AFE5F13">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1</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边坡地表裂缝、</w:t>
      </w:r>
      <w:r>
        <w:rPr>
          <w:rFonts w:hint="eastAsia" w:ascii="Times New Roman" w:hAnsi="Times New Roman" w:cs="Times New Roman"/>
          <w:color w:val="000000" w:themeColor="text1"/>
          <w:highlight w:val="none"/>
          <w:lang w:val="en-US" w:eastAsia="zh-CN"/>
          <w14:textFill>
            <w14:solidFill>
              <w14:schemeClr w14:val="tx1"/>
            </w14:solidFill>
          </w14:textFill>
        </w:rPr>
        <w:t>沉陷及</w:t>
      </w:r>
      <w:r>
        <w:rPr>
          <w:rFonts w:hint="default" w:ascii="Times New Roman" w:hAnsi="Times New Roman" w:cs="Times New Roman"/>
          <w:color w:val="000000" w:themeColor="text1"/>
          <w:highlight w:val="none"/>
          <w:lang w:val="en-US" w:eastAsia="zh-CN"/>
          <w14:textFill>
            <w14:solidFill>
              <w14:schemeClr w14:val="tx1"/>
            </w14:solidFill>
          </w14:textFill>
        </w:rPr>
        <w:t>坍塌</w:t>
      </w:r>
      <w:r>
        <w:rPr>
          <w:rFonts w:hint="eastAsia" w:ascii="Times New Roman" w:hAnsi="Times New Roman" w:cs="Times New Roman"/>
          <w:color w:val="000000" w:themeColor="text1"/>
          <w:highlight w:val="none"/>
          <w:lang w:val="en-US" w:eastAsia="zh-CN"/>
          <w14:textFill>
            <w14:solidFill>
              <w14:schemeClr w14:val="tx1"/>
            </w14:solidFill>
          </w14:textFill>
        </w:rPr>
        <w:t>情况</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42218DDD">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2</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边坡地表地下水出露点、水流</w:t>
      </w:r>
      <w:r>
        <w:rPr>
          <w:rFonts w:hint="eastAsia" w:ascii="Times New Roman" w:hAnsi="Times New Roman" w:cs="Times New Roman"/>
          <w:color w:val="000000" w:themeColor="text1"/>
          <w:highlight w:val="none"/>
          <w:lang w:val="en-US" w:eastAsia="zh-CN"/>
          <w14:textFill>
            <w14:solidFill>
              <w14:schemeClr w14:val="tx1"/>
            </w14:solidFill>
          </w14:textFill>
        </w:rPr>
        <w:t>量</w:t>
      </w:r>
      <w:r>
        <w:rPr>
          <w:rFonts w:hint="default" w:ascii="Times New Roman" w:hAnsi="Times New Roman" w:cs="Times New Roman"/>
          <w:color w:val="000000" w:themeColor="text1"/>
          <w:highlight w:val="none"/>
          <w:lang w:val="en-US" w:eastAsia="zh-CN"/>
          <w14:textFill>
            <w14:solidFill>
              <w14:schemeClr w14:val="tx1"/>
            </w14:solidFill>
          </w14:textFill>
        </w:rPr>
        <w:t>大小</w:t>
      </w:r>
      <w:r>
        <w:rPr>
          <w:rFonts w:hint="eastAsia" w:ascii="Times New Roman" w:hAnsi="Times New Roman" w:cs="Times New Roman"/>
          <w:color w:val="000000" w:themeColor="text1"/>
          <w:highlight w:val="none"/>
          <w:lang w:val="en-US" w:eastAsia="zh-CN"/>
          <w14:textFill>
            <w14:solidFill>
              <w14:schemeClr w14:val="tx1"/>
            </w14:solidFill>
          </w14:textFill>
        </w:rPr>
        <w:t>；</w:t>
      </w:r>
    </w:p>
    <w:p w14:paraId="673C7EA5">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3</w:t>
      </w:r>
      <w:r>
        <w:rPr>
          <w:rFonts w:hint="eastAsia" w:ascii="Times New Roman" w:hAnsi="Times New Roman" w:cs="Times New Roman"/>
          <w:color w:val="000000" w:themeColor="text1"/>
          <w:highlight w:val="none"/>
          <w:lang w:val="en-US" w:eastAsia="zh-CN"/>
          <w14:textFill>
            <w14:solidFill>
              <w14:schemeClr w14:val="tx1"/>
            </w14:solidFill>
          </w14:textFill>
        </w:rPr>
        <w:t>）泄水排水系统的完好、畅通情况及地表径流情况。</w:t>
      </w:r>
    </w:p>
    <w:p w14:paraId="7D6ACB8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周边环境</w:t>
      </w:r>
    </w:p>
    <w:p w14:paraId="6769CFAA">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1</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周边</w:t>
      </w:r>
      <w:r>
        <w:rPr>
          <w:rFonts w:hint="eastAsia" w:ascii="Times New Roman" w:hAnsi="Times New Roman" w:cs="Times New Roman"/>
          <w:color w:val="000000" w:themeColor="text1"/>
          <w:highlight w:val="none"/>
          <w:lang w:val="en-US" w:eastAsia="zh-CN"/>
          <w14:textFill>
            <w14:solidFill>
              <w14:schemeClr w14:val="tx1"/>
            </w14:solidFill>
          </w14:textFill>
        </w:rPr>
        <w:t>管线有无</w:t>
      </w:r>
      <w:r>
        <w:rPr>
          <w:rFonts w:hint="default" w:ascii="Times New Roman" w:hAnsi="Times New Roman" w:cs="Times New Roman"/>
          <w:color w:val="000000" w:themeColor="text1"/>
          <w:highlight w:val="none"/>
          <w:lang w:val="en-US" w:eastAsia="zh-CN"/>
          <w14:textFill>
            <w14:solidFill>
              <w14:schemeClr w14:val="tx1"/>
            </w14:solidFill>
          </w14:textFill>
        </w:rPr>
        <w:t>破损、泄漏情况</w:t>
      </w:r>
      <w:r>
        <w:rPr>
          <w:rFonts w:hint="eastAsia" w:ascii="Times New Roman" w:hAnsi="Times New Roman" w:cs="Times New Roman"/>
          <w:color w:val="000000" w:themeColor="text1"/>
          <w:highlight w:val="none"/>
          <w:lang w:val="en-US" w:eastAsia="zh-CN"/>
          <w14:textFill>
            <w14:solidFill>
              <w14:schemeClr w14:val="tx1"/>
            </w14:solidFill>
          </w14:textFill>
        </w:rPr>
        <w:t>；</w:t>
      </w:r>
    </w:p>
    <w:p w14:paraId="45C36082">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val="en-US" w:eastAsia="zh-CN"/>
          <w14:textFill>
            <w14:solidFill>
              <w14:schemeClr w14:val="tx1"/>
            </w14:solidFill>
          </w14:textFill>
        </w:rPr>
        <w:t>）周边道路（地面）有无裂缝、沉陷；</w:t>
      </w:r>
    </w:p>
    <w:p w14:paraId="0663EAEE">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3</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周边建</w:t>
      </w:r>
      <w:r>
        <w:rPr>
          <w:rFonts w:hint="eastAsia" w:ascii="Times New Roman" w:hAnsi="Times New Roman" w:cs="Times New Roman"/>
          <w:color w:val="000000" w:themeColor="text1"/>
          <w:highlight w:val="none"/>
          <w:lang w:val="en-US" w:eastAsia="zh-CN"/>
          <w14:textFill>
            <w14:solidFill>
              <w14:schemeClr w14:val="tx1"/>
            </w14:solidFill>
          </w14:textFill>
        </w:rPr>
        <w:t>（构）</w:t>
      </w:r>
      <w:r>
        <w:rPr>
          <w:rFonts w:hint="default" w:ascii="Times New Roman" w:hAnsi="Times New Roman" w:cs="Times New Roman"/>
          <w:color w:val="000000" w:themeColor="text1"/>
          <w:highlight w:val="none"/>
          <w:lang w:val="en-US" w:eastAsia="zh-CN"/>
          <w14:textFill>
            <w14:solidFill>
              <w14:schemeClr w14:val="tx1"/>
            </w14:solidFill>
          </w14:textFill>
        </w:rPr>
        <w:t>筑</w:t>
      </w:r>
      <w:r>
        <w:rPr>
          <w:rFonts w:hint="eastAsia" w:ascii="Times New Roman" w:hAnsi="Times New Roman" w:cs="Times New Roman"/>
          <w:color w:val="000000" w:themeColor="text1"/>
          <w:highlight w:val="none"/>
          <w:lang w:val="en-US" w:eastAsia="zh-CN"/>
          <w14:textFill>
            <w14:solidFill>
              <w14:schemeClr w14:val="tx1"/>
            </w14:solidFill>
          </w14:textFill>
        </w:rPr>
        <w:t>物</w:t>
      </w:r>
      <w:r>
        <w:rPr>
          <w:rFonts w:hint="default" w:ascii="Times New Roman" w:hAnsi="Times New Roman" w:cs="Times New Roman"/>
          <w:color w:val="000000" w:themeColor="text1"/>
          <w:highlight w:val="none"/>
          <w:lang w:val="en-US" w:eastAsia="zh-CN"/>
          <w14:textFill>
            <w14:solidFill>
              <w14:schemeClr w14:val="tx1"/>
            </w14:solidFill>
          </w14:textFill>
        </w:rPr>
        <w:t>裂缝</w:t>
      </w:r>
      <w:r>
        <w:rPr>
          <w:rFonts w:hint="eastAsia" w:ascii="Times New Roman" w:hAnsi="Times New Roman" w:cs="Times New Roman"/>
          <w:color w:val="000000" w:themeColor="text1"/>
          <w:highlight w:val="none"/>
          <w:lang w:val="en-US" w:eastAsia="zh-CN"/>
          <w14:textFill>
            <w14:solidFill>
              <w14:schemeClr w14:val="tx1"/>
            </w14:solidFill>
          </w14:textFill>
        </w:rPr>
        <w:t>变化情况</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4B39FC41">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4</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邻近建筑的</w:t>
      </w:r>
      <w:r>
        <w:rPr>
          <w:rFonts w:hint="eastAsia" w:ascii="Times New Roman" w:hAnsi="Times New Roman" w:cs="Times New Roman"/>
          <w:color w:val="000000" w:themeColor="text1"/>
          <w:highlight w:val="none"/>
          <w:lang w:val="en-US" w:eastAsia="zh-CN"/>
          <w14:textFill>
            <w14:solidFill>
              <w14:schemeClr w14:val="tx1"/>
            </w14:solidFill>
          </w14:textFill>
        </w:rPr>
        <w:t>施工</w:t>
      </w:r>
      <w:r>
        <w:rPr>
          <w:rFonts w:hint="default" w:ascii="Times New Roman" w:hAnsi="Times New Roman" w:cs="Times New Roman"/>
          <w:color w:val="000000" w:themeColor="text1"/>
          <w:highlight w:val="none"/>
          <w:lang w:val="en-US" w:eastAsia="zh-CN"/>
          <w14:textFill>
            <w14:solidFill>
              <w14:schemeClr w14:val="tx1"/>
            </w14:solidFill>
          </w14:textFill>
        </w:rPr>
        <w:t>变化情况。</w:t>
      </w:r>
    </w:p>
    <w:p w14:paraId="3B4F7BC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监测设施</w:t>
      </w:r>
    </w:p>
    <w:p w14:paraId="4482A041">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1</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基准点、监测点完好状况；</w:t>
      </w:r>
    </w:p>
    <w:p w14:paraId="58A3339C">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2</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监测元件的完好及保护情况；</w:t>
      </w:r>
    </w:p>
    <w:p w14:paraId="0207CD5A">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3</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有无影响观测工作的障碍物。</w:t>
      </w:r>
    </w:p>
    <w:p w14:paraId="78D1B6A9">
      <w:pP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color w:val="000000" w:themeColor="text1"/>
          <w:highlight w:val="none"/>
          <w:lang w:val="en-US" w:eastAsia="zh-CN"/>
          <w14:textFill>
            <w14:solidFill>
              <w14:schemeClr w14:val="tx1"/>
            </w14:solidFill>
          </w14:textFill>
        </w:rPr>
        <w:t>4. 3. 5</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巡视检查可采用锤、钎、量尺、放大镜等工具以及摄像、摄影等设备进行，并宜</w:t>
      </w:r>
      <w:r>
        <w:rPr>
          <w:rFonts w:hint="eastAsia" w:ascii="Times New Roman" w:hAnsi="Times New Roman" w:cs="Times New Roman"/>
          <w:color w:val="000000" w:themeColor="text1"/>
          <w:highlight w:val="none"/>
          <w14:textFill>
            <w14:solidFill>
              <w14:schemeClr w14:val="tx1"/>
            </w14:solidFill>
          </w14:textFill>
        </w:rPr>
        <w:t>采用摄影测量与遥感技术等先进技术手段辅助巡查</w:t>
      </w:r>
      <w:r>
        <w:rPr>
          <w:rFonts w:hint="eastAsia" w:ascii="Times New Roman" w:hAnsi="Times New Roman" w:cs="Times New Roman"/>
          <w:color w:val="000000" w:themeColor="text1"/>
          <w:highlight w:val="none"/>
          <w:lang w:eastAsia="zh-CN"/>
          <w14:textFill>
            <w14:solidFill>
              <w14:schemeClr w14:val="tx1"/>
            </w14:solidFill>
          </w14:textFill>
        </w:rPr>
        <w:t>。</w:t>
      </w:r>
    </w:p>
    <w:p w14:paraId="76EB514D">
      <w:pPr>
        <w:rPr>
          <w:rFonts w:hint="eastAsia" w:ascii="Times New Roman" w:hAnsi="Times New Roman" w:cs="Times New Roman"/>
          <w:color w:val="000000" w:themeColor="text1"/>
          <w:highlight w:val="none"/>
          <w:lang w:val="en-US" w:eastAsia="zh-CN"/>
          <w14:textFill>
            <w14:solidFill>
              <w14:schemeClr w14:val="tx1"/>
            </w14:solidFill>
          </w14:textFill>
        </w:rPr>
      </w:pPr>
    </w:p>
    <w:p w14:paraId="1146267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0B92F4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结合当前技术发展和建筑边坡特点，巡视检查宜采用摄影测量与遥感技术等先进技术手段辅助巡查，提高巡查效率和覆盖率。</w:t>
      </w:r>
    </w:p>
    <w:p w14:paraId="6DD95A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b/>
          <w:bCs/>
          <w:color w:val="0000FF"/>
          <w:highlight w:val="none"/>
          <w:lang w:val="en-US" w:eastAsia="zh-CN"/>
        </w:rPr>
        <w:t>1</w:t>
      </w:r>
      <w:r>
        <w:rPr>
          <w:rFonts w:hint="eastAsia" w:cs="Times New Roman"/>
          <w:b/>
          <w:bCs/>
          <w:color w:val="0000FF"/>
          <w:highlight w:val="none"/>
          <w:lang w:val="en-US" w:eastAsia="zh-CN"/>
        </w:rPr>
        <w:t xml:space="preserve"> </w:t>
      </w:r>
      <w:r>
        <w:rPr>
          <w:rFonts w:hint="eastAsia" w:ascii="Times New Roman" w:hAnsi="Times New Roman" w:cs="Times New Roman"/>
          <w:color w:val="0000FF"/>
          <w:highlight w:val="none"/>
          <w:lang w:val="en-US" w:eastAsia="zh-CN"/>
        </w:rPr>
        <w:t>当采用低空无人机进行巡查时应符合以下要求：</w:t>
      </w:r>
    </w:p>
    <w:p w14:paraId="6E6FF9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i w:val="0"/>
          <w:iCs w:val="0"/>
          <w:caps w:val="0"/>
          <w:color w:val="0000FF"/>
          <w:spacing w:val="0"/>
          <w:sz w:val="24"/>
          <w:szCs w:val="24"/>
          <w:highlight w:val="none"/>
          <w:shd w:val="clear"/>
          <w:lang w:val="en-US" w:eastAsia="zh-CN"/>
        </w:rPr>
      </w:pPr>
      <w:r>
        <w:rPr>
          <w:rFonts w:hint="eastAsia" w:ascii="Times New Roman" w:hAnsi="Times New Roman" w:cs="Times New Roman"/>
          <w:color w:val="0000FF"/>
          <w:highlight w:val="none"/>
          <w:lang w:val="en-US" w:eastAsia="zh-CN"/>
        </w:rPr>
        <w:t>1）操作员操作不同等级航空器应满足</w:t>
      </w:r>
      <w:r>
        <w:rPr>
          <w:rFonts w:hint="eastAsia" w:ascii="Times New Roman" w:hAnsi="Times New Roman" w:cs="Times New Roman" w:eastAsiaTheme="minorEastAsia"/>
          <w:i w:val="0"/>
          <w:iCs w:val="0"/>
          <w:caps w:val="0"/>
          <w:color w:val="0000FF"/>
          <w:spacing w:val="0"/>
          <w:sz w:val="24"/>
          <w:szCs w:val="24"/>
          <w:highlight w:val="none"/>
          <w:shd w:val="clear" w:fill="auto"/>
        </w:rPr>
        <w:t>《民用无人驾驶航空器运行安全管理规则》</w:t>
      </w:r>
      <w:r>
        <w:rPr>
          <w:rFonts w:hint="eastAsia" w:ascii="Times New Roman" w:hAnsi="Times New Roman" w:cs="Times New Roman"/>
          <w:i w:val="0"/>
          <w:iCs w:val="0"/>
          <w:caps w:val="0"/>
          <w:color w:val="0000FF"/>
          <w:spacing w:val="0"/>
          <w:sz w:val="24"/>
          <w:szCs w:val="24"/>
          <w:highlight w:val="none"/>
          <w:shd w:val="clear"/>
          <w:lang w:val="en-US" w:eastAsia="zh-CN"/>
        </w:rPr>
        <w:t>的相关要求；</w:t>
      </w:r>
    </w:p>
    <w:p w14:paraId="221BE9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i w:val="0"/>
          <w:iCs w:val="0"/>
          <w:caps w:val="0"/>
          <w:color w:val="0000FF"/>
          <w:spacing w:val="0"/>
          <w:sz w:val="24"/>
          <w:szCs w:val="24"/>
          <w:highlight w:val="none"/>
          <w:shd w:val="clear"/>
          <w:lang w:val="en-US" w:eastAsia="zh-CN"/>
        </w:rPr>
        <w:t>2）</w:t>
      </w:r>
      <w:r>
        <w:rPr>
          <w:rFonts w:hint="eastAsia" w:ascii="Times New Roman" w:hAnsi="Times New Roman" w:cs="Times New Roman"/>
          <w:color w:val="0000FF"/>
          <w:highlight w:val="none"/>
          <w:lang w:val="en-US" w:eastAsia="zh-CN"/>
        </w:rPr>
        <w:t>巡查航片与影像资料需妥善保存或上传至云平台；</w:t>
      </w:r>
    </w:p>
    <w:p w14:paraId="5B6648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3）不同类型无人机的操控员应符合安全操控要求，并取得所操控无人机的相应等级的执照；</w:t>
      </w:r>
    </w:p>
    <w:p w14:paraId="7CB996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4）从事飞行以及有关活动的民用无人机，应当按规定进行实名登记；</w:t>
      </w:r>
    </w:p>
    <w:p w14:paraId="4B635D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5）飞行机组的组成和人数不得少于无人驾驶航空器飞行手册或者运行限制的规定，并根据运行风险因素增加成员；</w:t>
      </w:r>
    </w:p>
    <w:p w14:paraId="576D59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（6）若建筑边坡工程在禁飞区域内，则需取得相关部门审批后才能进行无人机巡查。</w:t>
      </w:r>
    </w:p>
    <w:p w14:paraId="4A6C3A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b/>
          <w:bCs/>
          <w:color w:val="0000FF"/>
          <w:highlight w:val="none"/>
          <w:lang w:val="en-US" w:eastAsia="zh-CN"/>
        </w:rPr>
        <w:t>2</w:t>
      </w:r>
      <w:r>
        <w:rPr>
          <w:rFonts w:hint="eastAsia" w:cs="Times New Roman"/>
          <w:b/>
          <w:bCs/>
          <w:color w:val="0000FF"/>
          <w:highlight w:val="none"/>
          <w:lang w:val="en-US" w:eastAsia="zh-CN"/>
        </w:rPr>
        <w:t xml:space="preserve"> </w:t>
      </w:r>
      <w:r>
        <w:rPr>
          <w:rFonts w:hint="eastAsia" w:ascii="Times New Roman" w:hAnsi="Times New Roman" w:cs="Times New Roman"/>
          <w:color w:val="0000FF"/>
          <w:highlight w:val="none"/>
          <w:lang w:val="en-US" w:eastAsia="zh-CN"/>
        </w:rPr>
        <w:t>采用现场安装视频监控进行巡查时应符合以下要求：</w:t>
      </w:r>
    </w:p>
    <w:p w14:paraId="1315FE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1）监控范围应覆盖主要坡面；</w:t>
      </w:r>
    </w:p>
    <w:p w14:paraId="4471B4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2）应能够连续、实时监控边坡动态特征；</w:t>
      </w:r>
    </w:p>
    <w:p w14:paraId="02ED09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3）视频监控图像质量的指标应符合《民用闭路监视电视系统工程技术规范》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GB50198的规定；</w:t>
      </w:r>
    </w:p>
    <w:p w14:paraId="067725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4）视频监控的功能与设计、设备选型与设置、传输方式、供电等应符合GB50395的规定；</w:t>
      </w:r>
    </w:p>
    <w:p w14:paraId="7F6F9F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5）视频监控应支持按摄像机编号、时间、事件等信息对监控图像进行备份、查询、回放；</w:t>
      </w:r>
    </w:p>
    <w:p w14:paraId="214660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6）视频监控应具有夜视功能或配备辅助照明装置。</w:t>
      </w:r>
    </w:p>
    <w:p w14:paraId="718C18B3">
      <w:pPr>
        <w:numPr>
          <w:ilvl w:val="0"/>
          <w:numId w:val="0"/>
        </w:numPr>
        <w:rPr>
          <w:rFonts w:hint="default" w:ascii="Times New Roman" w:hAnsi="Times New Roman" w:cs="Times New Roman"/>
          <w:color w:val="FF0000"/>
          <w:highlight w:val="none"/>
          <w:lang w:val="en-US" w:eastAsia="zh-CN"/>
        </w:rPr>
      </w:pPr>
    </w:p>
    <w:p w14:paraId="4FD15E94">
      <w:pPr>
        <w:rPr>
          <w:rFonts w:hint="eastAsia" w:ascii="Times New Roman" w:hAnsi="Times New Roman" w:cs="Times New Roman"/>
          <w:highlight w:val="none"/>
          <w:lang w:val="en-US" w:eastAsia="zh-CN"/>
        </w:rPr>
      </w:pPr>
    </w:p>
    <w:p w14:paraId="0707A54A">
      <w:pPr>
        <w:rPr>
          <w:rFonts w:hint="eastAsia"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3533E13C">
      <w:pPr>
        <w:pStyle w:val="2"/>
        <w:bidi w:val="0"/>
        <w:rPr>
          <w:rFonts w:hint="eastAsia" w:ascii="Times New Roman" w:hAnsi="Times New Roman" w:cs="Times New Roman"/>
          <w:highlight w:val="none"/>
          <w:lang w:val="en-US" w:eastAsia="zh-CN"/>
        </w:rPr>
      </w:pPr>
      <w:bookmarkStart w:id="43" w:name="_Toc18096"/>
      <w:bookmarkStart w:id="44" w:name="_Toc13270"/>
      <w:bookmarkStart w:id="45" w:name="_Toc26867"/>
      <w:bookmarkStart w:id="46" w:name="_Toc23207"/>
      <w:bookmarkStart w:id="47" w:name="_Toc25082"/>
      <w:r>
        <w:rPr>
          <w:rFonts w:hint="eastAsia" w:ascii="Times New Roman" w:hAnsi="Times New Roman" w:cs="Times New Roman"/>
          <w:highlight w:val="none"/>
          <w:lang w:val="en-US" w:eastAsia="zh-CN"/>
        </w:rPr>
        <w:t>5 监测点布置</w:t>
      </w:r>
      <w:bookmarkEnd w:id="43"/>
      <w:bookmarkEnd w:id="44"/>
      <w:bookmarkEnd w:id="45"/>
      <w:bookmarkEnd w:id="46"/>
      <w:bookmarkEnd w:id="47"/>
    </w:p>
    <w:p w14:paraId="4B14EA5B">
      <w:pPr>
        <w:pStyle w:val="3"/>
        <w:bidi w:val="0"/>
        <w:rPr>
          <w:rFonts w:hint="eastAsia" w:ascii="Times New Roman" w:hAnsi="Times New Roman" w:cs="Times New Roman"/>
          <w:highlight w:val="none"/>
          <w:lang w:val="en-US" w:eastAsia="zh-CN"/>
        </w:rPr>
      </w:pPr>
      <w:bookmarkStart w:id="48" w:name="_Toc14120"/>
      <w:bookmarkStart w:id="49" w:name="_Toc32041"/>
      <w:bookmarkStart w:id="50" w:name="_Toc13034"/>
      <w:bookmarkStart w:id="51" w:name="_Toc29074"/>
      <w:bookmarkStart w:id="52" w:name="_Toc25175"/>
      <w:r>
        <w:rPr>
          <w:rFonts w:hint="eastAsia" w:ascii="Times New Roman" w:hAnsi="Times New Roman" w:cs="Times New Roman"/>
          <w:highlight w:val="none"/>
          <w:lang w:val="en-US" w:eastAsia="zh-CN"/>
        </w:rPr>
        <w:t>5.1 一般规定</w:t>
      </w:r>
      <w:bookmarkEnd w:id="48"/>
      <w:bookmarkEnd w:id="49"/>
      <w:bookmarkEnd w:id="50"/>
      <w:bookmarkEnd w:id="51"/>
      <w:bookmarkEnd w:id="52"/>
    </w:p>
    <w:p w14:paraId="2D1CF705">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5. 1. 1</w:t>
      </w:r>
      <w:r>
        <w:rPr>
          <w:rFonts w:hint="eastAsia" w:ascii="Times New Roman" w:hAnsi="Times New Roman" w:cs="Times New Roman"/>
          <w:highlight w:val="none"/>
          <w:lang w:val="en-US" w:eastAsia="zh-CN"/>
        </w:rPr>
        <w:t xml:space="preserve">  建筑边坡工程监测点</w:t>
      </w:r>
      <w:r>
        <w:rPr>
          <w:rFonts w:hint="eastAsia" w:ascii="Times New Roman" w:hAnsi="Times New Roman" w:cs="Times New Roman"/>
          <w:highlight w:val="none"/>
          <w:shd w:val="clear"/>
          <w:lang w:val="en-US" w:eastAsia="zh-CN"/>
        </w:rPr>
        <w:t>的布置</w:t>
      </w:r>
      <w:r>
        <w:rPr>
          <w:rFonts w:hint="eastAsia" w:ascii="Times New Roman" w:hAnsi="Times New Roman" w:cs="Times New Roman"/>
          <w:highlight w:val="none"/>
          <w:lang w:val="en-US" w:eastAsia="zh-CN"/>
        </w:rPr>
        <w:t>应能反映监测对象的实际状态及其变化趋势，监测点应布置在内力及变形关键特征点上，并应满足监控要求。</w:t>
      </w:r>
    </w:p>
    <w:p w14:paraId="1A7259AB">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14:paraId="692E7F37">
      <w:pPr>
        <w:rPr>
          <w:rFonts w:hint="eastAsia" w:ascii="Times New Roman" w:hAnsi="Times New Roman" w:cs="Times New Roman"/>
          <w:color w:val="0000FF"/>
          <w:highlight w:val="none"/>
        </w:rPr>
      </w:pPr>
      <w:r>
        <w:rPr>
          <w:rFonts w:hint="eastAsia" w:ascii="Times New Roman" w:hAnsi="Times New Roman" w:cs="Times New Roman"/>
          <w:color w:val="0000FF"/>
          <w:highlight w:val="none"/>
        </w:rPr>
        <w:t>测点的位置应尽可能地反映监测对象的实际受力、变形状态，以保证对监测对象的状况做出准确的判断。在监测对象内力和变形变化大的代表性部位及周边环境重点监测部位，监测点应适当加密，以便更加准确地反映监测对象的受力和变形特征。</w:t>
      </w:r>
      <w:r>
        <w:rPr>
          <w:rFonts w:hint="eastAsia" w:ascii="Times New Roman" w:hAnsi="Times New Roman" w:cs="Times New Roman"/>
          <w:color w:val="0000FF"/>
          <w:highlight w:val="none"/>
          <w:lang w:val="en-US" w:eastAsia="zh-CN"/>
        </w:rPr>
        <w:t>监测点宜按照监测断面布设以便于综合分析，监测</w:t>
      </w:r>
      <w:r>
        <w:rPr>
          <w:rFonts w:hint="eastAsia" w:ascii="Times New Roman" w:hAnsi="Times New Roman" w:cs="Times New Roman"/>
          <w:color w:val="0000FF"/>
          <w:highlight w:val="none"/>
        </w:rPr>
        <w:t>断面的平面位置应选择在设计计算受力较大且有代表性的</w:t>
      </w:r>
      <w:r>
        <w:rPr>
          <w:rFonts w:hint="eastAsia" w:ascii="Times New Roman" w:hAnsi="Times New Roman" w:cs="Times New Roman"/>
          <w:color w:val="0000FF"/>
          <w:highlight w:val="none"/>
          <w:lang w:val="en-US" w:eastAsia="zh-CN"/>
        </w:rPr>
        <w:t>断面</w:t>
      </w:r>
      <w:r>
        <w:rPr>
          <w:rFonts w:hint="eastAsia" w:ascii="Times New Roman" w:hAnsi="Times New Roman" w:cs="Times New Roman"/>
          <w:color w:val="0000FF"/>
          <w:highlight w:val="none"/>
        </w:rPr>
        <w:t>，</w:t>
      </w:r>
      <w:r>
        <w:rPr>
          <w:rFonts w:hint="eastAsia" w:ascii="Times New Roman" w:hAnsi="Times New Roman" w:cs="Times New Roman"/>
          <w:color w:val="0000FF"/>
          <w:highlight w:val="none"/>
          <w:lang w:val="en-US" w:eastAsia="zh-CN"/>
        </w:rPr>
        <w:t>边坡</w:t>
      </w:r>
      <w:r>
        <w:rPr>
          <w:rFonts w:hint="eastAsia" w:ascii="Times New Roman" w:hAnsi="Times New Roman" w:cs="Times New Roman"/>
          <w:color w:val="0000FF"/>
          <w:highlight w:val="none"/>
        </w:rPr>
        <w:t>阳角和地质条件复杂的区段</w:t>
      </w:r>
      <w:r>
        <w:rPr>
          <w:rFonts w:hint="eastAsia" w:ascii="Times New Roman" w:hAnsi="Times New Roman" w:cs="Times New Roman"/>
          <w:color w:val="0000FF"/>
          <w:highlight w:val="none"/>
          <w:lang w:eastAsia="zh-CN"/>
        </w:rPr>
        <w:t>。</w:t>
      </w:r>
      <w:r>
        <w:rPr>
          <w:rFonts w:hint="eastAsia" w:ascii="Times New Roman" w:hAnsi="Times New Roman" w:cs="Times New Roman"/>
          <w:color w:val="0000FF"/>
          <w:highlight w:val="none"/>
          <w:lang w:val="en-US" w:eastAsia="zh-CN"/>
        </w:rPr>
        <w:t>另外</w:t>
      </w:r>
      <w:r>
        <w:rPr>
          <w:rFonts w:hint="eastAsia" w:ascii="Times New Roman" w:hAnsi="Times New Roman" w:cs="Times New Roman"/>
          <w:color w:val="0000FF"/>
          <w:highlight w:val="none"/>
        </w:rPr>
        <w:t>影响监测费用的主要方面是监测项目的多少、监测点的数量以及监测频率的大小。</w:t>
      </w:r>
      <w:r>
        <w:rPr>
          <w:rFonts w:hint="eastAsia" w:ascii="Times New Roman" w:hAnsi="Times New Roman" w:cs="Times New Roman"/>
          <w:color w:val="0000FF"/>
          <w:highlight w:val="none"/>
          <w:lang w:val="en-US" w:eastAsia="zh-CN"/>
        </w:rPr>
        <w:t>因此</w:t>
      </w:r>
      <w:r>
        <w:rPr>
          <w:rFonts w:hint="eastAsia" w:ascii="Times New Roman" w:hAnsi="Times New Roman" w:cs="Times New Roman"/>
          <w:color w:val="0000FF"/>
          <w:highlight w:val="none"/>
        </w:rPr>
        <w:t>边坡工程监测点的布置首先要满足对监测对象监控的要求，这就要保证一定数量的监测点，但不是测点越多越好，测点越多工作量越大，需要投入的人员、仪器设备就越多，会大幅增加监测费用。</w:t>
      </w:r>
    </w:p>
    <w:p w14:paraId="7112B64D">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5. 1. 2</w:t>
      </w:r>
      <w:r>
        <w:rPr>
          <w:rFonts w:hint="eastAsia" w:ascii="Times New Roman" w:hAnsi="Times New Roman" w:cs="Times New Roman"/>
          <w:highlight w:val="none"/>
          <w:lang w:val="en-US" w:eastAsia="zh-CN"/>
        </w:rPr>
        <w:t xml:space="preserve">  建筑边坡工程监测点的布置应不妨碍监测对象的正常工作，并应减少对施工作业的不利影响。</w:t>
      </w:r>
    </w:p>
    <w:p w14:paraId="14995C96">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14:paraId="7382EED4">
      <w:pP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rPr>
        <w:t>监测点的设置不应妨碍结构的正常受力、降低结构的变形刚度和承载能力，这一点尤其是在布设支护结构、锚杆、土钉等的应力应变观测点时应注意。在满足监控要求的前提下，应尽量减少在材料堆放、运输和作业密集区埋设的测点，以减少对施工作业产生的不利影响，同时也可以避免测点遭到破坏，提高测点的成活率。</w:t>
      </w:r>
    </w:p>
    <w:p w14:paraId="42880FC6">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5. 1. 3</w:t>
      </w:r>
      <w:r>
        <w:rPr>
          <w:rFonts w:hint="eastAsia" w:ascii="Times New Roman" w:hAnsi="Times New Roman" w:cs="Times New Roman"/>
          <w:highlight w:val="none"/>
          <w:lang w:val="en-US" w:eastAsia="zh-CN"/>
        </w:rPr>
        <w:t xml:space="preserve">  监测标志应稳固、明显、结构合理，监测点的位置应避开障碍物，便于观测。</w:t>
      </w:r>
    </w:p>
    <w:p w14:paraId="18098839">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14:paraId="05574FDA">
      <w:pPr>
        <w:rPr>
          <w:rFonts w:ascii="Times New Roman" w:hAnsi="Times New Roman" w:cs="Times New Roman"/>
          <w:color w:val="0000FF"/>
          <w:highlight w:val="none"/>
        </w:rPr>
      </w:pPr>
      <w:r>
        <w:rPr>
          <w:rFonts w:hint="eastAsia" w:ascii="Times New Roman" w:hAnsi="Times New Roman" w:cs="Times New Roman"/>
          <w:color w:val="0000FF"/>
          <w:highlight w:val="none"/>
        </w:rPr>
        <w:t>监测标志需要保证稳固可靠，现场</w:t>
      </w:r>
      <w:r>
        <w:rPr>
          <w:rFonts w:hint="eastAsia" w:ascii="Times New Roman" w:hAnsi="Times New Roman" w:cs="Times New Roman"/>
          <w:color w:val="0000FF"/>
          <w:highlight w:val="none"/>
          <w:lang w:val="en-US" w:eastAsia="zh-CN"/>
        </w:rPr>
        <w:t>标识</w:t>
      </w:r>
      <w:r>
        <w:rPr>
          <w:rFonts w:hint="eastAsia" w:ascii="Times New Roman" w:hAnsi="Times New Roman" w:cs="Times New Roman"/>
          <w:color w:val="0000FF"/>
          <w:highlight w:val="none"/>
        </w:rPr>
        <w:t>清晰明显，以防止遭到施工破坏。监测点应避开障碍物，以保证测量通视条件，同时也减小转站引点导致的误差。</w:t>
      </w:r>
    </w:p>
    <w:p w14:paraId="38BE0F99">
      <w:pPr>
        <w:numPr>
          <w:ilvl w:val="0"/>
          <w:numId w:val="0"/>
        </w:numPr>
        <w:rPr>
          <w:rFonts w:hint="eastAsia" w:ascii="Times New Roman" w:hAnsi="Times New Roman" w:cs="Times New Roman"/>
          <w:highlight w:val="none"/>
          <w:lang w:val="en-US" w:eastAsia="zh-CN"/>
        </w:rPr>
      </w:pPr>
      <w:r>
        <w:rPr>
          <w:rFonts w:hint="eastAsia" w:ascii="Times New Roman" w:hAnsi="Times New Roman" w:cs="Times New Roman" w:eastAsiaTheme="minorEastAsia"/>
          <w:b/>
          <w:bCs/>
          <w:kern w:val="2"/>
          <w:sz w:val="24"/>
          <w:szCs w:val="24"/>
          <w:highlight w:val="none"/>
          <w:lang w:val="en-US" w:eastAsia="zh-CN" w:bidi="ar-SA"/>
        </w:rPr>
        <w:t>5.</w:t>
      </w:r>
      <w:r>
        <w:rPr>
          <w:rFonts w:hint="eastAsia" w:ascii="Times New Roman" w:hAnsi="Times New Roman" w:cs="Times New Roman"/>
          <w:b/>
          <w:bCs/>
          <w:kern w:val="2"/>
          <w:sz w:val="24"/>
          <w:szCs w:val="24"/>
          <w:highlight w:val="none"/>
          <w:lang w:val="en-US" w:eastAsia="zh-CN" w:bidi="ar-SA"/>
        </w:rPr>
        <w:t xml:space="preserve"> </w:t>
      </w:r>
      <w:r>
        <w:rPr>
          <w:rFonts w:hint="eastAsia" w:ascii="Times New Roman" w:hAnsi="Times New Roman" w:cs="Times New Roman"/>
          <w:b/>
          <w:bCs/>
          <w:highlight w:val="none"/>
          <w:lang w:val="en-US" w:eastAsia="zh-CN"/>
        </w:rPr>
        <w:t>1. 4</w:t>
      </w:r>
      <w:r>
        <w:rPr>
          <w:rFonts w:hint="eastAsia" w:ascii="Times New Roman" w:hAnsi="Times New Roman" w:cs="Times New Roman"/>
          <w:highlight w:val="none"/>
          <w:lang w:val="en-US" w:eastAsia="zh-CN"/>
        </w:rPr>
        <w:t xml:space="preserve">  监测点布设应根据边坡</w:t>
      </w:r>
      <w:r>
        <w:rPr>
          <w:rFonts w:hint="eastAsia" w:ascii="Times New Roman" w:hAnsi="Times New Roman" w:cs="Times New Roman"/>
          <w:color w:val="000000" w:themeColor="text1"/>
          <w:highlight w:val="none"/>
          <w:shd w:val="clear"/>
          <w:lang w:val="en-US" w:eastAsia="zh-CN"/>
          <w14:textFill>
            <w14:solidFill>
              <w14:schemeClr w14:val="tx1"/>
            </w14:solidFill>
          </w14:textFill>
        </w:rPr>
        <w:t>安全等级</w:t>
      </w:r>
      <w:r>
        <w:rPr>
          <w:rFonts w:hint="eastAsia" w:ascii="Times New Roman" w:hAnsi="Times New Roman" w:cs="Times New Roman"/>
          <w:highlight w:val="none"/>
          <w:lang w:val="en-US" w:eastAsia="zh-CN"/>
        </w:rPr>
        <w:t>、支护结构设计计算及施工计划等因素综合确定，不同监测项目的监测点宜布设在同一监测断面上，典型边坡段不宜少于1个监测断面。</w:t>
      </w:r>
    </w:p>
    <w:p w14:paraId="7547EDAA">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14:paraId="13E02868">
      <w:pPr>
        <w:rPr>
          <w:rFonts w:ascii="Times New Roman" w:hAnsi="Times New Roman" w:cs="Times New Roman"/>
          <w:color w:val="0000FF"/>
          <w:highlight w:val="none"/>
        </w:rPr>
      </w:pPr>
      <w:r>
        <w:rPr>
          <w:rFonts w:hint="eastAsia" w:ascii="Times New Roman" w:hAnsi="Times New Roman" w:cs="Times New Roman"/>
          <w:color w:val="0000FF"/>
          <w:highlight w:val="none"/>
        </w:rPr>
        <w:t>边坡支护结构、周围岩土体以及周边环境被保护对象是一个系统，相互之间有着内在的必然联系，把同一监控区域的不同监测项目尽可能地布置在同一监测断面上，有利于监测数据的相互印证以及对变化趋势的准确分析、判断。</w:t>
      </w:r>
    </w:p>
    <w:p w14:paraId="5189ED7B">
      <w:pPr>
        <w:rPr>
          <w:rFonts w:hint="default" w:ascii="Times New Roman" w:hAnsi="Times New Roman" w:cs="Times New Roman"/>
          <w:color w:val="FF0000"/>
          <w:highlight w:val="none"/>
          <w:lang w:val="en-US"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1</w:t>
      </w:r>
      <w:r>
        <w:rPr>
          <w:rFonts w:hint="eastAsia"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5  </w:t>
      </w:r>
      <w:r>
        <w:rPr>
          <w:rFonts w:hint="eastAsia" w:ascii="Times New Roman" w:hAnsi="Times New Roman" w:cs="Times New Roman"/>
          <w:color w:val="auto"/>
          <w:highlight w:val="none"/>
          <w:lang w:val="en-US" w:eastAsia="zh-CN"/>
        </w:rPr>
        <w:t>基准点、工作基点的布设及基准网的稳定性分析应满足《建筑变形测量规范》</w:t>
      </w:r>
      <w:r>
        <w:rPr>
          <w:rFonts w:hint="eastAsia"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JGJ 8的要求。</w:t>
      </w:r>
    </w:p>
    <w:p w14:paraId="720E232E">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14:paraId="036D721F">
      <w:pPr>
        <w:rPr>
          <w:rFonts w:ascii="Times New Roman" w:hAnsi="Times New Roman" w:cs="Times New Roman"/>
          <w:color w:val="0000FF"/>
          <w:highlight w:val="none"/>
        </w:rPr>
      </w:pPr>
      <w:r>
        <w:rPr>
          <w:rFonts w:hint="eastAsia" w:ascii="Times New Roman" w:hAnsi="Times New Roman" w:cs="Times New Roman"/>
          <w:color w:val="0000FF"/>
          <w:highlight w:val="none"/>
        </w:rPr>
        <w:t>基准点、工作基点的埋设及基准网的稳定性分析按现行行业标准《建筑变形测量规范》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rPr>
        <w:t>JG</w:t>
      </w:r>
      <w:r>
        <w:rPr>
          <w:rFonts w:hint="eastAsia" w:ascii="Times New Roman" w:hAnsi="Times New Roman" w:cs="Times New Roman"/>
          <w:color w:val="0000FF"/>
          <w:highlight w:val="none"/>
          <w:lang w:val="en-US" w:eastAsia="zh-CN"/>
        </w:rPr>
        <w:t>J</w:t>
      </w:r>
      <w:r>
        <w:rPr>
          <w:rFonts w:hint="eastAsia" w:ascii="Times New Roman" w:hAnsi="Times New Roman" w:cs="Times New Roman"/>
          <w:color w:val="0000FF"/>
          <w:highlight w:val="none"/>
        </w:rPr>
        <w:t xml:space="preserve"> 8执行，以保证监测基准网的可靠性。 </w:t>
      </w:r>
    </w:p>
    <w:p w14:paraId="17A40783">
      <w:pPr>
        <w:pStyle w:val="3"/>
        <w:bidi w:val="0"/>
        <w:rPr>
          <w:rFonts w:hint="default" w:ascii="Times New Roman" w:hAnsi="Times New Roman" w:cs="Times New Roman"/>
          <w:highlight w:val="none"/>
          <w:lang w:val="en-US" w:eastAsia="zh-CN"/>
        </w:rPr>
      </w:pPr>
      <w:bookmarkStart w:id="53" w:name="_Toc11512"/>
      <w:bookmarkStart w:id="54" w:name="_Toc3354"/>
      <w:bookmarkStart w:id="55" w:name="_Toc9391"/>
      <w:bookmarkStart w:id="56" w:name="_Toc25292"/>
      <w:bookmarkStart w:id="57" w:name="_Toc18586"/>
      <w:r>
        <w:rPr>
          <w:rFonts w:hint="eastAsia" w:ascii="Times New Roman" w:hAnsi="Times New Roman" w:cs="Times New Roman"/>
          <w:highlight w:val="none"/>
          <w:lang w:val="en-US" w:eastAsia="zh-CN"/>
        </w:rPr>
        <w:t>5.2 支护结构</w:t>
      </w:r>
      <w:bookmarkEnd w:id="53"/>
      <w:bookmarkEnd w:id="54"/>
      <w:bookmarkEnd w:id="55"/>
      <w:bookmarkEnd w:id="56"/>
      <w:bookmarkEnd w:id="57"/>
    </w:p>
    <w:p w14:paraId="37E54FD6">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5. 2. 1</w:t>
      </w:r>
      <w:r>
        <w:rPr>
          <w:rFonts w:hint="eastAsia" w:ascii="Times New Roman" w:hAnsi="Times New Roman" w:cs="Times New Roman"/>
          <w:highlight w:val="none"/>
          <w:lang w:val="en-US" w:eastAsia="zh-CN"/>
        </w:rPr>
        <w:t xml:space="preserve">  水平和竖向位移监测点的布置应符合下列要求：</w:t>
      </w:r>
    </w:p>
    <w:p w14:paraId="77F4B1D4">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水平和竖向位移监测点应在</w:t>
      </w:r>
      <w:r>
        <w:rPr>
          <w:rFonts w:hint="eastAsia" w:ascii="Times New Roman" w:hAnsi="Times New Roman" w:cs="Times New Roman"/>
          <w:color w:val="000000" w:themeColor="text1"/>
          <w:highlight w:val="none"/>
          <w:shd w:val="clear"/>
          <w:lang w:val="en-US" w:eastAsia="zh-CN"/>
          <w14:textFill>
            <w14:solidFill>
              <w14:schemeClr w14:val="tx1"/>
            </w14:solidFill>
          </w14:textFill>
        </w:rPr>
        <w:t>每一典型边坡段</w:t>
      </w:r>
      <w:r>
        <w:rPr>
          <w:rFonts w:hint="eastAsia" w:ascii="Times New Roman" w:hAnsi="Times New Roman" w:cs="Times New Roman"/>
          <w:highlight w:val="none"/>
          <w:lang w:val="en-US" w:eastAsia="zh-CN"/>
        </w:rPr>
        <w:t>的支护结构顶部设置，水平和竖向位移监测点宜为共用点，分级放坡支护应在每级平台顶部按监测断面设置监测点；</w:t>
      </w:r>
    </w:p>
    <w:p w14:paraId="4EAFFB9B">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安全等级为一、二级的边坡监测点水平间距不宜大于20m，安全等级为三级的边坡可适当放宽。</w:t>
      </w:r>
    </w:p>
    <w:p w14:paraId="1B452D7A">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14:paraId="7B92708A">
      <w:pPr>
        <w:ind w:firstLine="480" w:firstLineChars="200"/>
        <w:rPr>
          <w:rFonts w:hint="eastAsia" w:ascii="Times New Roman" w:hAnsi="Times New Roman" w:cs="Times New Roman" w:eastAsiaTheme="minorEastAsia"/>
          <w:color w:val="0000FF"/>
          <w:highlight w:val="none"/>
          <w:lang w:eastAsia="zh-CN"/>
        </w:rPr>
      </w:pPr>
      <w:r>
        <w:rPr>
          <w:rFonts w:hint="eastAsia" w:ascii="Times New Roman" w:hAnsi="Times New Roman" w:cs="Times New Roman"/>
          <w:color w:val="0000FF"/>
          <w:highlight w:val="none"/>
        </w:rPr>
        <w:t>观测点设置在边坡支护顶部，有利于观测点的保护和提高观测精度。一般根据边坡的走向，每一个典型边坡段均应设置监测点，兼顾安全性及经济性原则，布点间距建议不大于2</w:t>
      </w:r>
      <w:r>
        <w:rPr>
          <w:rFonts w:ascii="Times New Roman" w:hAnsi="Times New Roman" w:cs="Times New Roman"/>
          <w:color w:val="0000FF"/>
          <w:highlight w:val="none"/>
        </w:rPr>
        <w:t>0</w:t>
      </w:r>
      <w:r>
        <w:rPr>
          <w:rFonts w:hint="eastAsia" w:ascii="Times New Roman" w:hAnsi="Times New Roman" w:cs="Times New Roman"/>
          <w:color w:val="0000FF"/>
          <w:highlight w:val="none"/>
        </w:rPr>
        <w:t>m。安全等级为三级的边坡，其风险性有所降低，因此布点间距可以适当调整放大，以满足现场风险把控为原则。为便于监测，水平位移观测点宜同时作为</w:t>
      </w:r>
      <w:r>
        <w:rPr>
          <w:rFonts w:hint="eastAsia" w:ascii="Times New Roman" w:hAnsi="Times New Roman" w:cs="Times New Roman"/>
          <w:color w:val="0000FF"/>
          <w:highlight w:val="none"/>
          <w:lang w:val="en-US" w:eastAsia="zh-CN"/>
        </w:rPr>
        <w:t>竖向</w:t>
      </w:r>
      <w:r>
        <w:rPr>
          <w:rFonts w:hint="eastAsia" w:ascii="Times New Roman" w:hAnsi="Times New Roman" w:cs="Times New Roman"/>
          <w:color w:val="0000FF"/>
          <w:highlight w:val="none"/>
        </w:rPr>
        <w:t>位移的观测点。</w:t>
      </w:r>
    </w:p>
    <w:p w14:paraId="652885F2">
      <w:pPr>
        <w:ind w:firstLine="480" w:firstLineChars="200"/>
        <w:rPr>
          <w:rFonts w:hint="default" w:ascii="Times New Roman" w:hAnsi="Times New Roman" w:cs="Times New Roman" w:eastAsiaTheme="minorEastAsia"/>
          <w:color w:val="0000FF"/>
          <w:highlight w:val="none"/>
          <w:lang w:val="en-US" w:eastAsia="zh-CN"/>
        </w:rPr>
      </w:pPr>
      <w:r>
        <w:rPr>
          <w:rFonts w:hint="eastAsia" w:ascii="Times New Roman" w:hAnsi="Times New Roman" w:cs="Times New Roman"/>
          <w:color w:val="0000FF"/>
          <w:highlight w:val="none"/>
          <w:lang w:val="en-US" w:eastAsia="zh-CN"/>
        </w:rPr>
        <w:t>若采用坡率法的支护形式，则其位移观测点布置如图</w:t>
      </w:r>
      <w:r>
        <w:rPr>
          <w:rFonts w:hint="eastAsia" w:cs="Times New Roman"/>
          <w:color w:val="0000FF"/>
          <w:highlight w:val="none"/>
          <w:lang w:val="en-US" w:eastAsia="zh-CN"/>
        </w:rPr>
        <w:t>5-1</w:t>
      </w:r>
      <w:r>
        <w:rPr>
          <w:rFonts w:hint="eastAsia" w:ascii="Times New Roman" w:hAnsi="Times New Roman" w:cs="Times New Roman"/>
          <w:color w:val="0000FF"/>
          <w:highlight w:val="none"/>
          <w:lang w:val="en-US" w:eastAsia="zh-CN"/>
        </w:rPr>
        <w:t>（a）；若采用挡墙支护形式，则其位移观测点布置如图</w:t>
      </w:r>
      <w:r>
        <w:rPr>
          <w:rFonts w:hint="eastAsia" w:cs="Times New Roman"/>
          <w:color w:val="0000FF"/>
          <w:highlight w:val="none"/>
          <w:lang w:val="en-US" w:eastAsia="zh-CN"/>
        </w:rPr>
        <w:t>5-1</w:t>
      </w:r>
      <w:r>
        <w:rPr>
          <w:rFonts w:hint="eastAsia" w:ascii="Times New Roman" w:hAnsi="Times New Roman" w:cs="Times New Roman"/>
          <w:color w:val="0000FF"/>
          <w:highlight w:val="none"/>
          <w:lang w:val="en-US" w:eastAsia="zh-CN"/>
        </w:rPr>
        <w:t>（b）。</w:t>
      </w:r>
    </w:p>
    <w:p w14:paraId="5DF23DFE">
      <w:pPr>
        <w:ind w:firstLine="480" w:firstLineChars="200"/>
        <w:rPr>
          <w:rFonts w:hint="eastAsia" w:ascii="Times New Roman" w:hAnsi="Times New Roman" w:cs="Times New Roman" w:eastAsiaTheme="minorEastAsia"/>
          <w:color w:val="0000FF"/>
          <w:highlight w:val="none"/>
          <w:lang w:val="en-US" w:eastAsia="zh-CN"/>
        </w:rPr>
      </w:pPr>
    </w:p>
    <w:p w14:paraId="3248174A">
      <w:pPr>
        <w:ind w:firstLine="480" w:firstLineChars="200"/>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3225165" cy="1791970"/>
            <wp:effectExtent l="0" t="0" r="13335" b="17780"/>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15"/>
                    <a:stretch>
                      <a:fillRect/>
                    </a:stretch>
                  </pic:blipFill>
                  <pic:spPr>
                    <a:xfrm>
                      <a:off x="0" y="0"/>
                      <a:ext cx="3225165" cy="1791970"/>
                    </a:xfrm>
                    <a:prstGeom prst="rect">
                      <a:avLst/>
                    </a:prstGeom>
                    <a:noFill/>
                    <a:ln>
                      <a:noFill/>
                    </a:ln>
                  </pic:spPr>
                </pic:pic>
              </a:graphicData>
            </a:graphic>
          </wp:inline>
        </w:drawing>
      </w:r>
    </w:p>
    <w:p w14:paraId="31920B8A">
      <w:pPr>
        <w:numPr>
          <w:ilvl w:val="0"/>
          <w:numId w:val="0"/>
        </w:numPr>
        <w:ind w:firstLine="480" w:firstLineChars="200"/>
        <w:jc w:val="center"/>
        <w:rPr>
          <w:rFonts w:hint="eastAsia" w:ascii="Times New Roman" w:hAnsi="Times New Roman" w:cs="Times New Roman"/>
          <w:highlight w:val="none"/>
          <w:lang w:val="en-US" w:eastAsia="zh-CN"/>
        </w:rPr>
      </w:pPr>
      <w:r>
        <w:rPr>
          <w:rFonts w:hint="eastAsia" w:ascii="Times New Roman" w:hAnsi="Times New Roman" w:cs="Times New Roman" w:eastAsiaTheme="minorEastAsia"/>
          <w:kern w:val="2"/>
          <w:sz w:val="24"/>
          <w:szCs w:val="24"/>
          <w:lang w:val="en-US" w:eastAsia="zh-CN" w:bidi="ar-SA"/>
        </w:rPr>
        <w:t>（a）</w:t>
      </w:r>
      <w:r>
        <w:rPr>
          <w:rFonts w:hint="eastAsia" w:cs="Times New Roman"/>
          <w:kern w:val="2"/>
          <w:sz w:val="24"/>
          <w:szCs w:val="24"/>
          <w:lang w:val="en-US" w:eastAsia="zh-CN" w:bidi="ar-SA"/>
        </w:rPr>
        <w:t xml:space="preserve"> </w:t>
      </w:r>
      <w:r>
        <w:rPr>
          <w:rFonts w:hint="eastAsia" w:ascii="Times New Roman" w:hAnsi="Times New Roman" w:cs="Times New Roman"/>
          <w:highlight w:val="none"/>
          <w:lang w:val="en-US" w:eastAsia="zh-CN"/>
        </w:rPr>
        <w:t>坡率法</w:t>
      </w:r>
    </w:p>
    <w:p w14:paraId="36495128">
      <w:pPr>
        <w:ind w:firstLine="480" w:firstLineChars="200"/>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3055620" cy="1667510"/>
            <wp:effectExtent l="0" t="0" r="11430" b="889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16"/>
                    <a:stretch>
                      <a:fillRect/>
                    </a:stretch>
                  </pic:blipFill>
                  <pic:spPr>
                    <a:xfrm>
                      <a:off x="0" y="0"/>
                      <a:ext cx="3055620" cy="1667510"/>
                    </a:xfrm>
                    <a:prstGeom prst="rect">
                      <a:avLst/>
                    </a:prstGeom>
                    <a:noFill/>
                    <a:ln>
                      <a:noFill/>
                    </a:ln>
                  </pic:spPr>
                </pic:pic>
              </a:graphicData>
            </a:graphic>
          </wp:inline>
        </w:drawing>
      </w:r>
    </w:p>
    <w:p w14:paraId="3FFA6439">
      <w:pPr>
        <w:ind w:firstLine="480" w:firstLineChars="200"/>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b</w:t>
      </w:r>
      <w:r>
        <w:rPr>
          <w:rFonts w:hint="eastAsia" w:ascii="Times New Roman" w:hAnsi="Times New Roman" w:cs="Times New Roman"/>
          <w:highlight w:val="none"/>
          <w:lang w:eastAsia="zh-CN"/>
        </w:rPr>
        <w:t>）</w:t>
      </w:r>
      <w:r>
        <w:rPr>
          <w:rFonts w:hint="eastAsia" w:cs="Times New Roman"/>
          <w:highlight w:val="none"/>
          <w:lang w:val="en-US" w:eastAsia="zh-CN"/>
        </w:rPr>
        <w:t xml:space="preserve"> </w:t>
      </w:r>
      <w:r>
        <w:rPr>
          <w:rFonts w:hint="eastAsia" w:ascii="Times New Roman" w:hAnsi="Times New Roman" w:cs="Times New Roman"/>
          <w:highlight w:val="none"/>
          <w:lang w:val="en-US" w:eastAsia="zh-CN"/>
        </w:rPr>
        <w:t>挡墙支护</w:t>
      </w:r>
    </w:p>
    <w:p w14:paraId="34BC7D02">
      <w:pPr>
        <w:ind w:firstLine="480" w:firstLineChars="200"/>
        <w:jc w:val="center"/>
        <w:rPr>
          <w:rFonts w:hint="eastAsia" w:cs="Times New Roman"/>
          <w:highlight w:val="none"/>
          <w:lang w:val="en-US" w:eastAsia="zh-CN"/>
        </w:rPr>
      </w:pPr>
      <w:r>
        <w:rPr>
          <w:rFonts w:hint="eastAsia" w:cs="Times New Roman"/>
          <w:highlight w:val="none"/>
          <w:lang w:val="en-US" w:eastAsia="zh-CN"/>
        </w:rPr>
        <w:t xml:space="preserve">图5-1 </w:t>
      </w:r>
      <w:r>
        <w:rPr>
          <w:rFonts w:hint="eastAsia" w:ascii="Times New Roman" w:hAnsi="Times New Roman" w:cs="Times New Roman"/>
          <w:highlight w:val="none"/>
          <w:lang w:val="en-US" w:eastAsia="zh-CN"/>
        </w:rPr>
        <w:t>边坡位移观测点布设示意图</w:t>
      </w:r>
    </w:p>
    <w:p w14:paraId="7E8658A8">
      <w:pPr>
        <w:numPr>
          <w:ilvl w:val="0"/>
          <w:numId w:val="0"/>
        </w:numPr>
        <w:rPr>
          <w:rFonts w:hint="eastAsia" w:ascii="Times New Roman" w:hAnsi="Times New Roman" w:cs="Times New Roman"/>
          <w:highlight w:val="none"/>
        </w:rPr>
      </w:pPr>
      <w:r>
        <w:rPr>
          <w:rFonts w:hint="eastAsia" w:ascii="Times New Roman" w:hAnsi="Times New Roman" w:cs="Times New Roman"/>
          <w:b/>
          <w:bCs/>
          <w:highlight w:val="none"/>
          <w:lang w:val="en-US" w:eastAsia="zh-CN"/>
        </w:rPr>
        <w:t>5. 2. 2</w:t>
      </w:r>
      <w:r>
        <w:rPr>
          <w:rFonts w:hint="eastAsia" w:ascii="Times New Roman" w:hAnsi="Times New Roman" w:cs="Times New Roman"/>
          <w:highlight w:val="none"/>
          <w:lang w:val="en-US" w:eastAsia="zh-CN"/>
        </w:rPr>
        <w:t xml:space="preserve">  锚杆（索）拉力</w:t>
      </w:r>
      <w:r>
        <w:rPr>
          <w:rFonts w:hint="eastAsia" w:ascii="Times New Roman" w:hAnsi="Times New Roman" w:cs="Times New Roman"/>
          <w:highlight w:val="none"/>
        </w:rPr>
        <w:t>监测</w:t>
      </w:r>
      <w:r>
        <w:rPr>
          <w:rFonts w:hint="eastAsia" w:ascii="Times New Roman" w:hAnsi="Times New Roman" w:cs="Times New Roman"/>
          <w:highlight w:val="none"/>
          <w:lang w:val="en-US" w:eastAsia="zh-CN"/>
        </w:rPr>
        <w:t>点的布置应符合下列要求：</w:t>
      </w:r>
    </w:p>
    <w:p w14:paraId="2665E263">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default" w:ascii="Times New Roman" w:hAnsi="Times New Roman" w:cs="Times New Roman" w:eastAsiaTheme="minorEastAsia"/>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每一层（级）锚杆（索）拉力</w:t>
      </w:r>
      <w:r>
        <w:rPr>
          <w:rFonts w:hint="eastAsia" w:ascii="Times New Roman" w:hAnsi="Times New Roman" w:cs="Times New Roman"/>
          <w:highlight w:val="none"/>
        </w:rPr>
        <w:t>监测点数量</w:t>
      </w:r>
      <w:r>
        <w:rPr>
          <w:rFonts w:hint="eastAsia" w:ascii="Times New Roman" w:hAnsi="Times New Roman" w:cs="Times New Roman"/>
          <w:highlight w:val="none"/>
          <w:lang w:val="en-US" w:eastAsia="zh-CN"/>
        </w:rPr>
        <w:t>不少于该层锚杆（索）</w:t>
      </w:r>
      <w:r>
        <w:rPr>
          <w:rFonts w:hint="eastAsia" w:ascii="Times New Roman" w:hAnsi="Times New Roman" w:cs="Times New Roman"/>
          <w:highlight w:val="none"/>
        </w:rPr>
        <w:t>总数的</w:t>
      </w:r>
      <w:r>
        <w:rPr>
          <w:rFonts w:hint="eastAsia" w:ascii="Times New Roman" w:hAnsi="Times New Roman" w:cs="Times New Roman"/>
          <w:highlight w:val="none"/>
          <w:lang w:val="en-US" w:eastAsia="zh-CN"/>
        </w:rPr>
        <w:t>5</w:t>
      </w:r>
      <w:r>
        <w:rPr>
          <w:rFonts w:hint="eastAsia" w:ascii="Times New Roman" w:hAnsi="Times New Roman" w:cs="Times New Roman"/>
          <w:highlight w:val="none"/>
        </w:rPr>
        <w:t>%且</w:t>
      </w:r>
      <w:r>
        <w:rPr>
          <w:rFonts w:hint="eastAsia" w:ascii="Times New Roman" w:hAnsi="Times New Roman" w:cs="Times New Roman"/>
          <w:highlight w:val="none"/>
          <w:lang w:val="en-US" w:eastAsia="zh-CN"/>
        </w:rPr>
        <w:t>每层（级）</w:t>
      </w:r>
      <w:r>
        <w:rPr>
          <w:rFonts w:hint="eastAsia" w:ascii="Times New Roman" w:hAnsi="Times New Roman" w:cs="Times New Roman"/>
          <w:highlight w:val="none"/>
        </w:rPr>
        <w:t>不少于 1 根</w:t>
      </w:r>
      <w:r>
        <w:rPr>
          <w:rFonts w:hint="eastAsia" w:ascii="Times New Roman" w:hAnsi="Times New Roman" w:cs="Times New Roman"/>
          <w:highlight w:val="none"/>
          <w:lang w:eastAsia="zh-CN"/>
        </w:rPr>
        <w:t>；非预应力</w:t>
      </w:r>
      <w:r>
        <w:rPr>
          <w:rFonts w:hint="eastAsia" w:ascii="Times New Roman" w:hAnsi="Times New Roman" w:cs="Times New Roman"/>
          <w:highlight w:val="none"/>
          <w:lang w:val="en-US" w:eastAsia="zh-CN"/>
        </w:rPr>
        <w:t>锚杆（索）拉力</w:t>
      </w:r>
      <w:r>
        <w:rPr>
          <w:rFonts w:hint="eastAsia" w:ascii="Times New Roman" w:hAnsi="Times New Roman" w:cs="Times New Roman"/>
          <w:highlight w:val="none"/>
        </w:rPr>
        <w:t>监测点数量</w:t>
      </w:r>
      <w:r>
        <w:rPr>
          <w:rFonts w:hint="eastAsia" w:ascii="Times New Roman" w:hAnsi="Times New Roman" w:cs="Times New Roman"/>
          <w:highlight w:val="none"/>
          <w:lang w:val="en-US" w:eastAsia="zh-CN"/>
        </w:rPr>
        <w:t>不应低于总数的3%；</w:t>
      </w:r>
    </w:p>
    <w:p w14:paraId="560DF2C2">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rPr>
        <w:t>各层监测点位置在竖向上</w:t>
      </w:r>
      <w:r>
        <w:rPr>
          <w:rFonts w:hint="eastAsia" w:ascii="Times New Roman" w:hAnsi="Times New Roman" w:cs="Times New Roman"/>
          <w:highlight w:val="none"/>
          <w:lang w:val="en-US" w:eastAsia="zh-CN"/>
        </w:rPr>
        <w:t>应</w:t>
      </w:r>
      <w:r>
        <w:rPr>
          <w:rFonts w:hint="eastAsia" w:ascii="Times New Roman" w:hAnsi="Times New Roman" w:cs="Times New Roman"/>
          <w:highlight w:val="none"/>
        </w:rPr>
        <w:t>保持一致。</w:t>
      </w:r>
    </w:p>
    <w:p w14:paraId="4A39AB1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lang w:val="en-US" w:eastAsia="zh-CN"/>
        </w:rPr>
      </w:pPr>
    </w:p>
    <w:p w14:paraId="0D8F8FF2">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14:paraId="7E3909D7">
      <w:pPr>
        <w:ind w:firstLine="480" w:firstLineChars="200"/>
        <w:rPr>
          <w:rFonts w:hint="eastAsia" w:ascii="Times New Roman" w:hAnsi="Times New Roman" w:cs="Times New Roman"/>
          <w:color w:val="0000FF"/>
          <w:highlight w:val="none"/>
        </w:rPr>
      </w:pPr>
      <w:r>
        <w:rPr>
          <w:rFonts w:hint="eastAsia" w:ascii="Times New Roman" w:hAnsi="Times New Roman" w:cs="Times New Roman"/>
          <w:color w:val="0000FF"/>
          <w:highlight w:val="none"/>
        </w:rPr>
        <w:t>本条给出了</w:t>
      </w:r>
      <w:r>
        <w:rPr>
          <w:rFonts w:hint="eastAsia" w:ascii="Times New Roman" w:hAnsi="Times New Roman" w:cs="Times New Roman"/>
          <w:color w:val="0000FF"/>
          <w:highlight w:val="none"/>
          <w:lang w:val="en-US" w:eastAsia="zh-CN"/>
        </w:rPr>
        <w:t>锚杆（索）拉力</w:t>
      </w:r>
      <w:r>
        <w:rPr>
          <w:rFonts w:hint="eastAsia" w:ascii="Times New Roman" w:hAnsi="Times New Roman" w:cs="Times New Roman"/>
          <w:color w:val="0000FF"/>
          <w:highlight w:val="none"/>
        </w:rPr>
        <w:t>监测点的数量要求。如果是非预应力锚索，总体数量可适当降低，每一层（级）锚杆（索）拉力监测点数量宜为</w:t>
      </w:r>
      <w:r>
        <w:rPr>
          <w:rFonts w:hint="eastAsia" w:ascii="Times New Roman" w:hAnsi="Times New Roman" w:cs="Times New Roman"/>
          <w:color w:val="0000FF"/>
          <w:highlight w:val="none"/>
          <w:lang w:val="en-US" w:eastAsia="zh-CN"/>
        </w:rPr>
        <w:t>该</w:t>
      </w:r>
      <w:r>
        <w:rPr>
          <w:rFonts w:hint="eastAsia" w:ascii="Times New Roman" w:hAnsi="Times New Roman" w:cs="Times New Roman"/>
          <w:color w:val="0000FF"/>
          <w:highlight w:val="none"/>
        </w:rPr>
        <w:t>层锚杆（索）总数的</w:t>
      </w:r>
      <w:r>
        <w:rPr>
          <w:rFonts w:ascii="Times New Roman" w:hAnsi="Times New Roman" w:cs="Times New Roman"/>
          <w:color w:val="0000FF"/>
          <w:highlight w:val="none"/>
        </w:rPr>
        <w:t>3</w:t>
      </w:r>
      <w:r>
        <w:rPr>
          <w:rFonts w:hint="eastAsia" w:ascii="Times New Roman" w:hAnsi="Times New Roman" w:cs="Times New Roman"/>
          <w:color w:val="0000FF"/>
          <w:highlight w:val="none"/>
        </w:rPr>
        <w:t>%。为了分析不同工况下锚杆轴力的变化情况，对监测到的锚杆轴力值进行综合分析验证，各层监测点位置在竖向上宜保持一致。</w:t>
      </w:r>
    </w:p>
    <w:p w14:paraId="3A314375">
      <w:pPr>
        <w:shd w:val="clea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5. 2. 3</w:t>
      </w:r>
      <w:r>
        <w:rPr>
          <w:rFonts w:hint="eastAsia" w:ascii="Times New Roman" w:hAnsi="Times New Roman" w:cs="Times New Roman"/>
          <w:highlight w:val="none"/>
          <w:lang w:val="en-US" w:eastAsia="zh-CN"/>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锚杆（索）拉力</w:t>
      </w:r>
      <w:r>
        <w:rPr>
          <w:rFonts w:hint="eastAsia" w:ascii="Times New Roman" w:hAnsi="Times New Roman" w:cs="Times New Roman"/>
          <w:color w:val="000000" w:themeColor="text1"/>
          <w:highlight w:val="none"/>
          <w14:textFill>
            <w14:solidFill>
              <w14:schemeClr w14:val="tx1"/>
            </w14:solidFill>
          </w14:textFill>
        </w:rPr>
        <w:t>监测点</w:t>
      </w:r>
      <w:r>
        <w:rPr>
          <w:rFonts w:hint="eastAsia" w:ascii="Times New Roman" w:hAnsi="Times New Roman" w:cs="Times New Roman"/>
          <w:color w:val="000000" w:themeColor="text1"/>
          <w:highlight w:val="none"/>
          <w:lang w:val="en-US" w:eastAsia="zh-CN"/>
          <w14:textFill>
            <w14:solidFill>
              <w14:schemeClr w14:val="tx1"/>
            </w14:solidFill>
          </w14:textFill>
        </w:rPr>
        <w:t>垫板</w:t>
      </w:r>
      <w:r>
        <w:rPr>
          <w:rFonts w:hint="eastAsia" w:ascii="Times New Roman" w:hAnsi="Times New Roman" w:cs="Times New Roman"/>
          <w:highlight w:val="none"/>
          <w:lang w:val="en-US" w:eastAsia="zh-CN"/>
        </w:rPr>
        <w:t>安装应符合下列规定</w:t>
      </w:r>
    </w:p>
    <w:p w14:paraId="78CC88A3">
      <w:pPr>
        <w:shd w:val="clear"/>
        <w:ind w:firstLine="482"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w:t>
      </w:r>
      <w:r>
        <w:rPr>
          <w:rFonts w:hint="eastAsia" w:ascii="Times New Roman" w:hAnsi="Times New Roman" w:cs="Times New Roman"/>
          <w:color w:val="auto"/>
          <w:highlight w:val="none"/>
          <w:lang w:val="en-US" w:eastAsia="zh-CN"/>
        </w:rPr>
        <w:t xml:space="preserve">  垫板材料的强度应足够，确保锚索计在工作过程中不产生明显变形；</w:t>
      </w:r>
    </w:p>
    <w:p w14:paraId="0D4291CC">
      <w:pPr>
        <w:shd w:val="clear"/>
        <w:ind w:firstLine="482"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2</w:t>
      </w:r>
      <w:r>
        <w:rPr>
          <w:rFonts w:hint="eastAsia" w:ascii="Times New Roman" w:hAnsi="Times New Roman" w:cs="Times New Roman"/>
          <w:color w:val="auto"/>
          <w:highlight w:val="none"/>
          <w:lang w:val="en-US" w:eastAsia="zh-CN"/>
        </w:rPr>
        <w:t xml:space="preserve">  垫板规格设计应为上下两层，中间夹焊与锚索水平夹角相同角度的垫块，确保锚索计安装后与锚索轴线方向相同；</w:t>
      </w:r>
    </w:p>
    <w:p w14:paraId="2A574DE8">
      <w:pPr>
        <w:shd w:val="clear"/>
        <w:ind w:firstLine="482"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3 </w:t>
      </w:r>
      <w:r>
        <w:rPr>
          <w:rFonts w:hint="eastAsia" w:ascii="Times New Roman" w:hAnsi="Times New Roman" w:cs="Times New Roman"/>
          <w:color w:val="auto"/>
          <w:highlight w:val="none"/>
          <w:lang w:val="en-US" w:eastAsia="zh-CN"/>
        </w:rPr>
        <w:t xml:space="preserve"> 垫板大小应方便安装锚索计；</w:t>
      </w:r>
    </w:p>
    <w:p w14:paraId="35056743">
      <w:pPr>
        <w:shd w:val="clear"/>
        <w:ind w:firstLine="482"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4 </w:t>
      </w:r>
      <w:r>
        <w:rPr>
          <w:rFonts w:hint="eastAsia" w:ascii="Times New Roman" w:hAnsi="Times New Roman" w:cs="Times New Roman"/>
          <w:color w:val="auto"/>
          <w:highlight w:val="none"/>
          <w:lang w:val="en-US" w:eastAsia="zh-CN"/>
        </w:rPr>
        <w:t xml:space="preserve"> 垫板定制加工时应将锚索计内孔与垫板对准并在四周分别做上记号，焊接足够数量的支撑点，垫板中心成孔直径</w:t>
      </w:r>
      <w:r>
        <w:rPr>
          <w:rFonts w:hint="eastAsia" w:ascii="Times New Roman" w:hAnsi="Times New Roman" w:cs="Times New Roman"/>
          <w:color w:val="auto"/>
          <w:highlight w:val="none"/>
          <w:lang w:val="en-US" w:eastAsia="zh-CN"/>
        </w:rPr>
        <w:tab/>
      </w:r>
      <w:r>
        <w:rPr>
          <w:rFonts w:hint="eastAsia" w:ascii="Times New Roman" w:hAnsi="Times New Roman" w:cs="Times New Roman"/>
          <w:color w:val="auto"/>
          <w:highlight w:val="none"/>
          <w:lang w:val="en-US" w:eastAsia="zh-CN"/>
        </w:rPr>
        <w:t>应与锚索计内孔相等；</w:t>
      </w:r>
    </w:p>
    <w:p w14:paraId="6DEB1A03">
      <w:pPr>
        <w:shd w:val="clear"/>
        <w:ind w:firstLine="482"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5 </w:t>
      </w:r>
      <w:r>
        <w:rPr>
          <w:rFonts w:hint="eastAsia" w:ascii="Times New Roman" w:hAnsi="Times New Roman" w:cs="Times New Roman"/>
          <w:color w:val="auto"/>
          <w:highlight w:val="none"/>
          <w:lang w:val="en-US" w:eastAsia="zh-CN"/>
        </w:rPr>
        <w:t xml:space="preserve"> 垫板应按设计要求位置固定在锚梁上。</w:t>
      </w:r>
    </w:p>
    <w:p w14:paraId="14D5804C">
      <w:pPr>
        <w:ind w:firstLine="480" w:firstLineChars="200"/>
        <w:rPr>
          <w:rFonts w:hint="eastAsia" w:ascii="Times New Roman" w:hAnsi="Times New Roman" w:cs="Times New Roman"/>
          <w:color w:val="0000FF"/>
          <w:highlight w:val="none"/>
          <w:lang w:val="en-US" w:eastAsia="zh-CN"/>
        </w:rPr>
      </w:pPr>
    </w:p>
    <w:p w14:paraId="0DC9A156">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5. 2. 4</w:t>
      </w:r>
      <w:r>
        <w:rPr>
          <w:rFonts w:hint="eastAsia" w:ascii="Times New Roman" w:hAnsi="Times New Roman" w:cs="Times New Roman"/>
          <w:highlight w:val="none"/>
          <w:lang w:val="en-US" w:eastAsia="zh-CN"/>
        </w:rPr>
        <w:t xml:space="preserve">  深层水平位移监测点的布置应符合下列要求：</w:t>
      </w:r>
    </w:p>
    <w:p w14:paraId="76AA6DA7">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安全等级为一级的边坡监测点水平间距宜为20m~40m，安全等级为二级的边坡监测点水平间距宜为40m~60m，</w:t>
      </w:r>
      <w:r>
        <w:rPr>
          <w:rFonts w:hint="eastAsia" w:ascii="Times New Roman" w:hAnsi="Times New Roman" w:cs="Times New Roman"/>
          <w:color w:val="000000" w:themeColor="text1"/>
          <w:highlight w:val="none"/>
          <w:shd w:val="clear"/>
          <w:lang w:val="en-US" w:eastAsia="zh-CN"/>
          <w14:textFill>
            <w14:solidFill>
              <w14:schemeClr w14:val="tx1"/>
            </w14:solidFill>
          </w14:textFill>
        </w:rPr>
        <w:t>每一典型边坡段</w:t>
      </w:r>
      <w:r>
        <w:rPr>
          <w:rFonts w:hint="eastAsia" w:ascii="Times New Roman" w:hAnsi="Times New Roman" w:cs="Times New Roman"/>
          <w:highlight w:val="none"/>
          <w:lang w:val="en-US" w:eastAsia="zh-CN"/>
        </w:rPr>
        <w:t>测点数量不宜少于1个；</w:t>
      </w:r>
    </w:p>
    <w:p w14:paraId="11A77E6A">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同一监测断面测点布设数量应结合支护形式确定；</w:t>
      </w:r>
    </w:p>
    <w:p w14:paraId="45E8B750">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支护结构为挡墙、抗滑桩时，测点深度不应小于支护结构深度。</w:t>
      </w:r>
    </w:p>
    <w:p w14:paraId="15D1D5C0">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14:paraId="0DE8430B">
      <w:pPr>
        <w:ind w:firstLine="480" w:firstLineChars="200"/>
        <w:rPr>
          <w:rFonts w:hint="eastAsia" w:ascii="Times New Roman" w:hAnsi="Times New Roman" w:cs="Times New Roman"/>
          <w:b/>
          <w:bCs/>
          <w:highlight w:val="none"/>
          <w:lang w:val="en-US" w:eastAsia="zh-CN"/>
        </w:rPr>
      </w:pPr>
      <w:r>
        <w:rPr>
          <w:rFonts w:hint="eastAsia" w:ascii="Times New Roman" w:hAnsi="Times New Roman" w:cs="Times New Roman"/>
          <w:color w:val="0000FF"/>
          <w:highlight w:val="none"/>
        </w:rPr>
        <w:t>深层水平位移的监测是观测边坡变形最直接的手段，</w:t>
      </w:r>
      <w:r>
        <w:rPr>
          <w:rFonts w:hint="eastAsia" w:ascii="Times New Roman" w:hAnsi="Times New Roman" w:cs="Times New Roman"/>
          <w:color w:val="0000FF"/>
          <w:highlight w:val="none"/>
          <w:lang w:val="en-US" w:eastAsia="zh-CN"/>
        </w:rPr>
        <w:t>针对安全等级为一级的边坡工程，风险性较大，宜与边坡顶部水平位移、沉降等监测项目组成监测断面以便于综合分析，因此其布设间距建议为20~40m，安全等级为二级的测点间距则可以结合实际适当增大，为了有效防控风险，每一</w:t>
      </w:r>
      <w:r>
        <w:rPr>
          <w:rFonts w:hint="eastAsia" w:ascii="Times New Roman" w:hAnsi="Times New Roman" w:cs="Times New Roman"/>
          <w:color w:val="0000FF"/>
          <w:highlight w:val="none"/>
        </w:rPr>
        <w:t>典型边坡</w:t>
      </w:r>
      <w:r>
        <w:rPr>
          <w:rFonts w:hint="eastAsia" w:ascii="Times New Roman" w:hAnsi="Times New Roman" w:cs="Times New Roman"/>
          <w:color w:val="0000FF"/>
          <w:highlight w:val="none"/>
          <w:lang w:val="en-US" w:eastAsia="zh-CN"/>
        </w:rPr>
        <w:t>段均建议布设</w:t>
      </w:r>
      <w:r>
        <w:rPr>
          <w:rFonts w:hint="eastAsia" w:ascii="Times New Roman" w:hAnsi="Times New Roman" w:cs="Times New Roman"/>
          <w:color w:val="0000FF"/>
          <w:highlight w:val="none"/>
        </w:rPr>
        <w:t>监测孔。为了真实地反映边坡支护结构的挠曲状况和地层位移情况，应保证测斜管的埋设深度。因为测斜仪测出的是相对位移．若以测斜管底端为固定起算点（基准点），应保持管底端不动，否则就无法准确推算各点的水平位移，</w:t>
      </w:r>
      <w:r>
        <w:rPr>
          <w:rFonts w:hint="eastAsia" w:ascii="Times New Roman" w:hAnsi="Times New Roman" w:cs="Times New Roman"/>
          <w:color w:val="0000FF"/>
          <w:highlight w:val="none"/>
          <w:lang w:val="en-US" w:eastAsia="zh-CN"/>
        </w:rPr>
        <w:t>边坡抗滑桩底部需嵌入稳定地层方能起到较好支护效果，因此要求抗滑桩内部深层水平位移测点需不小于其本身结构深度。</w:t>
      </w:r>
      <w:r>
        <w:rPr>
          <w:rFonts w:hint="eastAsia" w:ascii="Times New Roman" w:hAnsi="Times New Roman" w:cs="Times New Roman"/>
          <w:color w:val="0000FF"/>
          <w:highlight w:val="none"/>
        </w:rPr>
        <w:t>如果现场条件无法满足测斜管管底嵌入稳定地质要求时，需采用顶部累计法进行监测，以保证监测数据的可靠性。</w:t>
      </w:r>
    </w:p>
    <w:p w14:paraId="2A8BB215">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5. 2. 5</w:t>
      </w:r>
      <w:r>
        <w:rPr>
          <w:rFonts w:hint="eastAsia" w:ascii="Times New Roman" w:hAnsi="Times New Roman" w:cs="Times New Roman"/>
          <w:highlight w:val="none"/>
          <w:lang w:val="en-US" w:eastAsia="zh-CN"/>
        </w:rPr>
        <w:t xml:space="preserve">  抗滑桩应力监测点竖直间距宜为3m〜5m，应在抗滑桩设计计算弯矩最大处布设监测点。</w:t>
      </w:r>
    </w:p>
    <w:p w14:paraId="464038F2">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14:paraId="261DEBFE">
      <w:pPr>
        <w:rPr>
          <w:rFonts w:hint="eastAsia" w:ascii="Times New Roman" w:hAnsi="Times New Roman" w:cs="Times New Roman"/>
          <w:b/>
          <w:bCs/>
          <w:highlight w:val="none"/>
          <w:lang w:val="en-US" w:eastAsia="zh-CN"/>
        </w:rPr>
      </w:pPr>
      <w:r>
        <w:rPr>
          <w:rFonts w:hint="eastAsia" w:ascii="Times New Roman" w:hAnsi="Times New Roman" w:cs="Times New Roman"/>
          <w:color w:val="0000FF"/>
          <w:highlight w:val="none"/>
          <w:lang w:val="en-US" w:eastAsia="zh-CN"/>
        </w:rPr>
        <w:t>抗滑桩的</w:t>
      </w:r>
      <w:r>
        <w:rPr>
          <w:rFonts w:hint="eastAsia" w:ascii="Times New Roman" w:hAnsi="Times New Roman" w:cs="Times New Roman"/>
          <w:color w:val="0000FF"/>
          <w:highlight w:val="none"/>
        </w:rPr>
        <w:t>应力监测点</w:t>
      </w:r>
      <w:r>
        <w:rPr>
          <w:rFonts w:hint="eastAsia" w:ascii="Times New Roman" w:hAnsi="Times New Roman" w:cs="Times New Roman"/>
          <w:color w:val="0000FF"/>
          <w:highlight w:val="none"/>
          <w:lang w:val="en-US" w:eastAsia="zh-CN"/>
        </w:rPr>
        <w:t>的布设</w:t>
      </w:r>
      <w:r>
        <w:rPr>
          <w:rFonts w:hint="eastAsia" w:ascii="Times New Roman" w:hAnsi="Times New Roman" w:cs="Times New Roman"/>
          <w:color w:val="0000FF"/>
          <w:highlight w:val="none"/>
        </w:rPr>
        <w:t>在竖直方向</w:t>
      </w:r>
      <w:r>
        <w:rPr>
          <w:rFonts w:hint="eastAsia" w:ascii="Times New Roman" w:hAnsi="Times New Roman" w:cs="Times New Roman"/>
          <w:color w:val="0000FF"/>
          <w:highlight w:val="none"/>
          <w:lang w:val="en-US" w:eastAsia="zh-CN"/>
        </w:rPr>
        <w:t>上</w:t>
      </w:r>
      <w:r>
        <w:rPr>
          <w:rFonts w:hint="eastAsia" w:ascii="Times New Roman" w:hAnsi="Times New Roman" w:cs="Times New Roman"/>
          <w:color w:val="0000FF"/>
          <w:highlight w:val="none"/>
        </w:rPr>
        <w:t>应考虑应力计算图形，布置在支护结构出现</w:t>
      </w:r>
      <w:r>
        <w:rPr>
          <w:rFonts w:hint="eastAsia" w:ascii="Times New Roman" w:hAnsi="Times New Roman" w:cs="Times New Roman"/>
          <w:color w:val="0000FF"/>
          <w:highlight w:val="none"/>
          <w:lang w:val="en-US" w:eastAsia="zh-CN"/>
        </w:rPr>
        <w:t>弯矩</w:t>
      </w:r>
      <w:r>
        <w:rPr>
          <w:rFonts w:hint="eastAsia" w:ascii="Times New Roman" w:hAnsi="Times New Roman" w:cs="Times New Roman"/>
          <w:color w:val="0000FF"/>
          <w:highlight w:val="none"/>
        </w:rPr>
        <w:t>极值的部位，间距宜为 3m〜5m。</w:t>
      </w:r>
      <w:r>
        <w:rPr>
          <w:rFonts w:hint="eastAsia" w:ascii="Times New Roman" w:hAnsi="Times New Roman" w:cs="Times New Roman"/>
          <w:color w:val="0000FF"/>
          <w:highlight w:val="none"/>
          <w:lang w:val="en-US" w:eastAsia="zh-CN"/>
        </w:rPr>
        <w:t>水平方向</w:t>
      </w:r>
      <w:r>
        <w:rPr>
          <w:rFonts w:hint="eastAsia" w:ascii="Times New Roman" w:hAnsi="Times New Roman" w:cs="Times New Roman"/>
          <w:color w:val="0000FF"/>
          <w:highlight w:val="none"/>
        </w:rPr>
        <w:t>上宜选择在支护结构的跨中部位以及堆载较大的部位</w:t>
      </w:r>
      <w:r>
        <w:rPr>
          <w:rFonts w:hint="eastAsia" w:ascii="Times New Roman" w:hAnsi="Times New Roman" w:cs="Times New Roman"/>
          <w:color w:val="0000FF"/>
          <w:highlight w:val="none"/>
          <w:lang w:val="en-US" w:eastAsia="zh-CN"/>
        </w:rPr>
        <w:t>布设应力监测点</w:t>
      </w:r>
      <w:r>
        <w:rPr>
          <w:rFonts w:hint="eastAsia" w:ascii="Times New Roman" w:hAnsi="Times New Roman" w:cs="Times New Roman"/>
          <w:color w:val="0000FF"/>
          <w:highlight w:val="none"/>
        </w:rPr>
        <w:t>。</w:t>
      </w:r>
    </w:p>
    <w:p w14:paraId="4FAEBC16">
      <w:pPr>
        <w:pStyle w:val="3"/>
        <w:bidi w:val="0"/>
        <w:rPr>
          <w:rFonts w:hint="default" w:ascii="Times New Roman" w:hAnsi="Times New Roman" w:cs="Times New Roman"/>
          <w:highlight w:val="none"/>
          <w:lang w:val="en-US" w:eastAsia="zh-CN"/>
        </w:rPr>
      </w:pPr>
      <w:bookmarkStart w:id="58" w:name="_Toc2295"/>
      <w:bookmarkStart w:id="59" w:name="_Toc31805"/>
      <w:bookmarkStart w:id="60" w:name="_Toc27374"/>
      <w:bookmarkStart w:id="61" w:name="_Toc1401"/>
      <w:bookmarkStart w:id="62" w:name="_Toc20186"/>
      <w:r>
        <w:rPr>
          <w:rFonts w:hint="eastAsia" w:ascii="Times New Roman" w:hAnsi="Times New Roman" w:cs="Times New Roman"/>
          <w:highlight w:val="none"/>
          <w:lang w:val="en-US" w:eastAsia="zh-CN"/>
        </w:rPr>
        <w:t>5.3 周边环境</w:t>
      </w:r>
      <w:bookmarkEnd w:id="58"/>
      <w:bookmarkEnd w:id="59"/>
      <w:bookmarkEnd w:id="60"/>
      <w:bookmarkEnd w:id="61"/>
      <w:bookmarkEnd w:id="62"/>
    </w:p>
    <w:p w14:paraId="6707E990">
      <w:pPr>
        <w:shd w:val="clear"/>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5. 3. 1</w:t>
      </w:r>
      <w:r>
        <w:rPr>
          <w:rFonts w:hint="eastAsia" w:ascii="Times New Roman" w:hAnsi="Times New Roman" w:cs="Times New Roman"/>
          <w:color w:val="auto"/>
          <w:highlight w:val="none"/>
          <w:lang w:val="en-US" w:eastAsia="zh-CN"/>
        </w:rPr>
        <w:t xml:space="preserve">  边坡监测范围宜为距离坡顶1</w:t>
      </w:r>
      <w:r>
        <w:rPr>
          <w:rFonts w:hint="eastAsia" w:cs="Times New Roman"/>
          <w:color w:val="auto"/>
          <w:highlight w:val="none"/>
          <w:lang w:val="en-US" w:eastAsia="zh-CN"/>
        </w:rPr>
        <w:t>倍</w:t>
      </w:r>
      <w:r>
        <w:rPr>
          <w:rFonts w:hint="eastAsia" w:ascii="Times New Roman" w:hAnsi="Times New Roman" w:cs="Times New Roman"/>
          <w:color w:val="auto"/>
          <w:highlight w:val="none"/>
          <w:lang w:val="en-US" w:eastAsia="zh-CN"/>
        </w:rPr>
        <w:t>～3倍的边坡高度，坡脚不少于1倍边坡高度的范围。</w:t>
      </w:r>
    </w:p>
    <w:p w14:paraId="033A1AA1">
      <w:pPr>
        <w:shd w:val="clea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34A41911">
      <w:pPr>
        <w:shd w:val="clear"/>
        <w:ind w:firstLine="480" w:firstLineChars="200"/>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边坡</w:t>
      </w:r>
      <w:r>
        <w:rPr>
          <w:rFonts w:hint="default" w:ascii="Times New Roman" w:hAnsi="Times New Roman" w:cs="Times New Roman"/>
          <w:color w:val="0000FF"/>
          <w:highlight w:val="none"/>
          <w:lang w:val="en-US" w:eastAsia="zh-CN"/>
        </w:rPr>
        <w:t>工程周边环境的监测范围</w:t>
      </w:r>
      <w:r>
        <w:rPr>
          <w:rFonts w:hint="eastAsia" w:ascii="Times New Roman" w:hAnsi="Times New Roman" w:cs="Times New Roman"/>
          <w:color w:val="0000FF"/>
          <w:highlight w:val="none"/>
          <w:lang w:val="en-US" w:eastAsia="zh-CN"/>
        </w:rPr>
        <w:t>主要</w:t>
      </w:r>
      <w:r>
        <w:rPr>
          <w:rFonts w:hint="default" w:ascii="Times New Roman" w:hAnsi="Times New Roman" w:cs="Times New Roman"/>
          <w:color w:val="0000FF"/>
          <w:highlight w:val="none"/>
          <w:lang w:val="en-US" w:eastAsia="zh-CN"/>
        </w:rPr>
        <w:t>考虑</w:t>
      </w:r>
      <w:r>
        <w:rPr>
          <w:rFonts w:hint="eastAsia" w:ascii="Times New Roman" w:hAnsi="Times New Roman" w:cs="Times New Roman"/>
          <w:color w:val="0000FF"/>
          <w:highlight w:val="none"/>
          <w:lang w:val="en-US" w:eastAsia="zh-CN"/>
        </w:rPr>
        <w:t>边坡施工和运营过程中对周边土体扰动的</w:t>
      </w:r>
      <w:r>
        <w:rPr>
          <w:rFonts w:hint="default" w:ascii="Times New Roman" w:hAnsi="Times New Roman" w:cs="Times New Roman"/>
          <w:color w:val="0000FF"/>
          <w:highlight w:val="none"/>
          <w:lang w:val="en-US" w:eastAsia="zh-CN"/>
        </w:rPr>
        <w:t>影响范围</w:t>
      </w:r>
      <w:r>
        <w:rPr>
          <w:rFonts w:hint="eastAsia" w:ascii="Times New Roman" w:hAnsi="Times New Roman" w:cs="Times New Roman"/>
          <w:color w:val="0000FF"/>
          <w:highlight w:val="none"/>
          <w:lang w:val="en-US" w:eastAsia="zh-CN"/>
        </w:rPr>
        <w:t>。边坡对周边土体的扰动进而会影响</w:t>
      </w:r>
      <w:r>
        <w:rPr>
          <w:rFonts w:hint="default" w:ascii="Times New Roman" w:hAnsi="Times New Roman" w:cs="Times New Roman"/>
          <w:color w:val="0000FF"/>
          <w:highlight w:val="none"/>
          <w:lang w:val="en-US" w:eastAsia="zh-CN"/>
        </w:rPr>
        <w:t>各保护对象的安全使用,</w:t>
      </w:r>
      <w:r>
        <w:rPr>
          <w:rFonts w:hint="eastAsia" w:ascii="Times New Roman" w:hAnsi="Times New Roman" w:cs="Times New Roman"/>
          <w:color w:val="0000FF"/>
          <w:highlight w:val="none"/>
          <w:lang w:val="en-US" w:eastAsia="zh-CN"/>
        </w:rPr>
        <w:t>具体影响范围主要有坡顶和坡脚，边坡顶部的监测范围需要包括坡顶土体潜在滑移面的范围，</w:t>
      </w:r>
      <w:r>
        <w:rPr>
          <w:rFonts w:hint="default" w:ascii="Times New Roman" w:hAnsi="Times New Roman" w:cs="Times New Roman"/>
          <w:color w:val="0000FF"/>
          <w:highlight w:val="none"/>
          <w:lang w:val="en-US" w:eastAsia="zh-CN"/>
        </w:rPr>
        <w:t>综合工程经验,结合我国各地</w:t>
      </w:r>
      <w:r>
        <w:rPr>
          <w:rFonts w:hint="eastAsia" w:ascii="Times New Roman" w:hAnsi="Times New Roman" w:cs="Times New Roman"/>
          <w:color w:val="0000FF"/>
          <w:highlight w:val="none"/>
          <w:lang w:val="en-US" w:eastAsia="zh-CN"/>
        </w:rPr>
        <w:t>相关</w:t>
      </w:r>
      <w:r>
        <w:rPr>
          <w:rFonts w:hint="default" w:ascii="Times New Roman" w:hAnsi="Times New Roman" w:cs="Times New Roman"/>
          <w:color w:val="0000FF"/>
          <w:highlight w:val="none"/>
          <w:lang w:val="en-US" w:eastAsia="zh-CN"/>
        </w:rPr>
        <w:t>规定,本条</w:t>
      </w:r>
      <w:r>
        <w:rPr>
          <w:rFonts w:hint="eastAsia" w:ascii="Times New Roman" w:hAnsi="Times New Roman" w:cs="Times New Roman"/>
          <w:color w:val="0000FF"/>
          <w:highlight w:val="none"/>
          <w:lang w:val="en-US" w:eastAsia="zh-CN"/>
        </w:rPr>
        <w:t>给出了将坡顶后</w:t>
      </w:r>
      <w:r>
        <w:rPr>
          <w:rFonts w:hint="default" w:ascii="Times New Roman" w:hAnsi="Times New Roman" w:cs="Times New Roman"/>
          <w:color w:val="0000FF"/>
          <w:highlight w:val="none"/>
          <w:lang w:val="en-US" w:eastAsia="zh-CN"/>
        </w:rPr>
        <w:t>1倍一3倍</w:t>
      </w:r>
      <w:r>
        <w:rPr>
          <w:rFonts w:hint="eastAsia" w:ascii="Times New Roman" w:hAnsi="Times New Roman" w:cs="Times New Roman"/>
          <w:color w:val="0000FF"/>
          <w:highlight w:val="none"/>
          <w:lang w:val="en-US" w:eastAsia="zh-CN"/>
        </w:rPr>
        <w:t>的边坡高度</w:t>
      </w:r>
      <w:r>
        <w:rPr>
          <w:rFonts w:hint="default" w:ascii="Times New Roman" w:hAnsi="Times New Roman" w:cs="Times New Roman"/>
          <w:color w:val="0000FF"/>
          <w:highlight w:val="none"/>
          <w:lang w:val="en-US" w:eastAsia="zh-CN"/>
        </w:rPr>
        <w:t>范围内需要保护的</w:t>
      </w:r>
      <w:r>
        <w:rPr>
          <w:rFonts w:hint="eastAsia" w:ascii="Times New Roman" w:hAnsi="Times New Roman" w:cs="Times New Roman"/>
          <w:color w:val="0000FF"/>
          <w:highlight w:val="none"/>
          <w:lang w:val="en-US" w:eastAsia="zh-CN"/>
        </w:rPr>
        <w:t>周边环境</w:t>
      </w:r>
      <w:r>
        <w:rPr>
          <w:rFonts w:hint="default" w:ascii="Times New Roman" w:hAnsi="Times New Roman" w:cs="Times New Roman"/>
          <w:color w:val="0000FF"/>
          <w:highlight w:val="none"/>
          <w:lang w:val="en-US" w:eastAsia="zh-CN"/>
        </w:rPr>
        <w:t>作为监控对象。</w:t>
      </w:r>
      <w:r>
        <w:rPr>
          <w:rFonts w:hint="eastAsia" w:ascii="Times New Roman" w:hAnsi="Times New Roman" w:cs="Times New Roman"/>
          <w:color w:val="0000FF"/>
          <w:highlight w:val="none"/>
          <w:lang w:val="en-US" w:eastAsia="zh-CN"/>
        </w:rPr>
        <w:t>坡脚的监测范围仅指边坡施工可能会造成土体扰动影响的范围，不指边坡滑移坍塌的影响范围，本条给出了坡脚不少于一倍边坡高度的参考监测范围。</w:t>
      </w:r>
      <w:r>
        <w:rPr>
          <w:rFonts w:hint="default" w:ascii="Times New Roman" w:hAnsi="Times New Roman" w:cs="Times New Roman"/>
          <w:color w:val="0000FF"/>
          <w:highlight w:val="none"/>
          <w:lang w:val="en-US" w:eastAsia="zh-CN"/>
        </w:rPr>
        <w:t>具体范围应根据</w:t>
      </w:r>
      <w:r>
        <w:rPr>
          <w:rFonts w:hint="eastAsia" w:ascii="Times New Roman" w:hAnsi="Times New Roman" w:cs="Times New Roman"/>
          <w:color w:val="0000FF"/>
          <w:highlight w:val="none"/>
          <w:lang w:val="en-US" w:eastAsia="zh-CN"/>
        </w:rPr>
        <w:t>边坡</w:t>
      </w:r>
      <w:r>
        <w:rPr>
          <w:rFonts w:hint="default" w:ascii="Times New Roman" w:hAnsi="Times New Roman" w:cs="Times New Roman"/>
          <w:color w:val="0000FF"/>
          <w:highlight w:val="none"/>
          <w:lang w:val="en-US" w:eastAsia="zh-CN"/>
        </w:rPr>
        <w:t>地质条件、周边保护对象的重要性等确定。必要时尚应扩大监测范围。</w:t>
      </w:r>
    </w:p>
    <w:p w14:paraId="6DEC8A31">
      <w:pPr>
        <w:shd w:val="clear"/>
        <w:rPr>
          <w:rFonts w:hint="eastAsia" w:ascii="Times New Roman" w:hAnsi="Times New Roman" w:cs="Times New Roman"/>
          <w:color w:val="0000FF"/>
          <w:highlight w:val="none"/>
          <w:lang w:val="en-US" w:eastAsia="zh-CN"/>
        </w:rPr>
      </w:pPr>
    </w:p>
    <w:p w14:paraId="73241A2C">
      <w:pPr>
        <w:shd w:val="clear"/>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3335020" cy="2032000"/>
            <wp:effectExtent l="0" t="0" r="17780" b="635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17"/>
                    <a:stretch>
                      <a:fillRect/>
                    </a:stretch>
                  </pic:blipFill>
                  <pic:spPr>
                    <a:xfrm>
                      <a:off x="0" y="0"/>
                      <a:ext cx="3335020" cy="2032000"/>
                    </a:xfrm>
                    <a:prstGeom prst="rect">
                      <a:avLst/>
                    </a:prstGeom>
                    <a:noFill/>
                    <a:ln>
                      <a:noFill/>
                    </a:ln>
                  </pic:spPr>
                </pic:pic>
              </a:graphicData>
            </a:graphic>
          </wp:inline>
        </w:drawing>
      </w:r>
    </w:p>
    <w:p w14:paraId="312957EF">
      <w:pPr>
        <w:shd w:val="clear"/>
        <w:jc w:val="center"/>
        <w:rPr>
          <w:rFonts w:hint="default" w:ascii="Times New Roman" w:hAnsi="Times New Roman" w:cs="Times New Roman" w:eastAsiaTheme="minorEastAsia"/>
          <w:highlight w:val="none"/>
          <w:lang w:val="en-US" w:eastAsia="zh-CN"/>
        </w:rPr>
      </w:pPr>
      <w:r>
        <w:rPr>
          <w:rFonts w:hint="eastAsia" w:cs="Times New Roman"/>
          <w:highlight w:val="none"/>
          <w:lang w:val="en-US" w:eastAsia="zh-CN"/>
        </w:rPr>
        <w:t xml:space="preserve">图5-2 </w:t>
      </w:r>
      <w:r>
        <w:rPr>
          <w:rFonts w:hint="eastAsia" w:ascii="Times New Roman" w:hAnsi="Times New Roman" w:cs="Times New Roman"/>
          <w:highlight w:val="none"/>
          <w:lang w:val="en-US" w:eastAsia="zh-CN"/>
        </w:rPr>
        <w:t>边坡监测范围示意图</w:t>
      </w:r>
    </w:p>
    <w:p w14:paraId="2046C323">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5. 3. 2</w:t>
      </w:r>
      <w:r>
        <w:rPr>
          <w:rFonts w:hint="eastAsia" w:ascii="Times New Roman" w:hAnsi="Times New Roman" w:cs="Times New Roman"/>
          <w:highlight w:val="none"/>
          <w:lang w:val="en-US" w:eastAsia="zh-CN"/>
        </w:rPr>
        <w:t xml:space="preserve">  建（构）筑物竖向位移监测点的布置应符合下列要求：</w:t>
      </w:r>
    </w:p>
    <w:p w14:paraId="2F9E6D54">
      <w:pPr>
        <w:ind w:firstLine="482"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w:t>
      </w:r>
      <w:r>
        <w:rPr>
          <w:rFonts w:hint="eastAsia" w:ascii="Times New Roman" w:hAnsi="Times New Roman" w:cs="Times New Roman"/>
          <w:color w:val="auto"/>
          <w:highlight w:val="none"/>
          <w:lang w:val="en-US" w:eastAsia="zh-CN"/>
        </w:rPr>
        <w:t xml:space="preserve">  建筑四角沿外墙每10m~15m处或每隔2根~3根柱的柱基或柱子上，每侧外墙不宜少于2个监测点；</w:t>
      </w:r>
    </w:p>
    <w:p w14:paraId="1621EB93">
      <w:pPr>
        <w:ind w:firstLine="482"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2</w:t>
      </w:r>
      <w:r>
        <w:rPr>
          <w:rFonts w:hint="eastAsia" w:ascii="Times New Roman" w:hAnsi="Times New Roman" w:cs="Times New Roman"/>
          <w:color w:val="auto"/>
          <w:highlight w:val="none"/>
          <w:lang w:val="en-US" w:eastAsia="zh-CN"/>
        </w:rPr>
        <w:t xml:space="preserve">  不同地基或基础的分界处；</w:t>
      </w:r>
    </w:p>
    <w:p w14:paraId="42D6CB8D">
      <w:pPr>
        <w:ind w:firstLine="482"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color w:val="auto"/>
          <w:highlight w:val="none"/>
          <w:lang w:val="en-US" w:eastAsia="zh-CN"/>
        </w:rPr>
        <w:t xml:space="preserve">  不同结构的分界处；</w:t>
      </w:r>
    </w:p>
    <w:p w14:paraId="5846B925">
      <w:pPr>
        <w:ind w:firstLine="482"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4</w:t>
      </w:r>
      <w:r>
        <w:rPr>
          <w:rFonts w:hint="eastAsia" w:ascii="Times New Roman" w:hAnsi="Times New Roman" w:cs="Times New Roman"/>
          <w:color w:val="auto"/>
          <w:highlight w:val="none"/>
          <w:lang w:val="en-US" w:eastAsia="zh-CN"/>
        </w:rPr>
        <w:t xml:space="preserve">  变形缝、抗震缝或严重开裂处的两侧；</w:t>
      </w:r>
    </w:p>
    <w:p w14:paraId="03018F64">
      <w:pPr>
        <w:ind w:firstLine="482" w:firstLineChars="20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5</w:t>
      </w:r>
      <w:r>
        <w:rPr>
          <w:rFonts w:hint="eastAsia" w:ascii="Times New Roman" w:hAnsi="Times New Roman" w:cs="Times New Roman"/>
          <w:color w:val="auto"/>
          <w:highlight w:val="none"/>
          <w:lang w:val="en-US" w:eastAsia="zh-CN"/>
        </w:rPr>
        <w:t xml:space="preserve">  新、旧建筑或高、低建筑交接处的两侧；</w:t>
      </w:r>
    </w:p>
    <w:p w14:paraId="3B9EF8F5">
      <w:pPr>
        <w:ind w:firstLine="482" w:firstLineChars="20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6</w:t>
      </w:r>
      <w:r>
        <w:rPr>
          <w:rFonts w:hint="eastAsia" w:ascii="Times New Roman" w:hAnsi="Times New Roman" w:cs="Times New Roman"/>
          <w:color w:val="auto"/>
          <w:highlight w:val="none"/>
          <w:lang w:val="en-US" w:eastAsia="zh-CN"/>
        </w:rPr>
        <w:t xml:space="preserve">  高耸构筑物基础轴线的对称部位，每一构筑物不应少于4点。</w:t>
      </w:r>
    </w:p>
    <w:p w14:paraId="0FAEF951">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14:paraId="4B0F9B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b/>
          <w:bCs/>
          <w:highlight w:val="none"/>
          <w:lang w:val="en-US" w:eastAsia="zh-CN"/>
        </w:rPr>
      </w:pPr>
      <w:r>
        <w:rPr>
          <w:rFonts w:hint="eastAsia" w:ascii="Times New Roman" w:hAnsi="Times New Roman" w:cs="Times New Roman"/>
          <w:color w:val="0000FF"/>
          <w:highlight w:val="none"/>
        </w:rPr>
        <w:t>建构筑物沉降监测点位布设对获取和分析建筑的沉降特征有重要影响，因此本条对监测点的布设做了相关要求。</w:t>
      </w:r>
    </w:p>
    <w:p w14:paraId="20CA588F">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5. 3. 3</w:t>
      </w:r>
      <w:r>
        <w:rPr>
          <w:rFonts w:hint="eastAsia" w:ascii="Times New Roman" w:hAnsi="Times New Roman" w:cs="Times New Roman"/>
          <w:highlight w:val="none"/>
          <w:lang w:val="en-US" w:eastAsia="zh-CN"/>
        </w:rPr>
        <w:t xml:space="preserve">  建（构）筑物倾斜监测点的布置应符合下列要求：</w:t>
      </w:r>
    </w:p>
    <w:p w14:paraId="7EBBF9CE">
      <w:pPr>
        <w:ind w:firstLine="482"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w:t>
      </w:r>
      <w:r>
        <w:rPr>
          <w:rFonts w:hint="eastAsia" w:ascii="Times New Roman" w:hAnsi="Times New Roman" w:cs="Times New Roman"/>
          <w:color w:val="auto"/>
          <w:highlight w:val="none"/>
          <w:lang w:val="en-US" w:eastAsia="zh-CN"/>
        </w:rPr>
        <w:t xml:space="preserve">  监测点宜布置在建筑角点、变形缝两侧的承重柱或墙上；</w:t>
      </w:r>
    </w:p>
    <w:p w14:paraId="16F1F297">
      <w:pPr>
        <w:ind w:firstLine="482"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2</w:t>
      </w:r>
      <w:r>
        <w:rPr>
          <w:rFonts w:hint="eastAsia" w:ascii="Times New Roman" w:hAnsi="Times New Roman" w:cs="Times New Roman"/>
          <w:color w:val="auto"/>
          <w:highlight w:val="none"/>
          <w:lang w:val="en-US" w:eastAsia="zh-CN"/>
        </w:rPr>
        <w:t xml:space="preserve">  应沿主体结构按正交方向（组）布设，中部可增加监测点；每栋建筑物倾斜监测数量不宜少于2组；</w:t>
      </w:r>
    </w:p>
    <w:p w14:paraId="34D3C7E2">
      <w:pPr>
        <w:ind w:firstLine="482"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color w:val="auto"/>
          <w:highlight w:val="none"/>
          <w:lang w:val="en-US" w:eastAsia="zh-CN"/>
        </w:rPr>
        <w:t xml:space="preserve">  当由基础的差异沉降推算建筑倾斜时，监测点的布置应符合本</w:t>
      </w:r>
      <w:r>
        <w:rPr>
          <w:rFonts w:hint="eastAsia" w:cs="Times New Roman"/>
          <w:color w:val="auto"/>
          <w:highlight w:val="none"/>
          <w:lang w:val="en-US" w:eastAsia="zh-CN"/>
        </w:rPr>
        <w:t>标准</w:t>
      </w:r>
      <w:r>
        <w:rPr>
          <w:rFonts w:hint="eastAsia" w:ascii="Times New Roman" w:hAnsi="Times New Roman" w:cs="Times New Roman"/>
          <w:color w:val="auto"/>
          <w:highlight w:val="none"/>
          <w:lang w:val="en-US" w:eastAsia="zh-CN"/>
        </w:rPr>
        <w:t>第5.3.2条的规定。</w:t>
      </w:r>
    </w:p>
    <w:p w14:paraId="0C590890">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14:paraId="4FC43E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color w:val="0000FF"/>
          <w:highlight w:val="none"/>
          <w:lang w:eastAsia="zh-CN"/>
        </w:rPr>
      </w:pPr>
      <w:r>
        <w:rPr>
          <w:rFonts w:hint="eastAsia" w:ascii="Times New Roman" w:hAnsi="Times New Roman" w:cs="Times New Roman"/>
          <w:color w:val="0000FF"/>
          <w:highlight w:val="none"/>
        </w:rPr>
        <w:t>为了反映建构筑物变形的特征和便于分析，监测点应布置在建筑竖向位移差异大的地方。倾斜监测可根据不同的监测条件选择不同的监测方法，监测点的布置也有所不同。当建筑具有较大的结构刚度和基础刚度时，通常采用观测基础差异沉降推算建筑的倾斜，这时监测点的布置应考虑建筑的基础形式、体态特征、结构形式以及地质条件的变化等，要求同建筑的竖向位移观测基本一致。如果是采用投点法进行倾斜监测，需要进行上下部位成对设置，位于同一垂直线上</w:t>
      </w:r>
      <w:r>
        <w:rPr>
          <w:rFonts w:hint="eastAsia" w:ascii="Times New Roman" w:hAnsi="Times New Roman" w:cs="Times New Roman"/>
          <w:color w:val="0000FF"/>
          <w:highlight w:val="none"/>
          <w:lang w:eastAsia="zh-CN"/>
        </w:rPr>
        <w:t>。</w:t>
      </w:r>
    </w:p>
    <w:p w14:paraId="5EAF73DB">
      <w:pP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5. 3. 4</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周边管线监测点的布置应符合下列要求：</w:t>
      </w:r>
    </w:p>
    <w:p w14:paraId="4F9C4A26">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1</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应根据管线修建年份、类型、材质、尺寸接口形式及现状等情况，综合确定监测点布置和埋设方法，应对重要的、距离边坡近的、抗变形能力差的管线进行重点监测；</w:t>
      </w:r>
    </w:p>
    <w:p w14:paraId="72D5F5C1">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监测点宜布置在管线的节点、转折点、变坡点、变径点等特征点和变形曲率较大的部位，监测点水平间距宜为15m~25m；</w:t>
      </w:r>
    </w:p>
    <w:p w14:paraId="70C21A0D">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3</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供水煤气供热等压力管线宜设置直接监测点，也可利用窨井、阀门、抽气口以及检查井等管线设备作为监测点，在难以埋设直接监测点的部位，可设置间接监测点。</w:t>
      </w:r>
    </w:p>
    <w:p w14:paraId="1644EA34">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rPr>
        <w:t>条文说明：</w:t>
      </w:r>
    </w:p>
    <w:p w14:paraId="36CB2DFF">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对周边管线监测点的布设原则做出了规定。管线监测点布设分为直接法和间接法两种，直接法观测精度高、但是通常需要开挖至管线进行测点埋设，间接法是通过观测管线周边的土体，分析管线的变形，观测精度相对直接法会有所降低，但可避免破土开挖。具体的布设方法应结合现场实际情况及受保护管线的重要程度综合确定。</w:t>
      </w:r>
    </w:p>
    <w:p w14:paraId="6438D594">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b/>
          <w:bCs/>
          <w:color w:val="auto"/>
          <w:highlight w:val="none"/>
          <w:lang w:val="en-US" w:eastAsia="zh-CN"/>
        </w:rPr>
        <w:t>5. 3. 5</w:t>
      </w:r>
      <w:r>
        <w:rPr>
          <w:rFonts w:hint="eastAsia" w:ascii="Times New Roman" w:hAnsi="Times New Roman" w:cs="Times New Roman"/>
          <w:color w:val="0000FF"/>
          <w:highlight w:val="none"/>
          <w:lang w:val="en-US" w:eastAsia="zh-CN"/>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周边地表竖向位移监测断面宜设在典型边坡段中部或其他有代表性的部位。监测断面应与边坡走向垂直，数量视具体情况确定。每个监测断面上的监测点数量不宜少于3个。</w:t>
      </w:r>
    </w:p>
    <w:p w14:paraId="7C4861F3">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p>
    <w:p w14:paraId="28BDA764">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5. 3. 6</w:t>
      </w:r>
      <w:r>
        <w:rPr>
          <w:rFonts w:hint="eastAsia" w:ascii="Times New Roman" w:hAnsi="Times New Roman" w:cs="Times New Roman"/>
          <w:highlight w:val="none"/>
          <w:lang w:val="en-US" w:eastAsia="zh-CN"/>
        </w:rPr>
        <w:t xml:space="preserve">  若建筑边坡监测范围内存在重要保护对象，则监测点的布置</w:t>
      </w:r>
      <w:r>
        <w:rPr>
          <w:rFonts w:hint="default" w:ascii="Times New Roman" w:hAnsi="Times New Roman" w:cs="Times New Roman"/>
          <w:highlight w:val="none"/>
          <w:lang w:val="en-US" w:eastAsia="zh-CN"/>
        </w:rPr>
        <w:t>尚应满足相关</w:t>
      </w:r>
      <w:r>
        <w:rPr>
          <w:rFonts w:hint="eastAsia" w:ascii="Times New Roman" w:hAnsi="Times New Roman" w:cs="Times New Roman"/>
          <w:highlight w:val="none"/>
          <w:lang w:val="en-US" w:eastAsia="zh-CN"/>
        </w:rPr>
        <w:t>权属</w:t>
      </w:r>
      <w:r>
        <w:rPr>
          <w:rFonts w:hint="default" w:ascii="Times New Roman" w:hAnsi="Times New Roman" w:cs="Times New Roman"/>
          <w:highlight w:val="none"/>
          <w:lang w:val="en-US" w:eastAsia="zh-CN"/>
        </w:rPr>
        <w:t>部门的技术要求。</w:t>
      </w:r>
    </w:p>
    <w:p w14:paraId="08B0ED96">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rPr>
        <w:t>条文说明：</w:t>
      </w:r>
    </w:p>
    <w:p w14:paraId="2ACE3C6A">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监测单位根据勘察和设计资料，结合现场踏勘情况细化监测点的布设位置，拟定监测方案，提交工程相关参建单位讨论审定后方可实施。如果边坡工程影响范围内有重要的保护对象，如铁路、城市轨道交通等时，监测点的布设还应符合其保护技术要求，取得相关权属单位的认可，经协商一致后，方能正式开始。</w:t>
      </w:r>
    </w:p>
    <w:p w14:paraId="4F42D6CF">
      <w:pP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 xml:space="preserve">5. 3. 7  </w:t>
      </w:r>
      <w:r>
        <w:rPr>
          <w:rFonts w:hint="eastAsia" w:ascii="Times New Roman" w:hAnsi="Times New Roman" w:cs="Times New Roman"/>
          <w:b w:val="0"/>
          <w:bCs w:val="0"/>
          <w:highlight w:val="none"/>
          <w:lang w:val="en-US" w:eastAsia="zh-CN"/>
        </w:rPr>
        <w:t>周边建筑裂缝、地表裂缝监测点应选择有代表性的裂缝进行布置，当原有裂缝增大或出现新裂缝时，应及时增设监测点。对需要观测的裂缝，每条裂缝的监测点应至少设2个，宜设置在裂缝的最宽处及裂缝末端。</w:t>
      </w:r>
    </w:p>
    <w:p w14:paraId="4E2B70BA">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rPr>
        <w:t>条文说明：</w:t>
      </w:r>
    </w:p>
    <w:p w14:paraId="2E3282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color w:val="0000FF"/>
          <w:highlight w:val="none"/>
          <w:lang w:val="en-US" w:eastAsia="zh-CN"/>
        </w:rPr>
        <w:t>裂缝的产生和发展直接关系到建构筑物的结构安全，如果出现裂缝则应及时对其发展情况进行跟踪监测，本条针对裂缝监测点布设原则做出了具体规定。</w:t>
      </w:r>
    </w:p>
    <w:p w14:paraId="61A3FC12">
      <w:pPr>
        <w:pStyle w:val="3"/>
        <w:bidi w:val="0"/>
        <w:rPr>
          <w:rFonts w:hint="default" w:ascii="Times New Roman" w:hAnsi="Times New Roman" w:cs="Times New Roman"/>
          <w:highlight w:val="none"/>
          <w:lang w:val="en-US" w:eastAsia="zh-CN"/>
        </w:rPr>
      </w:pPr>
      <w:bookmarkStart w:id="63" w:name="_Toc15874"/>
      <w:bookmarkStart w:id="64" w:name="_Toc8185"/>
      <w:bookmarkStart w:id="65" w:name="_Toc32110"/>
      <w:bookmarkStart w:id="66" w:name="_Toc22662"/>
      <w:bookmarkStart w:id="67" w:name="_Toc5260"/>
      <w:r>
        <w:rPr>
          <w:rFonts w:hint="eastAsia" w:ascii="Times New Roman" w:hAnsi="Times New Roman" w:cs="Times New Roman"/>
          <w:highlight w:val="none"/>
          <w:lang w:val="en-US" w:eastAsia="zh-CN"/>
        </w:rPr>
        <w:t>5.4 边坡岩土体、水体</w:t>
      </w:r>
      <w:bookmarkEnd w:id="63"/>
      <w:bookmarkEnd w:id="64"/>
      <w:bookmarkEnd w:id="65"/>
      <w:bookmarkEnd w:id="66"/>
      <w:bookmarkEnd w:id="67"/>
    </w:p>
    <w:p w14:paraId="0ADD768B">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5. 4. 1</w:t>
      </w:r>
      <w:r>
        <w:rPr>
          <w:rFonts w:hint="eastAsia" w:ascii="Times New Roman" w:hAnsi="Times New Roman" w:cs="Times New Roman"/>
          <w:highlight w:val="none"/>
          <w:lang w:val="en-US" w:eastAsia="zh-CN"/>
        </w:rPr>
        <w:t xml:space="preserve">  土体深层水平位移监测点的布置应符合下列要求：</w:t>
      </w:r>
    </w:p>
    <w:p w14:paraId="27489D2A">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安全等级为一级的边坡监测点水平间距宜为20m~40m，安全等级为二级的边坡监测点水平间距宜为40m~60m，</w:t>
      </w:r>
      <w:r>
        <w:rPr>
          <w:rFonts w:hint="eastAsia" w:ascii="Times New Roman" w:hAnsi="Times New Roman" w:cs="Times New Roman"/>
          <w:color w:val="000000" w:themeColor="text1"/>
          <w:highlight w:val="none"/>
          <w:shd w:val="clear"/>
          <w:lang w:val="en-US" w:eastAsia="zh-CN"/>
          <w14:textFill>
            <w14:solidFill>
              <w14:schemeClr w14:val="tx1"/>
            </w14:solidFill>
          </w14:textFill>
        </w:rPr>
        <w:t>每一典型边坡段</w:t>
      </w:r>
      <w:r>
        <w:rPr>
          <w:rFonts w:hint="eastAsia" w:ascii="Times New Roman" w:hAnsi="Times New Roman" w:cs="Times New Roman"/>
          <w:highlight w:val="none"/>
          <w:lang w:val="en-US" w:eastAsia="zh-CN"/>
        </w:rPr>
        <w:t>测点数不宜少于1个；</w:t>
      </w:r>
    </w:p>
    <w:p w14:paraId="16C92808">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安全等级为一级的边坡，每个监测断面测点布设数量不少于2个，宜布设在坡顶和坡脚，多级放坡的边坡，宜在中间坡面平台增加测点；</w:t>
      </w:r>
    </w:p>
    <w:p w14:paraId="4AF13D6D">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测点深度应超过潜在滑动面不少于3m。</w:t>
      </w:r>
    </w:p>
    <w:p w14:paraId="38541FDC">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14:paraId="07F0CF9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b/>
          <w:bCs/>
          <w:highlight w:val="none"/>
          <w:lang w:val="en-US" w:eastAsia="zh-CN"/>
        </w:rPr>
      </w:pPr>
      <w:r>
        <w:rPr>
          <w:rFonts w:hint="eastAsia" w:ascii="Times New Roman" w:hAnsi="Times New Roman" w:cs="Times New Roman"/>
          <w:color w:val="0000FF"/>
          <w:highlight w:val="none"/>
        </w:rPr>
        <w:t>土体深层水平位移的监测同支护结构深层水平位移一致，监测孔应布置在边坡平面上</w:t>
      </w:r>
      <w:r>
        <w:rPr>
          <w:rFonts w:hint="eastAsia" w:ascii="Times New Roman" w:hAnsi="Times New Roman" w:cs="Times New Roman"/>
          <w:color w:val="0000FF"/>
          <w:highlight w:val="none"/>
          <w:lang w:val="en-US" w:eastAsia="zh-CN"/>
        </w:rPr>
        <w:t>变形</w:t>
      </w:r>
      <w:r>
        <w:rPr>
          <w:rFonts w:hint="eastAsia" w:ascii="Times New Roman" w:hAnsi="Times New Roman" w:cs="Times New Roman"/>
          <w:color w:val="0000FF"/>
          <w:highlight w:val="none"/>
        </w:rPr>
        <w:t>计算值最大的位置。在实际监测工作中，应尽量与支护结构深层水平位移监测点布设在同一监测断面，以便于验证分析。另外本条对测斜管埋设深度做出了具体要求，应超过</w:t>
      </w:r>
      <w:r>
        <w:rPr>
          <w:rFonts w:hint="eastAsia" w:ascii="Times New Roman" w:hAnsi="Times New Roman" w:cs="Times New Roman"/>
          <w:color w:val="0000FF"/>
          <w:highlight w:val="none"/>
          <w:lang w:eastAsia="zh-CN"/>
        </w:rPr>
        <w:t>潜在滑动面</w:t>
      </w:r>
      <w:r>
        <w:rPr>
          <w:rFonts w:hint="eastAsia" w:ascii="Times New Roman" w:hAnsi="Times New Roman" w:cs="Times New Roman"/>
          <w:color w:val="0000FF"/>
          <w:highlight w:val="none"/>
        </w:rPr>
        <w:t>不少于3m，如果现场条件无法满足此要求，同样需采用顶部累计法进行监测，以保证监测数据的可靠性。</w:t>
      </w:r>
    </w:p>
    <w:p w14:paraId="354CDC77">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5. 4. 2</w:t>
      </w:r>
      <w:r>
        <w:rPr>
          <w:rFonts w:hint="eastAsia" w:ascii="Times New Roman" w:hAnsi="Times New Roman" w:cs="Times New Roman"/>
          <w:highlight w:val="none"/>
          <w:lang w:val="en-US" w:eastAsia="zh-CN"/>
        </w:rPr>
        <w:t xml:space="preserve">  地下水位监测点的布置应符合下列要求：</w:t>
      </w:r>
    </w:p>
    <w:p w14:paraId="12D525AA">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安全等级为一级的边坡监测点水平间距宜为20m~40m，安全等级为二级的边坡监测点水平间距宜为40m~60m；</w:t>
      </w:r>
    </w:p>
    <w:p w14:paraId="6871CD32">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安全等级为一级的边坡，每个监测断面测点布设数量不少于2个，宜布设在坡顶和坡脚；</w:t>
      </w:r>
    </w:p>
    <w:p w14:paraId="4FB57B9F">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测点深度应超过最低设计水位或允许地下水位之下3m〜5m。</w:t>
      </w:r>
    </w:p>
    <w:p w14:paraId="423A89FF">
      <w:pPr>
        <w:rPr>
          <w:rFonts w:hint="eastAsia" w:ascii="Times New Roman" w:hAnsi="Times New Roman" w:cs="Times New Roman"/>
          <w:color w:val="0000FF"/>
          <w:highlight w:val="none"/>
        </w:rPr>
      </w:pPr>
      <w:r>
        <w:rPr>
          <w:rFonts w:hint="eastAsia" w:ascii="Times New Roman" w:hAnsi="Times New Roman" w:cs="Times New Roman"/>
          <w:b/>
          <w:bCs/>
          <w:color w:val="0000FF"/>
          <w:highlight w:val="none"/>
        </w:rPr>
        <w:t>条文说明：</w:t>
      </w:r>
    </w:p>
    <w:p w14:paraId="1E2F569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color w:val="0000FF"/>
          <w:highlight w:val="none"/>
        </w:rPr>
        <w:t>对于边坡来说，地下水位的重要性不言而喻，通过边坡地下水位测量及其他监测项目综合分析，能够有效判断边坡的稳定性，同时也能观测边坡地下水位对周边环境的影响。地下水位监测点宜布置在每一典型边坡段中央，宜与测斜点同点位布设，以便于综合验证分析。因此本条对于地下水位监测点的间距要求与测斜监测点要求一致。结合现场情况，也可选择与测斜采用同孔观测，在测点布设时需要注意严格按照水位孔和测斜孔共同的埋设要求进行，同时不能破坏测斜管导槽。</w:t>
      </w:r>
    </w:p>
    <w:p w14:paraId="08F4B3FF">
      <w:pPr>
        <w:pStyle w:val="3"/>
        <w:bidi w:val="0"/>
        <w:rPr>
          <w:rFonts w:hint="eastAsia" w:ascii="Times New Roman" w:hAnsi="Times New Roman" w:cs="Times New Roman"/>
          <w:highlight w:val="none"/>
        </w:rPr>
      </w:pPr>
      <w:bookmarkStart w:id="68" w:name="_Toc30593"/>
      <w:bookmarkStart w:id="69" w:name="_Toc16132"/>
      <w:bookmarkStart w:id="70" w:name="_Toc26652"/>
      <w:bookmarkStart w:id="71" w:name="_Toc14614"/>
      <w:bookmarkStart w:id="72" w:name="_Toc4372"/>
      <w:r>
        <w:rPr>
          <w:rFonts w:hint="eastAsia" w:ascii="Times New Roman" w:hAnsi="Times New Roman" w:cs="Times New Roman"/>
          <w:highlight w:val="none"/>
          <w:lang w:val="en-US" w:eastAsia="zh-CN"/>
        </w:rPr>
        <w:t xml:space="preserve">5.5 </w:t>
      </w:r>
      <w:r>
        <w:rPr>
          <w:rFonts w:hint="eastAsia" w:ascii="Times New Roman" w:hAnsi="Times New Roman" w:cs="Times New Roman"/>
          <w:highlight w:val="none"/>
        </w:rPr>
        <w:t>其他需要监测的对象</w:t>
      </w:r>
      <w:bookmarkEnd w:id="68"/>
      <w:bookmarkEnd w:id="69"/>
      <w:bookmarkEnd w:id="70"/>
      <w:bookmarkEnd w:id="71"/>
      <w:bookmarkEnd w:id="72"/>
    </w:p>
    <w:p w14:paraId="22D69BD6">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5. 5. 1</w:t>
      </w:r>
      <w:r>
        <w:rPr>
          <w:rFonts w:hint="eastAsia" w:ascii="Times New Roman" w:hAnsi="Times New Roman" w:cs="Times New Roman"/>
          <w:highlight w:val="none"/>
          <w:lang w:val="en-US" w:eastAsia="zh-CN"/>
        </w:rPr>
        <w:t xml:space="preserve">  孤石监测点的布置应符合下列要求：</w:t>
      </w:r>
    </w:p>
    <w:p w14:paraId="176B540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 倾斜监测点应沿孤石迎坡面或背坡面的顶部、底部上下对应按组布设，中部可增加监测点；</w:t>
      </w:r>
    </w:p>
    <w:p w14:paraId="09ABED6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2 每个孤石倾斜监测数量不宜少于 2 点。</w:t>
      </w:r>
    </w:p>
    <w:p w14:paraId="4007C755">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14:paraId="70151B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孤石为残留在残积土、全风化岩中的中风化、微风化岩石。在边坡工程中，置于边坡面的孤石在自重的作用下有滚落的风险，特别是在台风暴雨期间，在雨水冲刷作用下，孤石周围土体会发生塑性变形或失稳，从而形成崩滑隐患或导致发生孤石滚落现象，直接威胁坡脚建筑和人员生命安全。对于没有进行直接清除的孤石，应监测其倾斜及位移，位移监测包括水平位移及沉降。倾斜监测宜采用倾角传感器进行自动化监测。</w:t>
      </w:r>
    </w:p>
    <w:p w14:paraId="771D061F">
      <w:pPr>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2944495" cy="2381885"/>
            <wp:effectExtent l="0" t="0" r="8255" b="18415"/>
            <wp:docPr id="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pic:cNvPicPr>
                      <a:picLocks noChangeAspect="1"/>
                    </pic:cNvPicPr>
                  </pic:nvPicPr>
                  <pic:blipFill>
                    <a:blip r:embed="rId18"/>
                    <a:stretch>
                      <a:fillRect/>
                    </a:stretch>
                  </pic:blipFill>
                  <pic:spPr>
                    <a:xfrm>
                      <a:off x="0" y="0"/>
                      <a:ext cx="2944495" cy="2381885"/>
                    </a:xfrm>
                    <a:prstGeom prst="rect">
                      <a:avLst/>
                    </a:prstGeom>
                    <a:noFill/>
                    <a:ln>
                      <a:noFill/>
                    </a:ln>
                  </pic:spPr>
                </pic:pic>
              </a:graphicData>
            </a:graphic>
          </wp:inline>
        </w:drawing>
      </w:r>
    </w:p>
    <w:p w14:paraId="186EBB3D">
      <w:pPr>
        <w:jc w:val="center"/>
        <w:rPr>
          <w:rFonts w:hint="default" w:ascii="Times New Roman" w:hAnsi="Times New Roman" w:cs="Times New Roman"/>
          <w:highlight w:val="none"/>
          <w:lang w:val="en-US" w:eastAsia="zh-CN"/>
        </w:rPr>
      </w:pPr>
      <w:r>
        <w:rPr>
          <w:rFonts w:hint="eastAsia" w:cs="Times New Roman"/>
          <w:highlight w:val="none"/>
          <w:lang w:val="en-US" w:eastAsia="zh-CN"/>
        </w:rPr>
        <w:t xml:space="preserve">图5-3 </w:t>
      </w:r>
      <w:r>
        <w:rPr>
          <w:rFonts w:hint="eastAsia" w:ascii="Times New Roman" w:hAnsi="Times New Roman" w:cs="Times New Roman"/>
          <w:highlight w:val="none"/>
          <w:lang w:val="en-US" w:eastAsia="zh-CN"/>
        </w:rPr>
        <w:t>孤石示意图</w:t>
      </w:r>
    </w:p>
    <w:p w14:paraId="1C7FDF10">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5. 5. 2</w:t>
      </w:r>
      <w:r>
        <w:rPr>
          <w:rFonts w:hint="eastAsia" w:ascii="Times New Roman" w:hAnsi="Times New Roman" w:cs="Times New Roman"/>
          <w:highlight w:val="none"/>
          <w:lang w:val="en-US" w:eastAsia="zh-CN"/>
        </w:rPr>
        <w:t xml:space="preserve">  危岩监测点的布置应符合下列要求：</w:t>
      </w:r>
    </w:p>
    <w:p w14:paraId="5736C1CE">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倾斜监测点应沿危岩背坡面的顶部、底部上下对应按组布设，中部可增加监测点；倾斜监测数量不宜少于2个；</w:t>
      </w:r>
    </w:p>
    <w:p w14:paraId="092214E7">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裂缝监测点应选择有代表性的裂缝进行布置，当出现新裂缝时，应及时增设监测点。对需要观测的裂缝，每条裂缝的监测点应至少设2个，宜设置在裂缝的最宽处及裂缝末端；</w:t>
      </w:r>
    </w:p>
    <w:p w14:paraId="2F17F628">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3 </w:t>
      </w:r>
      <w:r>
        <w:rPr>
          <w:rFonts w:hint="eastAsia" w:ascii="Times New Roman" w:hAnsi="Times New Roman" w:cs="Times New Roman"/>
          <w:highlight w:val="none"/>
          <w:lang w:val="en-US" w:eastAsia="zh-CN"/>
        </w:rPr>
        <w:t xml:space="preserve"> 液位监测点应选择有代表性的部位进行布置。</w:t>
      </w:r>
    </w:p>
    <w:p w14:paraId="2EB12200">
      <w:pPr>
        <w:numPr>
          <w:ilvl w:val="0"/>
          <w:numId w:val="0"/>
        </w:num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3003736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危岩指正在开裂变形，并可能发生崩塌或滑坡的危险岩体或山体，如七星岩景区内就曾对危岩进行治理。危岩示意如图</w:t>
      </w:r>
      <w:r>
        <w:rPr>
          <w:rFonts w:hint="eastAsia" w:cs="Times New Roman"/>
          <w:color w:val="0000FF"/>
          <w:highlight w:val="none"/>
          <w:lang w:val="en-US" w:eastAsia="zh-CN"/>
        </w:rPr>
        <w:t>5-4</w:t>
      </w:r>
      <w:r>
        <w:rPr>
          <w:rFonts w:hint="eastAsia" w:ascii="Times New Roman" w:hAnsi="Times New Roman" w:cs="Times New Roman"/>
          <w:color w:val="0000FF"/>
          <w:highlight w:val="none"/>
          <w:lang w:val="en-US" w:eastAsia="zh-CN"/>
        </w:rPr>
        <w:t>。</w:t>
      </w:r>
    </w:p>
    <w:p w14:paraId="290FF770">
      <w:pPr>
        <w:numPr>
          <w:ilvl w:val="0"/>
          <w:numId w:val="0"/>
        </w:numPr>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4037965" cy="3463925"/>
            <wp:effectExtent l="0" t="0" r="635" b="3175"/>
            <wp:docPr id="3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
                    <pic:cNvPicPr>
                      <a:picLocks noChangeAspect="1"/>
                    </pic:cNvPicPr>
                  </pic:nvPicPr>
                  <pic:blipFill>
                    <a:blip r:embed="rId19"/>
                    <a:stretch>
                      <a:fillRect/>
                    </a:stretch>
                  </pic:blipFill>
                  <pic:spPr>
                    <a:xfrm>
                      <a:off x="0" y="0"/>
                      <a:ext cx="4037965" cy="3463925"/>
                    </a:xfrm>
                    <a:prstGeom prst="rect">
                      <a:avLst/>
                    </a:prstGeom>
                    <a:noFill/>
                    <a:ln>
                      <a:noFill/>
                    </a:ln>
                  </pic:spPr>
                </pic:pic>
              </a:graphicData>
            </a:graphic>
          </wp:inline>
        </w:drawing>
      </w:r>
    </w:p>
    <w:p w14:paraId="476F58BB">
      <w:pPr>
        <w:jc w:val="center"/>
        <w:rPr>
          <w:rFonts w:hint="eastAsia" w:ascii="Times New Roman" w:hAnsi="Times New Roman" w:cs="Times New Roman"/>
          <w:color w:val="0000FF"/>
          <w:highlight w:val="none"/>
          <w:lang w:val="en-US" w:eastAsia="zh-CN"/>
        </w:rPr>
      </w:pPr>
      <w:r>
        <w:rPr>
          <w:rFonts w:hint="eastAsia" w:cs="Times New Roman"/>
          <w:highlight w:val="none"/>
          <w:lang w:val="en-US" w:eastAsia="zh-CN"/>
        </w:rPr>
        <w:t xml:space="preserve">图5-4 </w:t>
      </w:r>
      <w:r>
        <w:rPr>
          <w:rFonts w:hint="eastAsia" w:ascii="Times New Roman" w:hAnsi="Times New Roman" w:cs="Times New Roman"/>
          <w:highlight w:val="none"/>
          <w:lang w:val="en-US" w:eastAsia="zh-CN"/>
        </w:rPr>
        <w:t>危岩示意图</w:t>
      </w:r>
    </w:p>
    <w:p w14:paraId="09E5B54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1 </w:t>
      </w:r>
      <w:r>
        <w:rPr>
          <w:rFonts w:hint="eastAsia" w:ascii="Times New Roman" w:hAnsi="Times New Roman" w:cs="Times New Roman"/>
          <w:color w:val="0000FF"/>
          <w:highlight w:val="none"/>
          <w:lang w:val="en-US" w:eastAsia="zh-CN"/>
        </w:rPr>
        <w:t>危岩的位移点应布置背坡面，需分析危岩可能滚落的方向、途径和危害范围。应在危岩上布置2个位移监测点，分别布置在危岩中轴线上下两端，如图</w:t>
      </w:r>
      <w:r>
        <w:rPr>
          <w:rFonts w:hint="eastAsia" w:cs="Times New Roman"/>
          <w:color w:val="0000FF"/>
          <w:highlight w:val="none"/>
          <w:lang w:val="en-US" w:eastAsia="zh-CN"/>
        </w:rPr>
        <w:t>5-5</w:t>
      </w:r>
      <w:r>
        <w:rPr>
          <w:rFonts w:hint="eastAsia" w:ascii="Times New Roman" w:hAnsi="Times New Roman" w:cs="Times New Roman"/>
          <w:color w:val="0000FF"/>
          <w:highlight w:val="none"/>
          <w:lang w:val="en-US" w:eastAsia="zh-CN"/>
        </w:rPr>
        <w:t>。观测危岩和孤石的平面位置和高程变化，并根据观测结果，采用一定的比例绘制滑坡位移矢量图。若无布点条件，可选取特征点进行非接触式测量。</w:t>
      </w:r>
    </w:p>
    <w:p w14:paraId="0E8B0704">
      <w:pPr>
        <w:numPr>
          <w:ilvl w:val="0"/>
          <w:numId w:val="0"/>
        </w:numPr>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1696085" cy="2138680"/>
            <wp:effectExtent l="0" t="0" r="18415" b="13970"/>
            <wp:docPr id="5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
                    <pic:cNvPicPr>
                      <a:picLocks noChangeAspect="1"/>
                    </pic:cNvPicPr>
                  </pic:nvPicPr>
                  <pic:blipFill>
                    <a:blip r:embed="rId20"/>
                    <a:stretch>
                      <a:fillRect/>
                    </a:stretch>
                  </pic:blipFill>
                  <pic:spPr>
                    <a:xfrm>
                      <a:off x="0" y="0"/>
                      <a:ext cx="1696085" cy="2138680"/>
                    </a:xfrm>
                    <a:prstGeom prst="rect">
                      <a:avLst/>
                    </a:prstGeom>
                    <a:noFill/>
                    <a:ln>
                      <a:noFill/>
                    </a:ln>
                  </pic:spPr>
                </pic:pic>
              </a:graphicData>
            </a:graphic>
          </wp:inline>
        </w:drawing>
      </w:r>
    </w:p>
    <w:p w14:paraId="4D55FA53">
      <w:pPr>
        <w:numPr>
          <w:ilvl w:val="0"/>
          <w:numId w:val="0"/>
        </w:numPr>
        <w:jc w:val="center"/>
        <w:rPr>
          <w:rFonts w:hint="default" w:ascii="Times New Roman" w:hAnsi="Times New Roman" w:cs="Times New Roman" w:eastAsiaTheme="minorEastAsia"/>
          <w:highlight w:val="none"/>
          <w:lang w:val="en-US" w:eastAsia="zh-CN"/>
        </w:rPr>
      </w:pPr>
      <w:r>
        <w:rPr>
          <w:rFonts w:hint="eastAsia" w:cs="Times New Roman"/>
          <w:highlight w:val="none"/>
          <w:lang w:val="en-US" w:eastAsia="zh-CN"/>
        </w:rPr>
        <w:t>图5-5 孤石测点布置示意图</w:t>
      </w:r>
    </w:p>
    <w:p w14:paraId="09E270C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color w:val="0000FF"/>
          <w:highlight w:val="none"/>
          <w:lang w:val="en-US" w:eastAsia="zh-CN"/>
        </w:rPr>
        <w:t>若2个监测点高程及平面位置皆产生一定变化且各测点变化情况相近，说明孤石或危岩产生整体滑移；若下部测点的变化量要远小于上部监测点，说明孤石或危岩主要发生倾斜变形，需重点关注后方裂缝的发展情况。</w:t>
      </w:r>
    </w:p>
    <w:p w14:paraId="2BCD3FF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2 </w:t>
      </w:r>
      <w:r>
        <w:rPr>
          <w:rFonts w:hint="eastAsia" w:ascii="Times New Roman" w:hAnsi="Times New Roman" w:cs="Times New Roman"/>
          <w:color w:val="0000FF"/>
          <w:highlight w:val="none"/>
          <w:lang w:val="en-US" w:eastAsia="zh-CN"/>
        </w:rPr>
        <w:t>危岩与后方稳定岩体有裂缝分开，裂缝的持续发展情况是评价危岩安全的重要指标，可沿裂缝发展的方向设置裂缝监测点，如图</w:t>
      </w:r>
      <w:r>
        <w:rPr>
          <w:rFonts w:hint="eastAsia" w:cs="Times New Roman"/>
          <w:color w:val="0000FF"/>
          <w:highlight w:val="none"/>
          <w:lang w:val="en-US" w:eastAsia="zh-CN"/>
        </w:rPr>
        <w:t>5-6</w:t>
      </w:r>
      <w:r>
        <w:rPr>
          <w:rFonts w:hint="eastAsia" w:ascii="Times New Roman" w:hAnsi="Times New Roman" w:cs="Times New Roman"/>
          <w:color w:val="0000FF"/>
          <w:highlight w:val="none"/>
          <w:lang w:val="en-US" w:eastAsia="zh-CN"/>
        </w:rPr>
        <w:t>，可采用拉线位移计等高精自动化监测设备进行监测。</w:t>
      </w:r>
    </w:p>
    <w:p w14:paraId="166A78E2">
      <w:pPr>
        <w:numPr>
          <w:ilvl w:val="0"/>
          <w:numId w:val="0"/>
        </w:numPr>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2418715" cy="2404745"/>
            <wp:effectExtent l="0" t="0" r="635" b="14605"/>
            <wp:docPr id="5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9"/>
                    <pic:cNvPicPr>
                      <a:picLocks noChangeAspect="1"/>
                    </pic:cNvPicPr>
                  </pic:nvPicPr>
                  <pic:blipFill>
                    <a:blip r:embed="rId21"/>
                    <a:stretch>
                      <a:fillRect/>
                    </a:stretch>
                  </pic:blipFill>
                  <pic:spPr>
                    <a:xfrm>
                      <a:off x="0" y="0"/>
                      <a:ext cx="2418715" cy="2404745"/>
                    </a:xfrm>
                    <a:prstGeom prst="rect">
                      <a:avLst/>
                    </a:prstGeom>
                    <a:noFill/>
                    <a:ln>
                      <a:noFill/>
                    </a:ln>
                  </pic:spPr>
                </pic:pic>
              </a:graphicData>
            </a:graphic>
          </wp:inline>
        </w:drawing>
      </w:r>
    </w:p>
    <w:p w14:paraId="59D09FF9">
      <w:pPr>
        <w:numPr>
          <w:ilvl w:val="0"/>
          <w:numId w:val="0"/>
        </w:numPr>
        <w:jc w:val="center"/>
        <w:rPr>
          <w:rFonts w:hint="default" w:ascii="Times New Roman" w:hAnsi="Times New Roman" w:cs="Times New Roman" w:eastAsiaTheme="minorEastAsia"/>
          <w:highlight w:val="none"/>
          <w:lang w:val="en-US" w:eastAsia="zh-CN"/>
        </w:rPr>
      </w:pPr>
      <w:r>
        <w:rPr>
          <w:rFonts w:hint="eastAsia" w:cs="Times New Roman"/>
          <w:highlight w:val="none"/>
          <w:lang w:val="en-US" w:eastAsia="zh-CN"/>
        </w:rPr>
        <w:t>图5-6 危岩测点布置示意图</w:t>
      </w:r>
    </w:p>
    <w:p w14:paraId="5DB8E5D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（3）危岩后若有蓄水，其后水压力将对危岩安全产生较大影响。结合现场实际环境，有条件的情况下建议对其进行监测，推荐采用自动化监测手段。</w:t>
      </w:r>
    </w:p>
    <w:p w14:paraId="7FAA2964">
      <w:pPr>
        <w:numPr>
          <w:ilvl w:val="0"/>
          <w:numId w:val="0"/>
        </w:numPr>
        <w:rPr>
          <w:rFonts w:hint="eastAsia" w:ascii="Times New Roman" w:hAnsi="Times New Roman" w:cs="Times New Roman"/>
          <w:color w:val="0000FF"/>
          <w:highlight w:val="none"/>
          <w:lang w:val="en-US" w:eastAsia="zh-CN"/>
        </w:rPr>
      </w:pPr>
    </w:p>
    <w:p w14:paraId="3D0BE654">
      <w:pPr>
        <w:rPr>
          <w:rFonts w:hint="eastAsia" w:ascii="Times New Roman" w:hAnsi="Times New Roman" w:cs="Times New Roman"/>
          <w:color w:val="FF0000"/>
          <w:highlight w:val="none"/>
          <w:lang w:val="en-US" w:eastAsia="zh-CN"/>
        </w:rPr>
      </w:pPr>
    </w:p>
    <w:p w14:paraId="08B666BE">
      <w:pPr>
        <w:pStyle w:val="2"/>
        <w:bidi w:val="0"/>
        <w:rPr>
          <w:rFonts w:hint="eastAsia"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65B596B1">
      <w:pPr>
        <w:pStyle w:val="2"/>
        <w:bidi w:val="0"/>
        <w:rPr>
          <w:rFonts w:hint="eastAsia" w:ascii="Times New Roman" w:hAnsi="Times New Roman" w:cs="Times New Roman"/>
          <w:highlight w:val="none"/>
          <w:lang w:val="en-US" w:eastAsia="zh-CN"/>
        </w:rPr>
      </w:pPr>
      <w:bookmarkStart w:id="73" w:name="_Toc5118"/>
      <w:bookmarkStart w:id="74" w:name="_Toc22944"/>
      <w:bookmarkStart w:id="75" w:name="_Toc19295"/>
      <w:bookmarkStart w:id="76" w:name="_Toc7263"/>
      <w:bookmarkStart w:id="77" w:name="_Toc7626"/>
      <w:r>
        <w:rPr>
          <w:rFonts w:hint="eastAsia" w:ascii="Times New Roman" w:hAnsi="Times New Roman" w:cs="Times New Roman"/>
          <w:highlight w:val="none"/>
          <w:lang w:val="en-US" w:eastAsia="zh-CN"/>
        </w:rPr>
        <w:t>6 监测方法及精度要求</w:t>
      </w:r>
      <w:bookmarkEnd w:id="73"/>
      <w:bookmarkEnd w:id="74"/>
      <w:bookmarkEnd w:id="75"/>
      <w:bookmarkEnd w:id="76"/>
      <w:bookmarkEnd w:id="77"/>
    </w:p>
    <w:p w14:paraId="403F9C07">
      <w:pPr>
        <w:pStyle w:val="3"/>
        <w:bidi w:val="0"/>
        <w:rPr>
          <w:rFonts w:hint="eastAsia" w:ascii="Times New Roman" w:hAnsi="Times New Roman" w:cs="Times New Roman"/>
          <w:highlight w:val="none"/>
          <w:lang w:val="en-US" w:eastAsia="zh-CN"/>
        </w:rPr>
      </w:pPr>
      <w:bookmarkStart w:id="78" w:name="_Toc1304"/>
      <w:bookmarkStart w:id="79" w:name="_Toc21333"/>
      <w:bookmarkStart w:id="80" w:name="_Toc19336"/>
      <w:bookmarkStart w:id="81" w:name="_Toc23089"/>
      <w:bookmarkStart w:id="82" w:name="_Toc701"/>
      <w:r>
        <w:rPr>
          <w:rFonts w:hint="eastAsia" w:ascii="Times New Roman" w:hAnsi="Times New Roman" w:cs="Times New Roman"/>
          <w:highlight w:val="none"/>
          <w:lang w:val="en-US" w:eastAsia="zh-CN"/>
        </w:rPr>
        <w:t>6.1 一般规定</w:t>
      </w:r>
      <w:bookmarkEnd w:id="78"/>
      <w:bookmarkEnd w:id="79"/>
      <w:bookmarkEnd w:id="80"/>
      <w:bookmarkEnd w:id="81"/>
      <w:bookmarkEnd w:id="82"/>
    </w:p>
    <w:p w14:paraId="74D0941D">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en-US"/>
        </w:rPr>
        <w:t>6.</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lang w:val="en-US" w:eastAsia="en-US"/>
        </w:rPr>
        <w:t>1.</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lang w:val="en-US" w:eastAsia="en-US"/>
        </w:rPr>
        <w:t>1</w:t>
      </w:r>
      <w:r>
        <w:rPr>
          <w:rFonts w:hint="eastAsia" w:ascii="Times New Roman" w:hAnsi="Times New Roman" w:cs="Times New Roman"/>
          <w:highlight w:val="none"/>
          <w:lang w:val="en-US" w:eastAsia="zh-CN"/>
        </w:rPr>
        <w:t xml:space="preserve">  监测方法的选择应根据边坡类别、设计要求、场地条件、当地经验和方法适用性等因素综合确定，监测方法应合理易行。</w:t>
      </w:r>
    </w:p>
    <w:p w14:paraId="610EF7AA">
      <w:pPr>
        <w:rPr>
          <w:rFonts w:hint="eastAsia" w:ascii="Times New Roman" w:hAnsi="Times New Roman" w:cs="Times New Roman"/>
          <w:color w:val="0000FF"/>
          <w:highlight w:val="none"/>
          <w:lang w:val="en-US" w:eastAsia="zh-CN"/>
        </w:rPr>
      </w:pPr>
    </w:p>
    <w:p w14:paraId="7BA3DEC1">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208951F8">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监测方法的选择应综合考虑各种因素，总体上来说，边坡支护结构类型、场地地质条件、地形条件的差异（高差、通视条件等），是测点和基准网布置以及监测方法的决定性因素。监测方法确定的总体原则是简便易行、有助于适应施工现场条件的变化和施工进度的要求。</w:t>
      </w:r>
    </w:p>
    <w:p w14:paraId="410F3288">
      <w:pPr>
        <w:ind w:firstLine="480" w:firstLineChars="200"/>
        <w:rPr>
          <w:rFonts w:hint="eastAsia" w:ascii="Times New Roman" w:hAnsi="Times New Roman" w:cs="Times New Roman"/>
          <w:color w:val="0000FF"/>
          <w:highlight w:val="none"/>
          <w:lang w:val="en-US" w:eastAsia="zh-CN"/>
        </w:rPr>
      </w:pPr>
    </w:p>
    <w:p w14:paraId="59617604">
      <w:pPr>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6. 1. 2</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仪器监测可采用现场人工监测或自动化监测，也可二者协同使用。</w:t>
      </w:r>
      <w:r>
        <w:rPr>
          <w:rFonts w:ascii="Times New Roman" w:hAnsi="Times New Roman" w:cs="Times New Roman"/>
          <w:color w:val="000000" w:themeColor="text1"/>
          <w:sz w:val="24"/>
          <w:highlight w:val="none"/>
          <w14:textFill>
            <w14:solidFill>
              <w14:schemeClr w14:val="tx1"/>
            </w14:solidFill>
          </w14:textFill>
        </w:rPr>
        <w:t>当符合</w:t>
      </w:r>
      <w:r>
        <w:rPr>
          <w:rFonts w:hint="eastAsia" w:ascii="Times New Roman" w:hAnsi="Times New Roman" w:cs="Times New Roman"/>
          <w:color w:val="000000" w:themeColor="text1"/>
          <w:sz w:val="24"/>
          <w:highlight w:val="none"/>
          <w14:textFill>
            <w14:solidFill>
              <w14:schemeClr w14:val="tx1"/>
            </w14:solidFill>
          </w14:textFill>
        </w:rPr>
        <w:t>3.0.6条</w:t>
      </w:r>
      <w:r>
        <w:rPr>
          <w:rFonts w:ascii="Times New Roman" w:hAnsi="Times New Roman" w:cs="Times New Roman"/>
          <w:color w:val="000000" w:themeColor="text1"/>
          <w:sz w:val="24"/>
          <w:highlight w:val="none"/>
          <w14:textFill>
            <w14:solidFill>
              <w14:schemeClr w14:val="tx1"/>
            </w14:solidFill>
          </w14:textFill>
        </w:rPr>
        <w:t>情况之一时，应采用自动化监测</w:t>
      </w:r>
      <w:r>
        <w:rPr>
          <w:rFonts w:hint="eastAsia" w:ascii="Times New Roman" w:hAnsi="Times New Roman" w:cs="Times New Roman"/>
          <w:color w:val="000000" w:themeColor="text1"/>
          <w:sz w:val="24"/>
          <w:highlight w:val="none"/>
          <w:lang w:eastAsia="zh-CN"/>
          <w14:textFill>
            <w14:solidFill>
              <w14:schemeClr w14:val="tx1"/>
            </w14:solidFill>
          </w14:textFill>
        </w:rPr>
        <w:t>。</w:t>
      </w:r>
    </w:p>
    <w:p w14:paraId="2BFAD871">
      <w:pPr>
        <w:rPr>
          <w:rFonts w:hint="eastAsia" w:ascii="Times New Roman" w:hAnsi="Times New Roman" w:cs="Times New Roman"/>
          <w:b/>
          <w:bCs/>
          <w:color w:val="0000FF"/>
          <w:highlight w:val="none"/>
          <w:lang w:val="en-US" w:eastAsia="zh-CN"/>
        </w:rPr>
      </w:pPr>
    </w:p>
    <w:p w14:paraId="196BC8CE">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4078D4E1">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在满足监控精度要求和保证工程安全的前提下，应以减轻劳动强度、提高工作效率降低监测成本为基本出发点，鼓励建筑边坡现场监测的技术进步，对于性能稳定技术成熟且经过工程实践检验的新设备、新技术、新方法。积极推进自动化监测与传统仪器监测的协同作业使用。目前已有关于人工与自动化监测协同应用的研究成果可供参考，有助于从业人员选择最优监测方法</w:t>
      </w:r>
      <w:r>
        <w:rPr>
          <w:rFonts w:hint="eastAsia" w:cs="Times New Roman"/>
          <w:color w:val="0000FF"/>
          <w:highlight w:val="none"/>
          <w:lang w:val="en-US" w:eastAsia="zh-CN"/>
        </w:rPr>
        <w:t>。</w:t>
      </w:r>
    </w:p>
    <w:p w14:paraId="27CF0EE0">
      <w:pPr>
        <w:jc w:val="center"/>
        <w:rPr>
          <w:rFonts w:ascii="Times New Roman" w:hAnsi="Times New Roman" w:cs="Times New Roman"/>
          <w:color w:val="0000FF"/>
          <w:highlight w:val="none"/>
        </w:rPr>
      </w:pPr>
      <w:r>
        <w:rPr>
          <w:rFonts w:ascii="Times New Roman" w:hAnsi="Times New Roman" w:cs="Times New Roman"/>
          <w:color w:val="0000FF"/>
          <w:highlight w:val="none"/>
        </w:rPr>
        <w:object>
          <v:shape id="_x0000_i1025" o:spt="75" type="#_x0000_t75" style="height:207pt;width:271.05pt;" o:ole="t" filled="f" o:preferrelative="t" stroked="f" coordsize="21600,21600">
            <v:path/>
            <v:fill on="f" focussize="0,0"/>
            <v:stroke on="f"/>
            <v:imagedata r:id="rId23" o:title=""/>
            <o:lock v:ext="edit" aspectratio="t"/>
            <w10:wrap type="none"/>
            <w10:anchorlock/>
          </v:shape>
          <o:OLEObject Type="Embed" ProgID="Origin50.Graph" ShapeID="_x0000_i1025" DrawAspect="Content" ObjectID="_1468075725" r:id="rId22">
            <o:LockedField>false</o:LockedField>
          </o:OLEObject>
        </w:object>
      </w:r>
    </w:p>
    <w:p w14:paraId="2A95A453">
      <w:pPr>
        <w:numPr>
          <w:ilvl w:val="0"/>
          <w:numId w:val="0"/>
        </w:numPr>
        <w:jc w:val="center"/>
        <w:rPr>
          <w:rFonts w:hint="default" w:ascii="Times New Roman" w:hAnsi="Times New Roman" w:cs="Times New Roman" w:eastAsiaTheme="minorEastAsia"/>
          <w:highlight w:val="none"/>
          <w:lang w:val="en-US" w:eastAsia="zh-CN"/>
        </w:rPr>
      </w:pPr>
      <w:r>
        <w:rPr>
          <w:rFonts w:hint="eastAsia" w:cs="Times New Roman"/>
          <w:highlight w:val="none"/>
          <w:lang w:val="en-US" w:eastAsia="zh-CN"/>
        </w:rPr>
        <w:t>图6-1 不同模式监测成本示例</w:t>
      </w:r>
    </w:p>
    <w:p w14:paraId="73330C56">
      <w:pPr>
        <w:numPr>
          <w:ilvl w:val="0"/>
          <w:numId w:val="2"/>
        </w:num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三种作业模式的成本随监测工期增长呈现阶段交替的情况有“自动监测&gt;人工监测&gt;协同监测（工期≤12个月时）”和“人工监测&gt;自动监测&gt;协同监测（工期＞12个月时）”两种，该现象主要由设备成本的变更引起。人工成本在人数确定的情况下随工期增长呈线性增加；而设备折旧则在计算中存在年度变更时计算方式变更的情况，会导致设备成本的阶段性变化；又因自动化监测成本主要为设备折旧，从而导致自动化成本的“掉涯式”下降。因此，当监测工期＞12个月时，自动化监测低于人工监测成本，工期短于12个月时则相反。</w:t>
      </w:r>
    </w:p>
    <w:p w14:paraId="7798FEC7">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（2）当前自动化监测的主要问题是应用成本和技术研发与现场应用环境不匹配的问题；</w:t>
      </w:r>
    </w:p>
    <w:p w14:paraId="54CAEB83">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（3）协同监测方法生产成本最低，不受工期影响。该模式避免了人工成本随工期线性过快增长的问题，同时避免设备总价高导致的折旧成本过高的问题。</w:t>
      </w:r>
    </w:p>
    <w:p w14:paraId="51A5BC40">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上述模型计算的假定条件为该项目所有仪器、设备及元件均为一次性购置；并在目前自动化设备稳定性和耐久性不高的前提下，假定自动化设备使用年限为2年。随着自动化设备稳定性、耐久技术、造价及采购模式的优化，自动化监测将逐步取得成本优势。</w:t>
      </w:r>
    </w:p>
    <w:p w14:paraId="66393B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采用协同监测方法时应遵从覆盖性、溯源性、可行性及差异性等原则。</w:t>
      </w:r>
    </w:p>
    <w:p w14:paraId="33BE0C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FF0000"/>
          <w:highlight w:val="none"/>
          <w:lang w:val="en-US" w:eastAsia="zh-CN"/>
        </w:rPr>
      </w:pPr>
    </w:p>
    <w:p w14:paraId="492AB8BF">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en-US"/>
        </w:rPr>
        <w:t>6.</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lang w:val="en-US" w:eastAsia="en-US"/>
        </w:rPr>
        <w:t>1.</w:t>
      </w:r>
      <w:r>
        <w:rPr>
          <w:rFonts w:hint="eastAsia" w:ascii="Times New Roman" w:hAnsi="Times New Roman" w:cs="Times New Roman"/>
          <w:b/>
          <w:bCs/>
          <w:highlight w:val="none"/>
          <w:lang w:val="en-US" w:eastAsia="zh-CN"/>
        </w:rPr>
        <w:t xml:space="preserve"> 3  </w:t>
      </w:r>
      <w:r>
        <w:rPr>
          <w:rFonts w:hint="eastAsia" w:ascii="Times New Roman" w:hAnsi="Times New Roman" w:cs="Times New Roman"/>
          <w:highlight w:val="none"/>
          <w:lang w:val="en-US" w:eastAsia="zh-CN"/>
        </w:rPr>
        <w:t>监测仪器和设备应符合下列要求：</w:t>
      </w:r>
    </w:p>
    <w:p w14:paraId="048DA626">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1  </w:t>
      </w:r>
      <w:r>
        <w:rPr>
          <w:rFonts w:hint="eastAsia" w:ascii="Times New Roman" w:hAnsi="Times New Roman" w:cs="Times New Roman"/>
          <w:highlight w:val="none"/>
          <w:lang w:val="en-US" w:eastAsia="zh-CN"/>
        </w:rPr>
        <w:t>满足观测精度和量程的要求且应具有良好的稳定性和可靠性；</w:t>
      </w:r>
    </w:p>
    <w:p w14:paraId="0FAA6B0B">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2  </w:t>
      </w:r>
      <w:r>
        <w:rPr>
          <w:rFonts w:hint="eastAsia" w:ascii="Times New Roman" w:hAnsi="Times New Roman" w:cs="Times New Roman"/>
          <w:highlight w:val="none"/>
          <w:lang w:val="en-US" w:eastAsia="zh-CN"/>
        </w:rPr>
        <w:t>应经过检校或标定，并应在规定的校准有效期内使用；</w:t>
      </w:r>
    </w:p>
    <w:p w14:paraId="566AF5B6">
      <w:pPr>
        <w:ind w:firstLine="482"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b/>
          <w:bCs/>
          <w:highlight w:val="none"/>
          <w:lang w:val="en-US" w:eastAsia="zh-CN"/>
        </w:rPr>
        <w:t xml:space="preserve">3  </w:t>
      </w:r>
      <w:r>
        <w:rPr>
          <w:rFonts w:hint="eastAsia" w:ascii="Times New Roman" w:hAnsi="Times New Roman" w:cs="Times New Roman"/>
          <w:highlight w:val="none"/>
          <w:lang w:val="en-US" w:eastAsia="zh-CN"/>
        </w:rPr>
        <w:t>监测过程中应定期进行监测仪器、设备的维护保养、检校以</w:t>
      </w:r>
      <w:r>
        <w:rPr>
          <w:rFonts w:hint="eastAsia" w:ascii="Times New Roman" w:hAnsi="Times New Roman" w:cs="Times New Roman"/>
          <w:color w:val="auto"/>
          <w:highlight w:val="none"/>
          <w:lang w:val="en-US" w:eastAsia="zh-CN"/>
        </w:rPr>
        <w:t>及监测元件的检查。</w:t>
      </w:r>
    </w:p>
    <w:p w14:paraId="60B57BB8">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2850EFC9">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仪器设备的精度、量程应满足观测要求且必须经过校准或标定或执行期间定期维保、期间核查等程序，保证仪器在投入使用前的状态良好。</w:t>
      </w:r>
    </w:p>
    <w:p w14:paraId="1AA3D326">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en-US"/>
        </w:rPr>
        <w:t>6. 1.</w:t>
      </w:r>
      <w:r>
        <w:rPr>
          <w:rFonts w:hint="eastAsia" w:ascii="Times New Roman" w:hAnsi="Times New Roman" w:cs="Times New Roman"/>
          <w:b/>
          <w:bCs/>
          <w:highlight w:val="none"/>
          <w:lang w:val="en-US" w:eastAsia="zh-CN"/>
        </w:rPr>
        <w:t xml:space="preserve"> 4  </w:t>
      </w:r>
      <w:r>
        <w:rPr>
          <w:rFonts w:hint="eastAsia" w:ascii="Times New Roman" w:hAnsi="Times New Roman" w:cs="Times New Roman"/>
          <w:highlight w:val="none"/>
          <w:lang w:val="en-US" w:eastAsia="zh-CN"/>
        </w:rPr>
        <w:t>对同一监测项目，监测时宜符</w:t>
      </w:r>
      <w:r>
        <w:rPr>
          <w:rFonts w:hint="eastAsia" w:ascii="Times New Roman" w:hAnsi="Times New Roman" w:cs="Times New Roman"/>
          <w:highlight w:val="none"/>
          <w:lang w:val="zh-CN" w:eastAsia="zh-CN"/>
        </w:rPr>
        <w:t>合下列</w:t>
      </w:r>
      <w:r>
        <w:rPr>
          <w:rFonts w:hint="eastAsia" w:ascii="Times New Roman" w:hAnsi="Times New Roman" w:cs="Times New Roman"/>
          <w:highlight w:val="none"/>
          <w:lang w:val="en-US" w:eastAsia="zh-CN"/>
        </w:rPr>
        <w:t>要求：</w:t>
      </w:r>
    </w:p>
    <w:p w14:paraId="09A7E7A3">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1  </w:t>
      </w:r>
      <w:r>
        <w:rPr>
          <w:rFonts w:hint="eastAsia" w:ascii="Times New Roman" w:hAnsi="Times New Roman" w:cs="Times New Roman"/>
          <w:highlight w:val="none"/>
          <w:lang w:val="en-US" w:eastAsia="zh-CN"/>
        </w:rPr>
        <w:t>采用相同的观测方法和观测路线；</w:t>
      </w:r>
    </w:p>
    <w:p w14:paraId="12124044">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2  </w:t>
      </w:r>
      <w:r>
        <w:rPr>
          <w:rFonts w:hint="eastAsia" w:ascii="Times New Roman" w:hAnsi="Times New Roman" w:cs="Times New Roman"/>
          <w:highlight w:val="none"/>
          <w:lang w:val="en-US" w:eastAsia="zh-CN"/>
        </w:rPr>
        <w:t>使用同一监测仪器和设备；</w:t>
      </w:r>
    </w:p>
    <w:p w14:paraId="5A85B699">
      <w:pPr>
        <w:ind w:firstLine="482" w:firstLineChars="200"/>
        <w:rPr>
          <w:rFonts w:hint="eastAsia" w:ascii="Times New Roman" w:hAnsi="Times New Roman" w:cs="Times New Roman"/>
          <w:b/>
          <w:bCs/>
          <w:highlight w:val="none"/>
          <w:lang w:val="en-US" w:eastAsia="en-US"/>
        </w:rPr>
      </w:pPr>
      <w:r>
        <w:rPr>
          <w:rFonts w:hint="eastAsia" w:ascii="Times New Roman" w:hAnsi="Times New Roman" w:cs="Times New Roman"/>
          <w:b/>
          <w:bCs/>
          <w:highlight w:val="none"/>
          <w:lang w:val="en-US" w:eastAsia="zh-CN"/>
        </w:rPr>
        <w:t xml:space="preserve">3  </w:t>
      </w:r>
      <w:r>
        <w:rPr>
          <w:rFonts w:hint="eastAsia" w:ascii="Times New Roman" w:hAnsi="Times New Roman" w:cs="Times New Roman"/>
          <w:highlight w:val="none"/>
          <w:lang w:val="en-US" w:eastAsia="zh-CN"/>
        </w:rPr>
        <w:t>固定观测人员。</w:t>
      </w:r>
    </w:p>
    <w:p w14:paraId="0883CD4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cs="Times New Roman"/>
          <w:color w:val="0000FF"/>
          <w:highlight w:val="none"/>
          <w:lang w:val="en-US" w:eastAsia="zh-CN"/>
        </w:rPr>
      </w:pPr>
    </w:p>
    <w:p w14:paraId="0D341EB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202C40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工程测量活动中的误差来源主要分为系统误差和偶然性误差：</w:t>
      </w:r>
    </w:p>
    <w:p w14:paraId="321FD29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1 </w:t>
      </w:r>
      <w:r>
        <w:rPr>
          <w:rFonts w:hint="eastAsia" w:ascii="Times New Roman" w:hAnsi="Times New Roman" w:cs="Times New Roman"/>
          <w:color w:val="0000FF"/>
          <w:highlight w:val="none"/>
          <w:lang w:val="en-US" w:eastAsia="zh-CN"/>
        </w:rPr>
        <w:t>系统误差是观测活动的主要误差来源，主要来源于几个方面：</w:t>
      </w:r>
    </w:p>
    <w:p w14:paraId="7B2B554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default" w:ascii="Times New Roman" w:hAnsi="Times New Roman" w:cs="Times New Roman" w:eastAsiaTheme="minorEastAsia"/>
          <w:color w:val="0000FF"/>
          <w:kern w:val="2"/>
          <w:sz w:val="24"/>
          <w:szCs w:val="24"/>
          <w:highlight w:val="none"/>
          <w:lang w:val="en-US" w:eastAsia="zh-CN" w:bidi="ar-SA"/>
        </w:rPr>
        <w:t>1）</w:t>
      </w:r>
      <w:r>
        <w:rPr>
          <w:rFonts w:hint="eastAsia" w:ascii="Times New Roman" w:hAnsi="Times New Roman" w:cs="Times New Roman"/>
          <w:color w:val="0000FF"/>
          <w:highlight w:val="none"/>
          <w:lang w:val="en-US" w:eastAsia="zh-CN"/>
        </w:rPr>
        <w:t>仪器误差：是由于仪器本身的缺陷或没有按规定条件使用仪器而造成的。如仪器的零点不准，仪器未调整好，外界环境（光线、温度、湿度、电磁场等）对</w:t>
      </w:r>
      <w:r>
        <w:rPr>
          <w:rFonts w:hint="default" w:ascii="Times New Roman" w:hAnsi="Times New Roman" w:cs="Times New Roman"/>
          <w:color w:val="0000FF"/>
          <w:highlight w:val="none"/>
          <w:lang w:val="en-US" w:eastAsia="zh-CN"/>
        </w:rPr>
        <w:fldChar w:fldCharType="begin"/>
      </w:r>
      <w:r>
        <w:rPr>
          <w:rFonts w:hint="default" w:ascii="Times New Roman" w:hAnsi="Times New Roman" w:cs="Times New Roman"/>
          <w:color w:val="0000FF"/>
          <w:highlight w:val="none"/>
          <w:lang w:val="en-US" w:eastAsia="zh-CN"/>
        </w:rPr>
        <w:instrText xml:space="preserve"> HYPERLINK "https://baike.so.com/doc/6063876-6276935.html" \t "https://baike.so.com/doc/_blank" </w:instrText>
      </w:r>
      <w:r>
        <w:rPr>
          <w:rFonts w:hint="default" w:ascii="Times New Roman" w:hAnsi="Times New Roman" w:cs="Times New Roman"/>
          <w:color w:val="0000FF"/>
          <w:highlight w:val="none"/>
          <w:lang w:val="en-US" w:eastAsia="zh-CN"/>
        </w:rPr>
        <w:fldChar w:fldCharType="separate"/>
      </w:r>
      <w:r>
        <w:rPr>
          <w:rFonts w:hint="default" w:ascii="Times New Roman" w:hAnsi="Times New Roman" w:cs="Times New Roman"/>
          <w:color w:val="0000FF"/>
          <w:highlight w:val="none"/>
          <w:lang w:val="en-US" w:eastAsia="zh-CN"/>
        </w:rPr>
        <w:t>测量仪器</w:t>
      </w:r>
      <w:r>
        <w:rPr>
          <w:rFonts w:hint="default" w:ascii="Times New Roman" w:hAnsi="Times New Roman" w:cs="Times New Roman"/>
          <w:color w:val="0000FF"/>
          <w:highlight w:val="none"/>
          <w:lang w:val="en-US" w:eastAsia="zh-CN"/>
        </w:rPr>
        <w:fldChar w:fldCharType="end"/>
      </w:r>
      <w:r>
        <w:rPr>
          <w:rFonts w:hint="default" w:ascii="Times New Roman" w:hAnsi="Times New Roman" w:cs="Times New Roman"/>
          <w:color w:val="0000FF"/>
          <w:highlight w:val="none"/>
          <w:lang w:val="en-US" w:eastAsia="zh-CN"/>
        </w:rPr>
        <w:t>的影响等所产生的误差。</w:t>
      </w:r>
    </w:p>
    <w:p w14:paraId="66F7786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eastAsiaTheme="minorEastAsia"/>
          <w:color w:val="0000FF"/>
          <w:kern w:val="2"/>
          <w:sz w:val="24"/>
          <w:szCs w:val="24"/>
          <w:highlight w:val="none"/>
          <w:lang w:val="en-US" w:eastAsia="zh-CN" w:bidi="ar-SA"/>
        </w:rPr>
        <w:t>2）</w:t>
      </w:r>
      <w:r>
        <w:rPr>
          <w:rFonts w:hint="eastAsia" w:ascii="Times New Roman" w:hAnsi="Times New Roman" w:cs="Times New Roman"/>
          <w:color w:val="0000FF"/>
          <w:highlight w:val="none"/>
          <w:lang w:val="en-US" w:eastAsia="zh-CN"/>
        </w:rPr>
        <w:t>理论误差（方法误差）：这是由于测量所依据的理论公式本身的近似性，或实验条件不能达到理论公式所规定的要求，或者是实验方法本身不完善所带来的误差。例如热学实验中没有考虑散热所导致的热量损失，伏安法测电阻时没有考虑电表内阻对实验结果的影响等。</w:t>
      </w:r>
    </w:p>
    <w:p w14:paraId="402996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eastAsiaTheme="minorEastAsia"/>
          <w:color w:val="0000FF"/>
          <w:kern w:val="2"/>
          <w:sz w:val="24"/>
          <w:szCs w:val="24"/>
          <w:highlight w:val="none"/>
          <w:lang w:val="en-US" w:eastAsia="zh-CN" w:bidi="ar-SA"/>
        </w:rPr>
        <w:t>3）</w:t>
      </w:r>
      <w:r>
        <w:rPr>
          <w:rFonts w:hint="eastAsia" w:ascii="Times New Roman" w:hAnsi="Times New Roman" w:cs="Times New Roman"/>
          <w:color w:val="0000FF"/>
          <w:highlight w:val="none"/>
          <w:lang w:val="en-US" w:eastAsia="zh-CN"/>
        </w:rPr>
        <w:t>人员误差：这是由于观测者个人感官和运动器官的反应或习惯不同而产生的误差，它因人而异，并与观测者当时的精神状态有关。</w:t>
      </w:r>
    </w:p>
    <w:p w14:paraId="000C2F8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在监测工作前，周期观测时固定观测仪器、观测人员、观测路线，可在根源上消除系统误差。</w:t>
      </w:r>
    </w:p>
    <w:p w14:paraId="27030E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2 </w:t>
      </w:r>
      <w:r>
        <w:rPr>
          <w:rFonts w:hint="eastAsia" w:ascii="Times New Roman" w:hAnsi="Times New Roman" w:cs="Times New Roman"/>
          <w:color w:val="0000FF"/>
          <w:highlight w:val="none"/>
          <w:lang w:val="en-US" w:eastAsia="zh-CN"/>
        </w:rPr>
        <w:t>偶然误差也是观测活动中不可忽视的误差来源，其产生的原因是分析过程中种种不稳定随机因素的影响，如室温、相对湿度和气压等环境条件的不稳定。偶然误差不可消除，但它具有如下四个特性：</w:t>
      </w:r>
    </w:p>
    <w:p w14:paraId="42AA2B4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eastAsiaTheme="minorEastAsia"/>
          <w:color w:val="0000FF"/>
          <w:kern w:val="2"/>
          <w:sz w:val="24"/>
          <w:szCs w:val="24"/>
          <w:highlight w:val="none"/>
          <w:lang w:val="en-US" w:eastAsia="zh-CN" w:bidi="ar-SA"/>
        </w:rPr>
        <w:t>1）</w:t>
      </w:r>
      <w:r>
        <w:rPr>
          <w:rFonts w:hint="eastAsia" w:ascii="Times New Roman" w:hAnsi="Times New Roman" w:cs="Times New Roman"/>
          <w:color w:val="0000FF"/>
          <w:highlight w:val="none"/>
          <w:lang w:val="en-US" w:eastAsia="zh-CN"/>
        </w:rPr>
        <w:t>有限性：在一定的观测条件下，偶然误差的绝对值不会超过一定的限值；</w:t>
      </w:r>
    </w:p>
    <w:p w14:paraId="0EB91FC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eastAsiaTheme="minorEastAsia"/>
          <w:color w:val="0000FF"/>
          <w:kern w:val="2"/>
          <w:sz w:val="24"/>
          <w:szCs w:val="24"/>
          <w:highlight w:val="none"/>
          <w:lang w:val="en-US" w:eastAsia="zh-CN" w:bidi="ar-SA"/>
        </w:rPr>
        <w:t>2）</w:t>
      </w:r>
      <w:r>
        <w:rPr>
          <w:rFonts w:hint="eastAsia" w:ascii="Times New Roman" w:hAnsi="Times New Roman" w:cs="Times New Roman"/>
          <w:color w:val="0000FF"/>
          <w:highlight w:val="none"/>
          <w:lang w:val="en-US" w:eastAsia="zh-CN"/>
        </w:rPr>
        <w:t>集中性：即绝对值较小的误差比绝对值较大的误差出现的概率大；</w:t>
      </w:r>
    </w:p>
    <w:p w14:paraId="4239EBA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eastAsiaTheme="minorEastAsia"/>
          <w:color w:val="0000FF"/>
          <w:kern w:val="2"/>
          <w:sz w:val="24"/>
          <w:szCs w:val="24"/>
          <w:highlight w:val="none"/>
          <w:lang w:val="en-US" w:eastAsia="zh-CN" w:bidi="ar-SA"/>
        </w:rPr>
        <w:t>3）</w:t>
      </w:r>
      <w:r>
        <w:rPr>
          <w:rFonts w:hint="eastAsia" w:ascii="Times New Roman" w:hAnsi="Times New Roman" w:cs="Times New Roman"/>
          <w:color w:val="0000FF"/>
          <w:highlight w:val="none"/>
          <w:lang w:val="en-US" w:eastAsia="zh-CN"/>
        </w:rPr>
        <w:t>对称性：绝对值相等的正误差和负误差出现的概率相同；</w:t>
      </w:r>
    </w:p>
    <w:p w14:paraId="0F6A4C0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eastAsiaTheme="minorEastAsia"/>
          <w:color w:val="0000FF"/>
          <w:kern w:val="2"/>
          <w:sz w:val="24"/>
          <w:szCs w:val="24"/>
          <w:highlight w:val="none"/>
          <w:lang w:val="en-US" w:eastAsia="zh-CN" w:bidi="ar-SA"/>
        </w:rPr>
        <w:t>4）</w:t>
      </w:r>
      <w:r>
        <w:rPr>
          <w:rFonts w:hint="eastAsia" w:ascii="Times New Roman" w:hAnsi="Times New Roman" w:cs="Times New Roman"/>
          <w:color w:val="0000FF"/>
          <w:highlight w:val="none"/>
          <w:lang w:val="en-US" w:eastAsia="zh-CN"/>
        </w:rPr>
        <w:t>抵偿性：当观测次数无限增多时，偶然误差的算术平均值趋近于零。</w:t>
      </w:r>
    </w:p>
    <w:p w14:paraId="079D63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b/>
          <w:bCs/>
          <w:highlight w:val="none"/>
          <w:lang w:val="en-US" w:eastAsia="en-US"/>
        </w:rPr>
      </w:pPr>
      <w:r>
        <w:rPr>
          <w:rFonts w:hint="eastAsia" w:ascii="Times New Roman" w:hAnsi="Times New Roman" w:cs="Times New Roman"/>
          <w:color w:val="0000FF"/>
          <w:highlight w:val="none"/>
          <w:lang w:val="en-US" w:eastAsia="zh-CN"/>
        </w:rPr>
        <w:t>因此，观测条件相对固定时，并对某一观测量进行多次观测，可有效降低偶然误差的影响。</w:t>
      </w:r>
    </w:p>
    <w:p w14:paraId="51B40F24">
      <w:pP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en-US"/>
        </w:rPr>
        <w:t>6.</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lang w:val="en-US" w:eastAsia="en-US"/>
        </w:rPr>
        <w:t>1.</w:t>
      </w:r>
      <w:r>
        <w:rPr>
          <w:rFonts w:hint="eastAsia" w:ascii="Times New Roman" w:hAnsi="Times New Roman" w:cs="Times New Roman"/>
          <w:b/>
          <w:bCs/>
          <w:highlight w:val="none"/>
          <w:lang w:val="en-US" w:eastAsia="zh-CN"/>
        </w:rPr>
        <w:t xml:space="preserve"> 5  </w:t>
      </w:r>
      <w:r>
        <w:rPr>
          <w:rFonts w:hint="eastAsia" w:ascii="Times New Roman" w:hAnsi="Times New Roman" w:cs="Times New Roman"/>
          <w:b w:val="0"/>
          <w:bCs w:val="0"/>
          <w:highlight w:val="none"/>
          <w:lang w:val="en-US" w:eastAsia="zh-CN"/>
        </w:rPr>
        <w:t>各监测项目的初始值采集应及时、方法正确，并符合下列要求：</w:t>
      </w:r>
    </w:p>
    <w:p w14:paraId="059DFD11">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b w:val="0"/>
          <w:bCs w:val="0"/>
          <w:highlight w:val="none"/>
          <w:lang w:val="en-US" w:eastAsia="zh-CN"/>
        </w:rPr>
        <w:t xml:space="preserve">  沉降、位移监测应取连续 3次获得的稳定测试数据的平均值作为初始值；</w:t>
      </w:r>
    </w:p>
    <w:p w14:paraId="0238C146">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b w:val="0"/>
          <w:bCs w:val="0"/>
          <w:highlight w:val="none"/>
          <w:lang w:val="en-US" w:eastAsia="zh-CN"/>
        </w:rPr>
        <w:t xml:space="preserve">  支护结构应力监测宜取下一工序实施前连续 3d 获得的稳定测试数据的平均值作为初始值；</w:t>
      </w:r>
    </w:p>
    <w:p w14:paraId="1F982DF7">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b w:val="0"/>
          <w:bCs w:val="0"/>
          <w:highlight w:val="none"/>
          <w:lang w:val="en-US" w:eastAsia="zh-CN"/>
        </w:rPr>
        <w:t xml:space="preserve">  </w:t>
      </w:r>
      <w:r>
        <w:rPr>
          <w:rFonts w:hint="eastAsia" w:ascii="Times New Roman" w:hAnsi="Times New Roman" w:eastAsia="宋体" w:cs="Times New Roman"/>
          <w:color w:val="000000"/>
          <w:kern w:val="0"/>
          <w:sz w:val="24"/>
          <w:szCs w:val="24"/>
          <w:highlight w:val="none"/>
          <w:lang w:val="en-US" w:eastAsia="zh-CN" w:bidi="ar"/>
        </w:rPr>
        <w:t>挖方</w:t>
      </w:r>
      <w:r>
        <w:rPr>
          <w:rFonts w:hint="eastAsia" w:ascii="Times New Roman" w:hAnsi="Times New Roman" w:cs="Times New Roman"/>
          <w:color w:val="000000"/>
          <w:kern w:val="0"/>
          <w:sz w:val="24"/>
          <w:szCs w:val="24"/>
          <w:highlight w:val="none"/>
          <w:lang w:val="en-US" w:eastAsia="zh-CN" w:bidi="ar"/>
        </w:rPr>
        <w:t>、填方</w:t>
      </w:r>
      <w:r>
        <w:rPr>
          <w:rFonts w:hint="eastAsia" w:ascii="Times New Roman" w:hAnsi="Times New Roman" w:eastAsia="宋体" w:cs="Times New Roman"/>
          <w:color w:val="000000"/>
          <w:kern w:val="0"/>
          <w:sz w:val="24"/>
          <w:szCs w:val="24"/>
          <w:highlight w:val="none"/>
          <w:lang w:val="en-US" w:eastAsia="zh-CN" w:bidi="ar"/>
        </w:rPr>
        <w:t xml:space="preserve">边坡测斜管应在边坡施工一周前埋设，取施工前连续 </w:t>
      </w:r>
      <w:r>
        <w:rPr>
          <w:rFonts w:hint="default" w:ascii="Times New Roman" w:hAnsi="Times New Roman" w:eastAsia="宋体" w:cs="Times New Roman"/>
          <w:color w:val="000000"/>
          <w:kern w:val="0"/>
          <w:sz w:val="24"/>
          <w:szCs w:val="24"/>
          <w:highlight w:val="none"/>
          <w:lang w:val="en-US" w:eastAsia="zh-CN" w:bidi="ar"/>
        </w:rPr>
        <w:t xml:space="preserve">3d </w:t>
      </w:r>
      <w:r>
        <w:rPr>
          <w:rFonts w:hint="eastAsia" w:ascii="Times New Roman" w:hAnsi="Times New Roman" w:eastAsia="宋体" w:cs="Times New Roman"/>
          <w:color w:val="000000"/>
          <w:kern w:val="0"/>
          <w:sz w:val="24"/>
          <w:szCs w:val="24"/>
          <w:highlight w:val="none"/>
          <w:lang w:val="en-US" w:eastAsia="zh-CN" w:bidi="ar"/>
        </w:rPr>
        <w:t>获得的稳定测试数据的平均值作为初始值。填方边坡</w:t>
      </w:r>
      <w:r>
        <w:rPr>
          <w:rFonts w:hint="eastAsia" w:ascii="Times New Roman" w:hAnsi="Times New Roman" w:cs="Times New Roman"/>
          <w:color w:val="000000"/>
          <w:kern w:val="0"/>
          <w:sz w:val="24"/>
          <w:szCs w:val="24"/>
          <w:highlight w:val="none"/>
          <w:lang w:val="en-US" w:eastAsia="zh-CN" w:bidi="ar"/>
        </w:rPr>
        <w:t>应随</w:t>
      </w:r>
      <w:r>
        <w:rPr>
          <w:rFonts w:hint="eastAsia" w:ascii="Times New Roman" w:hAnsi="Times New Roman" w:eastAsia="宋体" w:cs="Times New Roman"/>
          <w:color w:val="000000"/>
          <w:kern w:val="0"/>
          <w:sz w:val="24"/>
          <w:szCs w:val="24"/>
          <w:highlight w:val="none"/>
          <w:lang w:val="en-US" w:eastAsia="zh-CN" w:bidi="ar"/>
        </w:rPr>
        <w:t>在施工</w:t>
      </w:r>
      <w:r>
        <w:rPr>
          <w:rFonts w:hint="eastAsia" w:ascii="Times New Roman" w:hAnsi="Times New Roman" w:cs="Times New Roman"/>
          <w:color w:val="000000"/>
          <w:kern w:val="0"/>
          <w:sz w:val="24"/>
          <w:szCs w:val="24"/>
          <w:highlight w:val="none"/>
          <w:lang w:val="en-US" w:eastAsia="zh-CN" w:bidi="ar"/>
        </w:rPr>
        <w:t>进度加高测斜管，测管加长前后宜重新测量，按高程累加前期变化量；</w:t>
      </w:r>
    </w:p>
    <w:p w14:paraId="280B49CE">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 xml:space="preserve">4 </w:t>
      </w:r>
      <w:r>
        <w:rPr>
          <w:rFonts w:hint="eastAsia" w:ascii="Times New Roman" w:hAnsi="Times New Roman" w:cs="Times New Roman"/>
          <w:b w:val="0"/>
          <w:bCs w:val="0"/>
          <w:highlight w:val="none"/>
          <w:lang w:val="en-US" w:eastAsia="zh-CN"/>
        </w:rPr>
        <w:t xml:space="preserve"> 地下水位监测宜在施工开始前至少1周埋设，并逐日连续观测水位取得稳定初始值；</w:t>
      </w:r>
    </w:p>
    <w:p w14:paraId="2F970866">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 xml:space="preserve">5 </w:t>
      </w:r>
      <w:r>
        <w:rPr>
          <w:rFonts w:hint="eastAsia" w:ascii="Times New Roman" w:hAnsi="Times New Roman" w:cs="Times New Roman"/>
          <w:b w:val="0"/>
          <w:bCs w:val="0"/>
          <w:highlight w:val="none"/>
          <w:lang w:val="en-US" w:eastAsia="zh-CN"/>
        </w:rPr>
        <w:t xml:space="preserve"> 锚杆（索）施工完成后应对轴力计、应力计或应变计进行检查测试，并取下一层土方开挖前连续 2d 获得的稳定测试数据的平均值作为其初始值；</w:t>
      </w:r>
    </w:p>
    <w:p w14:paraId="3473CA9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b/>
          <w:bCs/>
          <w:highlight w:val="none"/>
          <w:lang w:val="en-US" w:eastAsia="en-US"/>
        </w:rPr>
      </w:pPr>
      <w:r>
        <w:rPr>
          <w:rFonts w:hint="eastAsia" w:ascii="Times New Roman" w:hAnsi="Times New Roman" w:cs="Times New Roman"/>
          <w:b/>
          <w:bCs/>
          <w:highlight w:val="none"/>
          <w:lang w:val="en-US" w:eastAsia="zh-CN"/>
        </w:rPr>
        <w:t xml:space="preserve">6 </w:t>
      </w:r>
      <w:r>
        <w:rPr>
          <w:rFonts w:hint="eastAsia" w:ascii="Times New Roman" w:hAnsi="Times New Roman" w:cs="Times New Roman"/>
          <w:b w:val="0"/>
          <w:bCs w:val="0"/>
          <w:highlight w:val="none"/>
          <w:lang w:val="en-US" w:eastAsia="zh-CN"/>
        </w:rPr>
        <w:t xml:space="preserve"> 裂缝监测应在施工开始前测定其分布、数量，选取有代表性裂缝设置观测标志。</w:t>
      </w:r>
    </w:p>
    <w:p w14:paraId="141D9DB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 xml:space="preserve"> </w:t>
      </w:r>
    </w:p>
    <w:p w14:paraId="510C7B1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5B19FCBC">
      <w:pPr>
        <w:ind w:firstLine="480" w:firstLineChars="200"/>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边坡施工是对原状环境的较大扰动，前期的大型机械进场、表土清理工作等均会对原状土产生振动干扰，破坏原状土初始状态。因此测斜管应在边坡施工前至少1周埋设，保证取得初始值稳定可靠。</w:t>
      </w:r>
    </w:p>
    <w:p w14:paraId="495F5A67">
      <w:pPr>
        <w:ind w:firstLine="480" w:firstLineChars="200"/>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在建筑边坡监测中，可通过在土体钻孔的方式埋设测斜管，测斜管与钻孔之间的空隙应填充密实。对于填方边坡，在堆填工作中不具备埋设条件且更关注施工完成后的运营期的安全状态，故应在施工完成后埋设。</w:t>
      </w:r>
    </w:p>
    <w:p w14:paraId="31D607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结合建筑边坡监测的概念可知，为及时掌握边坡及周边环境的安全状况、变化特征及其发展趋势实施的周期性工作。我们日常监测值与初始值的差值为其累计变化量，本次与前次测得之值的差值为其本次变化量；累计变化量和本次变化量是我们监测成果的基础数据。因此，监测项目初始值的取得是个科学、严肃的过程。</w:t>
      </w:r>
    </w:p>
    <w:p w14:paraId="20D755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en-US"/>
        </w:rPr>
      </w:pPr>
      <w:r>
        <w:rPr>
          <w:rFonts w:hint="eastAsia" w:ascii="Times New Roman" w:hAnsi="Times New Roman" w:cs="Times New Roman"/>
          <w:color w:val="0000FF"/>
          <w:highlight w:val="none"/>
          <w:lang w:val="en-US" w:eastAsia="zh-CN"/>
        </w:rPr>
        <w:t>对于不同监测项目，及时采集初始值是基本要求。但取得初始值的方法各有不同，条文明确规定了各监测项目的初始值采集方案，应遵照执行。</w:t>
      </w:r>
    </w:p>
    <w:p w14:paraId="6841C1B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条文说明：</w:t>
      </w:r>
    </w:p>
    <w:p w14:paraId="39E6E0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color w:val="0000FF"/>
          <w:highlight w:val="none"/>
          <w:lang w:val="en-US" w:eastAsia="zh-CN"/>
        </w:rPr>
        <w:t>监测工作是为了掌握建筑边坡施工及运营过程的各项技术参数的安全状态，而本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给出了可供参考的监测方法，但并不是唯一，其他标准中可满足建筑边坡观测技术要求的防范，均可应用到建筑边坡监测中。</w:t>
      </w:r>
    </w:p>
    <w:p w14:paraId="421659AC">
      <w:pPr>
        <w:numPr>
          <w:ilvl w:val="0"/>
          <w:numId w:val="0"/>
        </w:num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6.1.6 </w:t>
      </w:r>
      <w:r>
        <w:rPr>
          <w:rFonts w:hint="eastAsia" w:ascii="Times New Roman" w:hAnsi="Times New Roman" w:cs="Times New Roman"/>
          <w:highlight w:val="none"/>
          <w:lang w:val="en-US" w:eastAsia="zh-CN"/>
        </w:rPr>
        <w:t xml:space="preserve"> 除使用本</w:t>
      </w:r>
      <w:r>
        <w:rPr>
          <w:rFonts w:hint="eastAsia" w:cs="Times New Roman"/>
          <w:highlight w:val="none"/>
          <w:lang w:val="en-US" w:eastAsia="zh-CN"/>
        </w:rPr>
        <w:t>标准</w:t>
      </w:r>
      <w:r>
        <w:rPr>
          <w:rFonts w:hint="eastAsia" w:ascii="Times New Roman" w:hAnsi="Times New Roman" w:cs="Times New Roman"/>
          <w:highlight w:val="none"/>
          <w:lang w:val="en-US" w:eastAsia="zh-CN"/>
        </w:rPr>
        <w:t>规定的监测方法外，亦可采用摄影测量、遥感等可达到本</w:t>
      </w:r>
      <w:r>
        <w:rPr>
          <w:rFonts w:hint="eastAsia" w:cs="Times New Roman"/>
          <w:highlight w:val="none"/>
          <w:lang w:val="en-US" w:eastAsia="zh-CN"/>
        </w:rPr>
        <w:t>标准</w:t>
      </w:r>
      <w:r>
        <w:rPr>
          <w:rFonts w:hint="eastAsia" w:ascii="Times New Roman" w:hAnsi="Times New Roman" w:cs="Times New Roman"/>
          <w:highlight w:val="none"/>
          <w:lang w:val="en-US" w:eastAsia="zh-CN"/>
        </w:rPr>
        <w:t>规定精度要求的其他方法。</w:t>
      </w:r>
    </w:p>
    <w:p w14:paraId="4A8484D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6.1.7  </w:t>
      </w:r>
      <w:r>
        <w:rPr>
          <w:rFonts w:hint="eastAsia" w:ascii="Times New Roman" w:hAnsi="Times New Roman" w:cs="Times New Roman"/>
          <w:highlight w:val="none"/>
          <w:lang w:val="en-US" w:eastAsia="zh-CN"/>
        </w:rPr>
        <w:t>若涉及高处作业时，应符合《建筑施工高处作业安全技术规范》</w:t>
      </w:r>
      <w:r>
        <w:rPr>
          <w:rFonts w:hint="eastAsia" w:cs="Times New Roman"/>
          <w:highlight w:val="none"/>
          <w:lang w:val="en-US" w:eastAsia="zh-CN"/>
        </w:rPr>
        <w:t xml:space="preserve"> </w:t>
      </w:r>
      <w:r>
        <w:rPr>
          <w:rFonts w:hint="eastAsia" w:ascii="Times New Roman" w:hAnsi="Times New Roman" w:cs="Times New Roman"/>
          <w:highlight w:val="none"/>
          <w:lang w:val="en-US" w:eastAsia="zh-CN"/>
        </w:rPr>
        <w:t>JGJ 80相关要求。</w:t>
      </w:r>
    </w:p>
    <w:p w14:paraId="7B7ED816">
      <w:pPr>
        <w:pStyle w:val="3"/>
        <w:bidi w:val="0"/>
        <w:rPr>
          <w:rFonts w:hint="default" w:ascii="Times New Roman" w:hAnsi="Times New Roman" w:cs="Times New Roman"/>
          <w:highlight w:val="none"/>
          <w:lang w:val="en-US" w:eastAsia="zh-CN"/>
        </w:rPr>
      </w:pPr>
      <w:bookmarkStart w:id="83" w:name="_Toc14753"/>
      <w:bookmarkStart w:id="84" w:name="_Toc19565"/>
      <w:bookmarkStart w:id="85" w:name="_Toc19611"/>
      <w:bookmarkStart w:id="86" w:name="_Toc14171"/>
      <w:bookmarkStart w:id="87" w:name="_Toc15151"/>
      <w:r>
        <w:rPr>
          <w:rFonts w:hint="eastAsia" w:ascii="Times New Roman" w:hAnsi="Times New Roman" w:cs="Times New Roman"/>
          <w:highlight w:val="none"/>
          <w:lang w:val="en-US" w:eastAsia="zh-CN"/>
        </w:rPr>
        <w:t>6.2 人工监测</w:t>
      </w:r>
      <w:bookmarkEnd w:id="83"/>
      <w:bookmarkEnd w:id="84"/>
      <w:bookmarkEnd w:id="85"/>
      <w:bookmarkEnd w:id="86"/>
      <w:bookmarkEnd w:id="87"/>
    </w:p>
    <w:p w14:paraId="771FD040">
      <w:pPr>
        <w:jc w:val="cente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Ⅰ水平位移监测</w:t>
      </w:r>
    </w:p>
    <w:p w14:paraId="084CCD2D">
      <w:pPr>
        <w:rPr>
          <w:rFonts w:hint="eastAsia" w:ascii="Times New Roman" w:hAnsi="Times New Roman" w:cs="Times New Roman"/>
          <w:b/>
          <w:bCs/>
          <w:highlight w:val="none"/>
          <w:lang w:val="en-US" w:eastAsia="en-US"/>
        </w:rPr>
      </w:pPr>
      <w:r>
        <w:rPr>
          <w:rFonts w:hint="eastAsia" w:ascii="Times New Roman" w:hAnsi="Times New Roman" w:cs="Times New Roman"/>
          <w:b/>
          <w:bCs/>
          <w:highlight w:val="none"/>
          <w:lang w:val="en-US" w:eastAsia="en-US"/>
        </w:rPr>
        <w:t>6.</w:t>
      </w:r>
      <w:r>
        <w:rPr>
          <w:rFonts w:hint="eastAsia" w:ascii="Times New Roman" w:hAnsi="Times New Roman" w:cs="Times New Roman"/>
          <w:b/>
          <w:bCs/>
          <w:highlight w:val="none"/>
          <w:lang w:val="en-US" w:eastAsia="zh-CN"/>
        </w:rPr>
        <w:t xml:space="preserve"> 2</w:t>
      </w:r>
      <w:r>
        <w:rPr>
          <w:rFonts w:hint="eastAsia"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1 </w:t>
      </w:r>
      <w:r>
        <w:rPr>
          <w:rFonts w:hint="eastAsia" w:ascii="Times New Roman" w:hAnsi="Times New Roman" w:cs="Times New Roman"/>
          <w:highlight w:val="none"/>
          <w:lang w:val="en-US" w:eastAsia="zh-CN"/>
        </w:rPr>
        <w:t xml:space="preserve"> 水平位移监测可采用交会法、自由设站法、极坐标法、小角法等。</w:t>
      </w:r>
    </w:p>
    <w:p w14:paraId="2A3D07B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b/>
          <w:bCs/>
          <w:color w:val="0000FF"/>
          <w:highlight w:val="none"/>
          <w:lang w:val="en-US" w:eastAsia="zh-CN"/>
        </w:rPr>
      </w:pPr>
    </w:p>
    <w:p w14:paraId="6B76CE7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22FD11D7">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水平位移的监测方法较多，但各种方法的适用条件不一，在方法选择和施测时均应注意。</w:t>
      </w:r>
    </w:p>
    <w:p w14:paraId="24A8ACF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1 </w:t>
      </w:r>
      <w:r>
        <w:rPr>
          <w:rFonts w:hint="eastAsia" w:ascii="Times New Roman" w:hAnsi="Times New Roman" w:cs="Times New Roman"/>
          <w:color w:val="0000FF"/>
          <w:highlight w:val="none"/>
          <w:lang w:val="en-US" w:eastAsia="zh-CN"/>
        </w:rPr>
        <w:t>采用前方交会法时交会角应在 60°～120°之间，并宜采用三点交会法等；</w:t>
      </w:r>
    </w:p>
    <w:p w14:paraId="64AE9E5C">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2 </w:t>
      </w:r>
      <w:r>
        <w:rPr>
          <w:rFonts w:hint="eastAsia" w:ascii="Times New Roman" w:hAnsi="Times New Roman" w:cs="Times New Roman"/>
          <w:color w:val="0000FF"/>
          <w:highlight w:val="none"/>
          <w:lang w:val="en-US" w:eastAsia="zh-CN"/>
        </w:rPr>
        <w:t>采用小角度法时，监测前应对经纬仪的垂直轴倾斜误差进行检验，当垂直角超出±3范围时，应进行垂直轴倾斜修正；</w:t>
      </w:r>
    </w:p>
    <w:p w14:paraId="0D9336F8">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3 </w:t>
      </w:r>
      <w:r>
        <w:rPr>
          <w:rFonts w:hint="eastAsia" w:ascii="Times New Roman" w:hAnsi="Times New Roman" w:cs="Times New Roman"/>
          <w:color w:val="0000FF"/>
          <w:highlight w:val="none"/>
          <w:lang w:val="en-US" w:eastAsia="zh-CN"/>
        </w:rPr>
        <w:t>采用视准线法时，其测点埋设偏离基准线的距离不宜大于2cm，对活动牌的零位差应进行测定；</w:t>
      </w:r>
    </w:p>
    <w:p w14:paraId="1060D97F">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4 </w:t>
      </w:r>
      <w:r>
        <w:rPr>
          <w:rFonts w:hint="eastAsia" w:ascii="Times New Roman" w:hAnsi="Times New Roman" w:cs="Times New Roman"/>
          <w:color w:val="0000FF"/>
          <w:highlight w:val="none"/>
          <w:lang w:val="en-US" w:eastAsia="zh-CN"/>
        </w:rPr>
        <w:t>全站仪极坐标法：是水平位移监测的主要方法之一，该方法中全站仪仪器精度的选择是影响观测精度的关键。</w:t>
      </w:r>
    </w:p>
    <w:p w14:paraId="55AA653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全站仪极坐标法水平位移监测的误差分析，考虑了仪器测角与测距误差、测站对中误差、觇牌对中误差和人眼照准误差的综合影响，未考虑项目周边环境温度、气压和旁折光等因素。当水平位移监测精度要求较高时，需考虑环境因素的影响。</w:t>
      </w:r>
    </w:p>
    <w:p w14:paraId="4872F7AE">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全站仪极坐标法观测宜设置强制对中观测墩，以减小测站对中误差的影响。测站点(工作基点)邻近观测对象，易受变形、施工作业以及观测墩体本身可能发生的不均匀沉降影响。为提高监测成果可靠性，每次观测均应对控制点稳定性进行检查，应定期联测基准点，校核测站点坐标。</w:t>
      </w:r>
    </w:p>
    <w:p w14:paraId="491969FB">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为减少照准误差的影响，需要对工作基点至监测点的距离进行适当限制。按照监测点坐标中误差不大于1.0mm、1.5mm、2.0mm、3.0mm 的精度要求，考虑实际监测工作中测站点至监测点距离一般不大于300m，仪器、觇牌对中误差不大于0.5mm，不同标称精度全站仪角度与边长观测所需要的测回数要求，可参照《建筑基坑工程监测技术标准》</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 50497中相关规定执行。</w:t>
      </w:r>
    </w:p>
    <w:p w14:paraId="496E1919">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p>
    <w:p w14:paraId="06DC9456">
      <w:pPr>
        <w:rPr>
          <w:rFonts w:hint="eastAsia" w:ascii="Times New Roman" w:hAnsi="Times New Roman" w:cs="Times New Roman"/>
          <w:b/>
          <w:bCs/>
          <w:color w:val="auto"/>
          <w:highlight w:val="none"/>
          <w:lang w:val="en-US" w:eastAsia="en-US"/>
        </w:rPr>
      </w:pPr>
      <w:r>
        <w:rPr>
          <w:rFonts w:hint="eastAsia" w:ascii="Times New Roman" w:hAnsi="Times New Roman" w:cs="Times New Roman"/>
          <w:b/>
          <w:bCs/>
          <w:highlight w:val="none"/>
          <w:lang w:val="en-US" w:eastAsia="en-US"/>
        </w:rPr>
        <w:t>6.</w:t>
      </w:r>
      <w:r>
        <w:rPr>
          <w:rFonts w:hint="eastAsia" w:ascii="Times New Roman" w:hAnsi="Times New Roman" w:cs="Times New Roman"/>
          <w:b/>
          <w:bCs/>
          <w:highlight w:val="none"/>
          <w:lang w:val="en-US" w:eastAsia="zh-CN"/>
        </w:rPr>
        <w:t xml:space="preserve"> 2</w:t>
      </w:r>
      <w:r>
        <w:rPr>
          <w:rFonts w:hint="eastAsia"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2 </w:t>
      </w:r>
      <w:r>
        <w:rPr>
          <w:rFonts w:hint="eastAsia" w:ascii="Times New Roman" w:hAnsi="Times New Roman" w:cs="Times New Roman"/>
          <w:highlight w:val="none"/>
          <w:lang w:val="en-US" w:eastAsia="zh-CN"/>
        </w:rPr>
        <w:t xml:space="preserve"> 采用交会法时宜采用三点交会，测角交会角应为60°~120°，测边交会角应为30°~150°，基线边长不宜大于</w:t>
      </w:r>
      <w:r>
        <w:rPr>
          <w:rFonts w:hint="eastAsia" w:ascii="Times New Roman" w:hAnsi="Times New Roman" w:cs="Times New Roman"/>
          <w:b w:val="0"/>
          <w:bCs w:val="0"/>
          <w:color w:val="000000" w:themeColor="text1"/>
          <w:highlight w:val="none"/>
          <w:shd w:val="clear"/>
          <w:lang w:val="en-US" w:eastAsia="zh-CN"/>
          <w14:textFill>
            <w14:solidFill>
              <w14:schemeClr w14:val="tx1"/>
            </w14:solidFill>
          </w14:textFill>
        </w:rPr>
        <w:t>300m</w:t>
      </w:r>
      <w:r>
        <w:rPr>
          <w:rFonts w:hint="eastAsia" w:ascii="Times New Roman" w:hAnsi="Times New Roman" w:cs="Times New Roman"/>
          <w:color w:val="FF0000"/>
          <w:highlight w:val="none"/>
          <w:lang w:val="en-US" w:eastAsia="zh-CN"/>
        </w:rPr>
        <w:t>。</w:t>
      </w:r>
    </w:p>
    <w:p w14:paraId="16653C91">
      <w:pPr>
        <w:rPr>
          <w:rFonts w:hint="eastAsia" w:ascii="Times New Roman" w:hAnsi="Times New Roman" w:cs="Times New Roman"/>
          <w:b/>
          <w:bCs/>
          <w:color w:val="0000FF"/>
          <w:highlight w:val="none"/>
          <w:lang w:val="en-US" w:eastAsia="zh-CN"/>
        </w:rPr>
      </w:pPr>
    </w:p>
    <w:p w14:paraId="134ED188">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3DDF1886">
      <w:pPr>
        <w:spacing w:line="360" w:lineRule="auto"/>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确定水平位移的监测精度时，考虑了以下几方面因素：一是预警值的控制要求；二是与现有测量标准规定的测量精度相协调；三是在控制监测成本的前提下，采取精度适当的原则，不追求过剩精度。</w:t>
      </w:r>
    </w:p>
    <w:p w14:paraId="44533E64">
      <w:pPr>
        <w:spacing w:line="360" w:lineRule="auto"/>
        <w:ind w:firstLine="480" w:firstLineChars="200"/>
        <w:rPr>
          <w:rFonts w:hint="eastAsia" w:ascii="Times New Roman" w:hAnsi="Times New Roman" w:cs="Times New Roman"/>
          <w:color w:val="0000FF"/>
          <w:highlight w:val="none"/>
          <w:lang w:val="en-US" w:eastAsia="en-US"/>
        </w:rPr>
      </w:pPr>
    </w:p>
    <w:p w14:paraId="16725F6F">
      <w:pPr>
        <w:rPr>
          <w:rFonts w:hint="default" w:ascii="Times New Roman" w:hAnsi="Times New Roman" w:cs="Times New Roman"/>
          <w:highlight w:val="none"/>
          <w:lang w:val="en-US" w:eastAsia="zh-CN"/>
        </w:rPr>
      </w:pPr>
      <w:r>
        <w:rPr>
          <w:rFonts w:hint="eastAsia" w:ascii="Times New Roman" w:hAnsi="Times New Roman" w:cs="Times New Roman"/>
          <w:b/>
          <w:bCs/>
          <w:color w:val="auto"/>
          <w:highlight w:val="none"/>
          <w:lang w:val="en-US" w:eastAsia="en-US"/>
        </w:rPr>
        <w:t>6.</w:t>
      </w:r>
      <w:r>
        <w:rPr>
          <w:rFonts w:hint="eastAsia" w:ascii="Times New Roman" w:hAnsi="Times New Roman" w:cs="Times New Roman"/>
          <w:b/>
          <w:bCs/>
          <w:color w:val="auto"/>
          <w:highlight w:val="none"/>
          <w:lang w:val="en-US" w:eastAsia="zh-CN"/>
        </w:rPr>
        <w:t xml:space="preserve"> 2</w:t>
      </w:r>
      <w:r>
        <w:rPr>
          <w:rFonts w:hint="eastAsia" w:ascii="Times New Roman" w:hAnsi="Times New Roman" w:cs="Times New Roman"/>
          <w:b/>
          <w:bCs/>
          <w:color w:val="auto"/>
          <w:highlight w:val="none"/>
          <w:lang w:val="en-US" w:eastAsia="en-US"/>
        </w:rPr>
        <w:t>.</w:t>
      </w:r>
      <w:r>
        <w:rPr>
          <w:rFonts w:hint="eastAsia" w:ascii="Times New Roman" w:hAnsi="Times New Roman" w:cs="Times New Roman"/>
          <w:b/>
          <w:bCs/>
          <w:color w:val="auto"/>
          <w:highlight w:val="none"/>
          <w:lang w:val="en-US" w:eastAsia="zh-CN"/>
        </w:rPr>
        <w:t xml:space="preserve"> 3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highlight w:val="none"/>
          <w:lang w:val="en-US" w:eastAsia="zh-CN"/>
        </w:rPr>
        <w:t>采用自由设站法时宜采用全站仪后方交会，应由三个及以上基准点进行交会。</w:t>
      </w:r>
    </w:p>
    <w:p w14:paraId="6FA0C261">
      <w:pPr>
        <w:rPr>
          <w:rFonts w:hint="eastAsia" w:ascii="Times New Roman" w:hAnsi="Times New Roman" w:cs="Times New Roman"/>
          <w:b/>
          <w:bCs/>
          <w:color w:val="0000FF"/>
          <w:highlight w:val="none"/>
          <w:lang w:val="en-US" w:eastAsia="zh-CN"/>
        </w:rPr>
      </w:pPr>
    </w:p>
    <w:p w14:paraId="3F758BBF">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05FF921F">
      <w:pPr>
        <w:spacing w:line="360" w:lineRule="auto"/>
        <w:ind w:firstLine="480" w:firstLineChars="200"/>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后方交会是指仅在待定点上设站，向三个已知</w:t>
      </w:r>
      <w:r>
        <w:rPr>
          <w:rFonts w:hint="default" w:ascii="Times New Roman" w:hAnsi="Times New Roman" w:cs="Times New Roman"/>
          <w:color w:val="0000FF"/>
          <w:highlight w:val="none"/>
          <w:lang w:val="en-US" w:eastAsia="zh-CN"/>
        </w:rPr>
        <w:fldChar w:fldCharType="begin"/>
      </w:r>
      <w:r>
        <w:rPr>
          <w:rFonts w:hint="default" w:ascii="Times New Roman" w:hAnsi="Times New Roman" w:cs="Times New Roman"/>
          <w:color w:val="0000FF"/>
          <w:highlight w:val="none"/>
          <w:lang w:val="en-US" w:eastAsia="zh-CN"/>
        </w:rPr>
        <w:instrText xml:space="preserve"> HYPERLINK "https://baike.so.com/doc/6291672-6505178.html" \t "https://baike.so.com/doc/_blank" </w:instrText>
      </w:r>
      <w:r>
        <w:rPr>
          <w:rFonts w:hint="default" w:ascii="Times New Roman" w:hAnsi="Times New Roman" w:cs="Times New Roman"/>
          <w:color w:val="0000FF"/>
          <w:highlight w:val="none"/>
          <w:lang w:val="en-US" w:eastAsia="zh-CN"/>
        </w:rPr>
        <w:fldChar w:fldCharType="separate"/>
      </w:r>
      <w:r>
        <w:rPr>
          <w:rFonts w:hint="default" w:ascii="Times New Roman" w:hAnsi="Times New Roman" w:cs="Times New Roman"/>
          <w:color w:val="0000FF"/>
          <w:highlight w:val="none"/>
          <w:lang w:val="en-US" w:eastAsia="zh-CN"/>
        </w:rPr>
        <w:t>控制点</w:t>
      </w:r>
      <w:r>
        <w:rPr>
          <w:rFonts w:hint="default" w:ascii="Times New Roman" w:hAnsi="Times New Roman" w:cs="Times New Roman"/>
          <w:color w:val="0000FF"/>
          <w:highlight w:val="none"/>
          <w:lang w:val="en-US" w:eastAsia="zh-CN"/>
        </w:rPr>
        <w:fldChar w:fldCharType="end"/>
      </w:r>
      <w:r>
        <w:rPr>
          <w:rFonts w:hint="default" w:ascii="Times New Roman" w:hAnsi="Times New Roman" w:cs="Times New Roman"/>
          <w:color w:val="0000FF"/>
          <w:highlight w:val="none"/>
          <w:lang w:val="en-US" w:eastAsia="zh-CN"/>
        </w:rPr>
        <w:t>观测两个水平夹角a、b，从而计算待定点的坐标，称为后方交会。是加密控制点常用的方法，</w:t>
      </w:r>
      <w:r>
        <w:rPr>
          <w:rFonts w:hint="eastAsia" w:ascii="Times New Roman" w:hAnsi="Times New Roman" w:cs="Times New Roman"/>
          <w:color w:val="0000FF"/>
          <w:highlight w:val="none"/>
          <w:lang w:val="en-US" w:eastAsia="zh-CN"/>
        </w:rPr>
        <w:t>在变形监测工作中，可以用作临时设站点的坐标测定工作。</w:t>
      </w:r>
      <w:r>
        <w:rPr>
          <w:rFonts w:hint="default" w:ascii="Times New Roman" w:hAnsi="Times New Roman" w:cs="Times New Roman"/>
          <w:color w:val="0000FF"/>
          <w:highlight w:val="none"/>
          <w:lang w:val="en-US" w:eastAsia="zh-CN"/>
        </w:rPr>
        <w:t>它可以在数个已知控制点上设站，分别向待定点观测方向或距离，也可以在待定点上设站向数个已知控制点观测方向或距离，而后计算待定点的坐标。</w:t>
      </w:r>
    </w:p>
    <w:p w14:paraId="7AF889B7">
      <w:pPr>
        <w:spacing w:line="360" w:lineRule="auto"/>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条文规定了自由设站时，采用后方交会法的基本要求。</w:t>
      </w:r>
    </w:p>
    <w:p w14:paraId="5B49B776">
      <w:pPr>
        <w:spacing w:line="360" w:lineRule="auto"/>
        <w:ind w:firstLine="480" w:firstLineChars="200"/>
        <w:rPr>
          <w:rFonts w:hint="eastAsia" w:ascii="Times New Roman" w:hAnsi="Times New Roman" w:cs="Times New Roman"/>
          <w:color w:val="0000FF"/>
          <w:highlight w:val="none"/>
          <w:lang w:val="en-US" w:eastAsia="zh-CN"/>
        </w:rPr>
      </w:pPr>
    </w:p>
    <w:p w14:paraId="6D036876">
      <w:pPr>
        <w:rPr>
          <w:rFonts w:hint="default" w:ascii="Times New Roman" w:hAnsi="Times New Roman" w:cs="Times New Roman"/>
          <w:highlight w:val="none"/>
          <w:shd w:val="clear"/>
          <w:lang w:val="en-US" w:eastAsia="zh-CN"/>
        </w:rPr>
      </w:pPr>
      <w:r>
        <w:rPr>
          <w:rFonts w:hint="eastAsia" w:ascii="Times New Roman" w:hAnsi="Times New Roman" w:cs="Times New Roman"/>
          <w:b/>
          <w:bCs/>
          <w:highlight w:val="none"/>
          <w:shd w:val="clear"/>
          <w:lang w:val="en-US" w:eastAsia="zh-CN"/>
        </w:rPr>
        <w:t>6. 2. 4</w:t>
      </w:r>
      <w:r>
        <w:rPr>
          <w:rFonts w:hint="eastAsia" w:ascii="Times New Roman" w:hAnsi="Times New Roman" w:cs="Times New Roman"/>
          <w:highlight w:val="none"/>
          <w:shd w:val="clear"/>
          <w:lang w:val="en-US" w:eastAsia="zh-CN"/>
        </w:rPr>
        <w:t xml:space="preserve">  监测点的标石标志及其埋设应符合下列要求：</w:t>
      </w:r>
    </w:p>
    <w:p w14:paraId="40A1D42B">
      <w:pPr>
        <w:keepNext w:val="0"/>
        <w:keepLines w:val="0"/>
        <w:pageBreakBefore w:val="0"/>
        <w:widowControl w:val="0"/>
        <w:kinsoku/>
        <w:wordWrap/>
        <w:overflowPunct/>
        <w:topLinePunct w:val="0"/>
        <w:autoSpaceDE/>
        <w:autoSpaceDN/>
        <w:bidi w:val="0"/>
        <w:adjustRightInd/>
        <w:snapToGrid/>
        <w:ind w:firstLine="482" w:firstLineChars="200"/>
        <w:jc w:val="both"/>
        <w:textAlignment w:val="auto"/>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 xml:space="preserve">1  </w:t>
      </w:r>
      <w:r>
        <w:rPr>
          <w:rFonts w:hint="eastAsia" w:ascii="Times New Roman" w:hAnsi="Times New Roman" w:cs="Times New Roman"/>
          <w:b w:val="0"/>
          <w:bCs w:val="0"/>
          <w:highlight w:val="none"/>
          <w:lang w:val="en-US" w:eastAsia="zh-CN"/>
        </w:rPr>
        <w:t>土体上的监测点可埋设预制混凝土标石。根据观测精度要求，顶部的标志可采用具有强制对中装置的活动标志或嵌入加工成半球状的钢筋标志。标石埋深不宜小于1m。标石顶部应露出地面0.2m~0.3m；</w:t>
      </w:r>
    </w:p>
    <w:p w14:paraId="20F137B7">
      <w:pPr>
        <w:keepNext w:val="0"/>
        <w:keepLines w:val="0"/>
        <w:pageBreakBefore w:val="0"/>
        <w:widowControl w:val="0"/>
        <w:kinsoku/>
        <w:wordWrap/>
        <w:overflowPunct/>
        <w:topLinePunct w:val="0"/>
        <w:autoSpaceDE/>
        <w:autoSpaceDN/>
        <w:bidi w:val="0"/>
        <w:adjustRightInd/>
        <w:snapToGrid/>
        <w:ind w:firstLine="482" w:firstLineChars="200"/>
        <w:jc w:val="both"/>
        <w:textAlignment w:val="auto"/>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b w:val="0"/>
          <w:bCs w:val="0"/>
          <w:highlight w:val="none"/>
          <w:lang w:val="en-US" w:eastAsia="zh-CN"/>
        </w:rPr>
        <w:t xml:space="preserve">  岩体上的监测点可采用砂浆现场浇筑的钢筋标志。凿孔深度不宜小于0.1m。标志埋好后，其顶部应露出岩体面0.05m；</w:t>
      </w:r>
    </w:p>
    <w:p w14:paraId="18BEBD7F">
      <w:pPr>
        <w:keepNext w:val="0"/>
        <w:keepLines w:val="0"/>
        <w:pageBreakBefore w:val="0"/>
        <w:widowControl w:val="0"/>
        <w:kinsoku/>
        <w:wordWrap/>
        <w:overflowPunct/>
        <w:topLinePunct w:val="0"/>
        <w:autoSpaceDE/>
        <w:autoSpaceDN/>
        <w:bidi w:val="0"/>
        <w:adjustRightInd/>
        <w:snapToGrid/>
        <w:ind w:firstLine="482" w:firstLineChars="200"/>
        <w:jc w:val="both"/>
        <w:textAlignment w:val="auto"/>
        <w:rPr>
          <w:rFonts w:hint="default"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b w:val="0"/>
          <w:bCs w:val="0"/>
          <w:highlight w:val="none"/>
          <w:lang w:val="en-US" w:eastAsia="zh-CN"/>
        </w:rPr>
        <w:t xml:space="preserve">  必要的临时性或过渡性监测点以及观测期短、次数少的小型斜坡位移监测点，可埋设硬质大木桩，但顶部应安置照准标志。</w:t>
      </w:r>
    </w:p>
    <w:p w14:paraId="29F1BDCF">
      <w:pPr>
        <w:rPr>
          <w:rFonts w:hint="eastAsia" w:ascii="Times New Roman" w:hAnsi="Times New Roman" w:cs="Times New Roman"/>
          <w:b/>
          <w:bCs/>
          <w:color w:val="0000FF"/>
          <w:highlight w:val="none"/>
          <w:lang w:val="en-US" w:eastAsia="zh-CN"/>
        </w:rPr>
      </w:pPr>
    </w:p>
    <w:p w14:paraId="0D3521DF">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2A703555">
      <w:pPr>
        <w:spacing w:line="360" w:lineRule="auto"/>
        <w:ind w:firstLine="480" w:firstLineChars="200"/>
        <w:rPr>
          <w:rFonts w:hint="eastAsia" w:ascii="Times New Roman" w:hAnsi="Times New Roman" w:cs="Times New Roman"/>
          <w:b w:val="0"/>
          <w:bCs w:val="0"/>
          <w:highlight w:val="none"/>
          <w:lang w:val="en-US" w:eastAsia="zh-CN"/>
        </w:rPr>
      </w:pPr>
      <w:r>
        <w:rPr>
          <w:rFonts w:hint="eastAsia" w:ascii="Times New Roman" w:hAnsi="Times New Roman" w:cs="Times New Roman"/>
          <w:color w:val="0000FF"/>
          <w:highlight w:val="none"/>
          <w:lang w:val="en-US" w:eastAsia="zh-CN"/>
        </w:rPr>
        <w:t>参考《建筑变形测量规范》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JGJ 8的相关要求</w:t>
      </w:r>
    </w:p>
    <w:p w14:paraId="5CE2B590">
      <w:pPr>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3616960" cy="2645410"/>
            <wp:effectExtent l="0" t="0" r="2540" b="2540"/>
            <wp:docPr id="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
                    <pic:cNvPicPr>
                      <a:picLocks noChangeAspect="1"/>
                    </pic:cNvPicPr>
                  </pic:nvPicPr>
                  <pic:blipFill>
                    <a:blip r:embed="rId24"/>
                    <a:srcRect t="3126" b="4704"/>
                    <a:stretch>
                      <a:fillRect/>
                    </a:stretch>
                  </pic:blipFill>
                  <pic:spPr>
                    <a:xfrm>
                      <a:off x="0" y="0"/>
                      <a:ext cx="3616960" cy="2645410"/>
                    </a:xfrm>
                    <a:prstGeom prst="rect">
                      <a:avLst/>
                    </a:prstGeom>
                    <a:noFill/>
                    <a:ln>
                      <a:noFill/>
                    </a:ln>
                  </pic:spPr>
                </pic:pic>
              </a:graphicData>
            </a:graphic>
          </wp:inline>
        </w:drawing>
      </w:r>
    </w:p>
    <w:p w14:paraId="2D174713">
      <w:pPr>
        <w:jc w:val="center"/>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图6-2 </w:t>
      </w:r>
      <w:r>
        <w:rPr>
          <w:rFonts w:hint="eastAsia" w:ascii="Times New Roman" w:hAnsi="Times New Roman" w:cs="Times New Roman"/>
          <w:color w:val="0000FF"/>
          <w:highlight w:val="none"/>
          <w:lang w:val="en-US" w:eastAsia="zh-CN"/>
        </w:rPr>
        <w:t>土质边坡位移监测标石示意图</w:t>
      </w:r>
    </w:p>
    <w:p w14:paraId="0F97CD4C">
      <w:pPr>
        <w:spacing w:line="360" w:lineRule="auto"/>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监测标靶宜采用L型棱镜。相较于反射片，L型棱镜具有方便照准、精度高的优点，常用的L型棱镜主要有下列类型。</w:t>
      </w:r>
    </w:p>
    <w:p w14:paraId="3AF5ECAD">
      <w:pPr>
        <w:spacing w:line="360" w:lineRule="auto"/>
        <w:ind w:firstLine="480" w:firstLineChars="200"/>
        <w:rPr>
          <w:rFonts w:hint="eastAsia" w:ascii="Times New Roman" w:hAnsi="Times New Roman" w:cs="Times New Roman"/>
          <w:color w:val="0000FF"/>
          <w:highlight w:val="none"/>
          <w:lang w:val="en-US" w:eastAsia="zh-CN"/>
        </w:rPr>
      </w:pPr>
    </w:p>
    <w:p w14:paraId="5AA16FA3">
      <w:pPr>
        <w:spacing w:line="360" w:lineRule="auto"/>
        <w:ind w:firstLine="480" w:firstLineChars="200"/>
        <w:rPr>
          <w:rFonts w:hint="eastAsia" w:ascii="Times New Roman" w:hAnsi="Times New Roman" w:cs="Times New Roman"/>
          <w:color w:val="0000FF"/>
          <w:highlight w:val="none"/>
          <w:lang w:val="en-US" w:eastAsia="zh-CN"/>
        </w:rPr>
      </w:pPr>
    </w:p>
    <w:p w14:paraId="7DB5FA57">
      <w:pPr>
        <w:spacing w:line="360" w:lineRule="auto"/>
        <w:ind w:firstLine="0" w:firstLineChars="0"/>
        <w:jc w:val="center"/>
        <w:rPr>
          <w:rFonts w:hint="default" w:ascii="Times New Roman" w:hAnsi="Times New Roman" w:cs="Times New Roman"/>
          <w:color w:val="0000FF"/>
          <w:highlight w:val="none"/>
          <w:lang w:val="en-US" w:eastAsia="zh-CN"/>
        </w:rPr>
      </w:pPr>
      <w:r>
        <w:rPr>
          <w:rFonts w:hint="eastAsia" w:cs="Times New Roman"/>
          <w:color w:val="0000FF"/>
          <w:highlight w:val="none"/>
          <w:lang w:val="en-US" w:eastAsia="zh-CN"/>
        </w:rPr>
        <w:t>表6-1 棱镜类型及精度</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1445"/>
        <w:gridCol w:w="2376"/>
        <w:gridCol w:w="2041"/>
      </w:tblGrid>
      <w:tr w14:paraId="07ED1B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vAlign w:val="center"/>
          </w:tcPr>
          <w:p w14:paraId="0E48D07B">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名称</w:t>
            </w:r>
          </w:p>
        </w:tc>
        <w:tc>
          <w:tcPr>
            <w:tcW w:w="1445" w:type="dxa"/>
            <w:vAlign w:val="center"/>
          </w:tcPr>
          <w:p w14:paraId="518ED399">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规格</w:t>
            </w:r>
          </w:p>
        </w:tc>
        <w:tc>
          <w:tcPr>
            <w:tcW w:w="2376" w:type="dxa"/>
            <w:vAlign w:val="center"/>
          </w:tcPr>
          <w:p w14:paraId="5D0CFABB">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产品图</w:t>
            </w:r>
          </w:p>
        </w:tc>
        <w:tc>
          <w:tcPr>
            <w:tcW w:w="2041" w:type="dxa"/>
            <w:vAlign w:val="center"/>
          </w:tcPr>
          <w:p w14:paraId="1C01AEBF">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棱镜精度</w:t>
            </w:r>
          </w:p>
        </w:tc>
      </w:tr>
      <w:tr w14:paraId="7D3E1E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vAlign w:val="center"/>
          </w:tcPr>
          <w:p w14:paraId="106B35D7">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ADS104 90°L型 棱镜组</w:t>
            </w:r>
          </w:p>
        </w:tc>
        <w:tc>
          <w:tcPr>
            <w:tcW w:w="1445" w:type="dxa"/>
            <w:vAlign w:val="center"/>
          </w:tcPr>
          <w:p w14:paraId="5DF4B507">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3英寸</w:t>
            </w:r>
          </w:p>
        </w:tc>
        <w:tc>
          <w:tcPr>
            <w:tcW w:w="2376" w:type="dxa"/>
          </w:tcPr>
          <w:p w14:paraId="551C16F6">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drawing>
                <wp:inline distT="0" distB="0" distL="0" distR="0">
                  <wp:extent cx="808355" cy="1079500"/>
                  <wp:effectExtent l="0" t="0" r="10795" b="6350"/>
                  <wp:docPr id="58" name="图片 2" descr="G:\a\桌面文件\产品图片1\江阴香江各类直角棱镜\新建文件夹\ADS104 90°L型棱镜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 descr="G:\a\桌面文件\产品图片1\江阴香江各类直角棱镜\新建文件夹\ADS104 90°L型棱镜组.JPG"/>
                          <pic:cNvPicPr>
                            <a:picLocks noChangeAspect="1" noChangeArrowheads="1"/>
                          </pic:cNvPicPr>
                        </pic:nvPicPr>
                        <pic:blipFill>
                          <a:blip r:embed="rId25" cstate="print"/>
                          <a:srcRect/>
                          <a:stretch>
                            <a:fillRect/>
                          </a:stretch>
                        </pic:blipFill>
                        <pic:spPr>
                          <a:xfrm>
                            <a:off x="0" y="0"/>
                            <a:ext cx="808694" cy="1080000"/>
                          </a:xfrm>
                          <a:prstGeom prst="rect">
                            <a:avLst/>
                          </a:prstGeom>
                          <a:noFill/>
                          <a:ln w="9525">
                            <a:noFill/>
                            <a:miter lim="800000"/>
                            <a:headEnd/>
                            <a:tailEnd/>
                          </a:ln>
                        </pic:spPr>
                      </pic:pic>
                    </a:graphicData>
                  </a:graphic>
                </wp:inline>
              </w:drawing>
            </w:r>
          </w:p>
        </w:tc>
        <w:tc>
          <w:tcPr>
            <w:tcW w:w="2041" w:type="dxa"/>
            <w:vAlign w:val="center"/>
          </w:tcPr>
          <w:p w14:paraId="069E495C">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5″</w:t>
            </w:r>
          </w:p>
        </w:tc>
      </w:tr>
      <w:tr w14:paraId="3E5596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vAlign w:val="center"/>
          </w:tcPr>
          <w:p w14:paraId="0DE44C9E">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ADS104-1加长直角棱镜组</w:t>
            </w:r>
          </w:p>
        </w:tc>
        <w:tc>
          <w:tcPr>
            <w:tcW w:w="1445" w:type="dxa"/>
            <w:vAlign w:val="center"/>
          </w:tcPr>
          <w:p w14:paraId="166E2F91">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9英寸</w:t>
            </w:r>
          </w:p>
        </w:tc>
        <w:tc>
          <w:tcPr>
            <w:tcW w:w="2376" w:type="dxa"/>
          </w:tcPr>
          <w:p w14:paraId="4862F939">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drawing>
                <wp:inline distT="0" distB="0" distL="0" distR="0">
                  <wp:extent cx="713740" cy="640715"/>
                  <wp:effectExtent l="0" t="0" r="10160" b="6985"/>
                  <wp:docPr id="59" name="图片 1" descr="G:\a\桌面文件\产品图片1\江阴香江各类直角棱镜\新建文件夹\ADS104-1 9英寸加长直角棱镜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 descr="G:\a\桌面文件\产品图片1\江阴香江各类直角棱镜\新建文件夹\ADS104-1 9英寸加长直角棱镜组.jpg"/>
                          <pic:cNvPicPr>
                            <a:picLocks noChangeAspect="1" noChangeArrowheads="1"/>
                          </pic:cNvPicPr>
                        </pic:nvPicPr>
                        <pic:blipFill>
                          <a:blip r:embed="rId26" cstate="print"/>
                          <a:srcRect t="16353" b="24294"/>
                          <a:stretch>
                            <a:fillRect/>
                          </a:stretch>
                        </pic:blipFill>
                        <pic:spPr>
                          <a:xfrm>
                            <a:off x="0" y="0"/>
                            <a:ext cx="714157" cy="640715"/>
                          </a:xfrm>
                          <a:prstGeom prst="rect">
                            <a:avLst/>
                          </a:prstGeom>
                          <a:noFill/>
                          <a:ln w="9525">
                            <a:noFill/>
                            <a:miter lim="800000"/>
                            <a:headEnd/>
                            <a:tailEnd/>
                          </a:ln>
                        </pic:spPr>
                      </pic:pic>
                    </a:graphicData>
                  </a:graphic>
                </wp:inline>
              </w:drawing>
            </w:r>
          </w:p>
        </w:tc>
        <w:tc>
          <w:tcPr>
            <w:tcW w:w="2041" w:type="dxa"/>
            <w:vAlign w:val="center"/>
          </w:tcPr>
          <w:p w14:paraId="238A8CF0">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5″</w:t>
            </w:r>
          </w:p>
        </w:tc>
      </w:tr>
      <w:tr w14:paraId="79FF89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vAlign w:val="center"/>
          </w:tcPr>
          <w:p w14:paraId="33947A99">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ADS104-1-2双棱镜组</w:t>
            </w:r>
          </w:p>
        </w:tc>
        <w:tc>
          <w:tcPr>
            <w:tcW w:w="1445" w:type="dxa"/>
            <w:vAlign w:val="center"/>
          </w:tcPr>
          <w:p w14:paraId="5EF99481">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3英寸</w:t>
            </w:r>
          </w:p>
        </w:tc>
        <w:tc>
          <w:tcPr>
            <w:tcW w:w="2376" w:type="dxa"/>
          </w:tcPr>
          <w:p w14:paraId="32BBB7A8">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drawing>
                <wp:inline distT="0" distB="0" distL="0" distR="0">
                  <wp:extent cx="808355" cy="1079500"/>
                  <wp:effectExtent l="0" t="0" r="10795" b="6350"/>
                  <wp:docPr id="60" name="图片 3" descr="G:\a\桌面文件\产品图片1\江阴香江各类直角棱镜\新建文件夹\ADS104-1-2 双面棱镜\双面棱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 descr="G:\a\桌面文件\产品图片1\江阴香江各类直角棱镜\新建文件夹\ADS104-1-2 双面棱镜\双面棱镜.JPG"/>
                          <pic:cNvPicPr>
                            <a:picLocks noChangeAspect="1" noChangeArrowheads="1"/>
                          </pic:cNvPicPr>
                        </pic:nvPicPr>
                        <pic:blipFill>
                          <a:blip r:embed="rId27" cstate="print"/>
                          <a:srcRect/>
                          <a:stretch>
                            <a:fillRect/>
                          </a:stretch>
                        </pic:blipFill>
                        <pic:spPr>
                          <a:xfrm>
                            <a:off x="0" y="0"/>
                            <a:ext cx="808694" cy="1080000"/>
                          </a:xfrm>
                          <a:prstGeom prst="rect">
                            <a:avLst/>
                          </a:prstGeom>
                          <a:noFill/>
                          <a:ln w="9525">
                            <a:noFill/>
                            <a:miter lim="800000"/>
                            <a:headEnd/>
                            <a:tailEnd/>
                          </a:ln>
                        </pic:spPr>
                      </pic:pic>
                    </a:graphicData>
                  </a:graphic>
                </wp:inline>
              </w:drawing>
            </w:r>
          </w:p>
        </w:tc>
        <w:tc>
          <w:tcPr>
            <w:tcW w:w="2041" w:type="dxa"/>
            <w:vAlign w:val="center"/>
          </w:tcPr>
          <w:p w14:paraId="6E576715">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5″</w:t>
            </w:r>
          </w:p>
        </w:tc>
      </w:tr>
    </w:tbl>
    <w:p w14:paraId="43527319">
      <w:pPr>
        <w:jc w:val="center"/>
        <w:rPr>
          <w:rFonts w:hint="default" w:ascii="Times New Roman" w:hAnsi="Times New Roman" w:cs="Times New Roman"/>
          <w:color w:val="0000FF"/>
          <w:highlight w:val="none"/>
          <w:lang w:val="en-US" w:eastAsia="zh-CN"/>
        </w:rPr>
      </w:pPr>
    </w:p>
    <w:p w14:paraId="34DF307F">
      <w:pPr>
        <w:jc w:val="center"/>
        <w:rPr>
          <w:rFonts w:hint="eastAsia" w:ascii="Times New Roman" w:hAnsi="Times New Roman" w:cs="Times New Roman"/>
          <w:b/>
          <w:bCs/>
          <w:highlight w:val="none"/>
          <w:lang w:val="en-US" w:eastAsia="zh-CN"/>
        </w:rPr>
      </w:pPr>
      <w:r>
        <w:rPr>
          <w:rFonts w:hint="eastAsia" w:ascii="Times New Roman" w:hAnsi="Times New Roman" w:cs="Times New Roman"/>
          <w:b w:val="0"/>
          <w:bCs w:val="0"/>
          <w:highlight w:val="none"/>
          <w:lang w:val="en-US" w:eastAsia="zh-CN"/>
        </w:rPr>
        <w:t>Ⅱ 竖向位移监测</w:t>
      </w:r>
    </w:p>
    <w:p w14:paraId="69A90A99">
      <w:pPr>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6. 2. 5</w:t>
      </w:r>
      <w:r>
        <w:rPr>
          <w:rFonts w:hint="eastAsia" w:ascii="Times New Roman" w:hAnsi="Times New Roman" w:cs="Times New Roman"/>
          <w:highlight w:val="none"/>
          <w:lang w:val="en-US" w:eastAsia="zh-CN"/>
        </w:rPr>
        <w:t xml:space="preserve">  竖向位移监测可采用几何水准或</w:t>
      </w:r>
      <w:r>
        <w:rPr>
          <w:rFonts w:hint="eastAsia" w:ascii="Times New Roman" w:hAnsi="Times New Roman" w:cs="Times New Roman"/>
          <w:color w:val="auto"/>
          <w:highlight w:val="none"/>
          <w:lang w:val="en-US" w:eastAsia="zh-CN"/>
        </w:rPr>
        <w:t>三角高程测量方法</w:t>
      </w:r>
      <w:r>
        <w:rPr>
          <w:rFonts w:hint="eastAsia" w:ascii="Times New Roman" w:hAnsi="Times New Roman" w:cs="Times New Roman"/>
          <w:highlight w:val="none"/>
          <w:lang w:val="en-US" w:eastAsia="zh-CN"/>
        </w:rPr>
        <w:t>。</w:t>
      </w:r>
    </w:p>
    <w:p w14:paraId="1E7DC177">
      <w:pPr>
        <w:rPr>
          <w:rFonts w:hint="eastAsia" w:ascii="Times New Roman" w:hAnsi="Times New Roman" w:cs="Times New Roman"/>
          <w:b/>
          <w:bCs/>
          <w:color w:val="0000FF"/>
          <w:highlight w:val="none"/>
          <w:lang w:val="en-US" w:eastAsia="zh-CN"/>
        </w:rPr>
      </w:pPr>
    </w:p>
    <w:p w14:paraId="374FA3A0">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703FF7F8">
      <w:pPr>
        <w:spacing w:line="360" w:lineRule="auto"/>
        <w:ind w:firstLine="480" w:firstLineChars="200"/>
        <w:rPr>
          <w:rFonts w:hint="eastAsia"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几何水准测量的仪器、技术成熟，测量精度易保证，目前仍是</w:t>
      </w:r>
      <w:r>
        <w:rPr>
          <w:rFonts w:hint="eastAsia" w:ascii="Times New Roman" w:hAnsi="Times New Roman" w:cs="Times New Roman"/>
          <w:color w:val="0000FF"/>
          <w:highlight w:val="none"/>
          <w:lang w:val="en-US" w:eastAsia="zh-CN"/>
        </w:rPr>
        <w:t>各类监测工作中</w:t>
      </w:r>
      <w:r>
        <w:rPr>
          <w:rFonts w:hint="default" w:ascii="Times New Roman" w:hAnsi="Times New Roman" w:cs="Times New Roman"/>
          <w:color w:val="0000FF"/>
          <w:highlight w:val="none"/>
          <w:lang w:val="en-US" w:eastAsia="zh-CN"/>
        </w:rPr>
        <w:t>竖向位移观测的主要方法。当</w:t>
      </w:r>
      <w:r>
        <w:rPr>
          <w:rFonts w:hint="eastAsia" w:ascii="Times New Roman" w:hAnsi="Times New Roman" w:cs="Times New Roman"/>
          <w:color w:val="0000FF"/>
          <w:highlight w:val="none"/>
          <w:lang w:val="en-US" w:eastAsia="zh-CN"/>
        </w:rPr>
        <w:t>现场条件不便于采用</w:t>
      </w:r>
      <w:r>
        <w:rPr>
          <w:rFonts w:hint="default" w:ascii="Times New Roman" w:hAnsi="Times New Roman" w:cs="Times New Roman"/>
          <w:color w:val="0000FF"/>
          <w:highlight w:val="none"/>
          <w:lang w:val="en-US" w:eastAsia="zh-CN"/>
        </w:rPr>
        <w:t>水准几何测量</w:t>
      </w:r>
      <w:r>
        <w:rPr>
          <w:rFonts w:hint="eastAsia" w:ascii="Times New Roman" w:hAnsi="Times New Roman" w:cs="Times New Roman"/>
          <w:color w:val="0000FF"/>
          <w:highlight w:val="none"/>
          <w:lang w:val="en-US" w:eastAsia="zh-CN"/>
        </w:rPr>
        <w:t>，如不具备放尺条件、不能保证测量人员自身安全等</w:t>
      </w:r>
      <w:r>
        <w:rPr>
          <w:rFonts w:hint="eastAsia" w:cs="Times New Roman"/>
          <w:color w:val="0000FF"/>
          <w:highlight w:val="none"/>
          <w:lang w:val="en-US" w:eastAsia="zh-CN"/>
        </w:rPr>
        <w:t>。</w:t>
      </w:r>
      <w:r>
        <w:rPr>
          <w:rFonts w:hint="eastAsia" w:ascii="Times New Roman" w:hAnsi="Times New Roman" w:cs="Times New Roman"/>
          <w:color w:val="0000FF"/>
          <w:highlight w:val="none"/>
          <w:lang w:val="en-US" w:eastAsia="zh-CN"/>
        </w:rPr>
        <w:t>测量精度允许时，可采用三角高程法进行竖向位移观测。</w:t>
      </w:r>
    </w:p>
    <w:p w14:paraId="0417D0D1">
      <w:pPr>
        <w:spacing w:line="360" w:lineRule="auto"/>
        <w:ind w:firstLine="480" w:firstLineChars="200"/>
        <w:rPr>
          <w:rFonts w:hint="default" w:ascii="Times New Roman" w:hAnsi="Times New Roman" w:cs="Times New Roman"/>
          <w:color w:val="0000FF"/>
          <w:highlight w:val="none"/>
          <w:lang w:val="en-US" w:eastAsia="zh-CN"/>
        </w:rPr>
      </w:pPr>
    </w:p>
    <w:p w14:paraId="4F60A9A3">
      <w:pPr>
        <w:rPr>
          <w:rFonts w:hint="eastAsia" w:ascii="Times New Roman" w:hAnsi="Times New Roman" w:cs="Times New Roman"/>
          <w:color w:val="FF0000"/>
          <w:highlight w:val="none"/>
          <w:lang w:val="en-US" w:eastAsia="zh-CN"/>
        </w:rPr>
      </w:pPr>
      <w:r>
        <w:rPr>
          <w:rFonts w:hint="default" w:ascii="Times New Roman" w:hAnsi="Times New Roman" w:cs="Times New Roman"/>
          <w:b/>
          <w:bCs/>
          <w:highlight w:val="none"/>
          <w:lang w:val="en-US" w:eastAsia="zh-CN"/>
        </w:rPr>
        <w:t>6.</w:t>
      </w:r>
      <w:r>
        <w:rPr>
          <w:rFonts w:hint="eastAsia" w:ascii="Times New Roman" w:hAnsi="Times New Roman" w:cs="Times New Roman"/>
          <w:b/>
          <w:bCs/>
          <w:highlight w:val="none"/>
          <w:lang w:val="en-US" w:eastAsia="zh-CN"/>
        </w:rPr>
        <w:t xml:space="preserve"> 2</w:t>
      </w:r>
      <w:r>
        <w:rPr>
          <w:rFonts w:hint="default" w:ascii="Times New Roman" w:hAnsi="Times New Roman" w:cs="Times New Roman"/>
          <w:b/>
          <w:bCs/>
          <w:highlight w:val="none"/>
          <w:lang w:val="en-US" w:eastAsia="zh-CN"/>
        </w:rPr>
        <w:t>.</w:t>
      </w:r>
      <w:r>
        <w:rPr>
          <w:rFonts w:hint="eastAsia" w:ascii="Times New Roman" w:hAnsi="Times New Roman" w:cs="Times New Roman"/>
          <w:b/>
          <w:bCs/>
          <w:highlight w:val="none"/>
          <w:lang w:val="en-US" w:eastAsia="zh-CN"/>
        </w:rPr>
        <w:t xml:space="preserve"> 6</w:t>
      </w:r>
      <w:r>
        <w:rPr>
          <w:rFonts w:hint="eastAsia" w:ascii="Times New Roman" w:hAnsi="Times New Roman" w:cs="Times New Roman"/>
          <w:highlight w:val="none"/>
          <w:lang w:val="en-US" w:eastAsia="zh-CN"/>
        </w:rPr>
        <w:t xml:space="preserve">  几何水准测量应采用</w:t>
      </w:r>
      <w:r>
        <w:rPr>
          <w:rFonts w:hint="default" w:ascii="Times New Roman" w:hAnsi="Times New Roman" w:cs="Times New Roman"/>
          <w:highlight w:val="none"/>
          <w:lang w:val="en-US" w:eastAsia="zh-CN"/>
        </w:rPr>
        <w:t>闭合或附合水准路线</w:t>
      </w:r>
      <w:r>
        <w:rPr>
          <w:rFonts w:hint="eastAsia" w:ascii="Times New Roman" w:hAnsi="Times New Roman" w:cs="Times New Roman"/>
          <w:highlight w:val="none"/>
          <w:lang w:val="en-US" w:eastAsia="zh-CN"/>
        </w:rPr>
        <w:t>进行量测</w:t>
      </w:r>
      <w:r>
        <w:rPr>
          <w:rFonts w:hint="default" w:ascii="Times New Roman" w:hAnsi="Times New Roman" w:cs="Times New Roman"/>
          <w:highlight w:val="none"/>
          <w:lang w:val="en-US" w:eastAsia="zh-CN"/>
        </w:rPr>
        <w:t>。</w:t>
      </w:r>
    </w:p>
    <w:p w14:paraId="12BF63D0">
      <w:pPr>
        <w:rPr>
          <w:rFonts w:hint="eastAsia" w:ascii="Times New Roman" w:hAnsi="Times New Roman" w:cs="Times New Roman"/>
          <w:b/>
          <w:bCs/>
          <w:color w:val="0000FF"/>
          <w:highlight w:val="none"/>
          <w:lang w:val="en-US" w:eastAsia="zh-CN"/>
        </w:rPr>
      </w:pPr>
    </w:p>
    <w:p w14:paraId="52DB46AC">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5B00BECF">
      <w:pPr>
        <w:spacing w:line="360" w:lineRule="auto"/>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常见水准测量的线路有附合水准路线、闭合水准路线、支水准路线等；支水准路线由于不能对测量成果自行检核，一般需要往返测量，不适于日常监测工作，一般不采用。</w:t>
      </w:r>
    </w:p>
    <w:p w14:paraId="4134AB19">
      <w:pPr>
        <w:spacing w:line="360" w:lineRule="auto"/>
        <w:ind w:firstLine="480" w:firstLineChars="200"/>
        <w:rPr>
          <w:rFonts w:hint="eastAsia" w:ascii="Times New Roman" w:hAnsi="Times New Roman" w:cs="Times New Roman"/>
          <w:color w:val="0000FF"/>
          <w:highlight w:val="none"/>
          <w:lang w:val="en-US" w:eastAsia="zh-CN"/>
        </w:rPr>
      </w:pPr>
    </w:p>
    <w:p w14:paraId="75497665">
      <w:pPr>
        <w:rPr>
          <w:rFonts w:hint="eastAsia" w:ascii="Times New Roman" w:hAnsi="Times New Roman" w:cs="Times New Roman"/>
          <w:highlight w:val="none"/>
          <w:lang w:val="en-US" w:eastAsia="zh-CN"/>
        </w:rPr>
      </w:pPr>
      <w:r>
        <w:rPr>
          <w:rFonts w:hint="default" w:ascii="Times New Roman" w:hAnsi="Times New Roman" w:cs="Times New Roman"/>
          <w:b/>
          <w:bCs/>
          <w:highlight w:val="none"/>
          <w:lang w:val="en-US" w:eastAsia="zh-CN"/>
        </w:rPr>
        <w:t>6.</w:t>
      </w:r>
      <w:r>
        <w:rPr>
          <w:rFonts w:hint="eastAsia" w:ascii="Times New Roman" w:hAnsi="Times New Roman" w:cs="Times New Roman"/>
          <w:b/>
          <w:bCs/>
          <w:highlight w:val="none"/>
          <w:lang w:val="en-US" w:eastAsia="zh-CN"/>
        </w:rPr>
        <w:t xml:space="preserve"> 2</w:t>
      </w:r>
      <w:r>
        <w:rPr>
          <w:rFonts w:hint="default" w:ascii="Times New Roman" w:hAnsi="Times New Roman" w:cs="Times New Roman"/>
          <w:b/>
          <w:bCs/>
          <w:highlight w:val="none"/>
          <w:lang w:val="en-US" w:eastAsia="zh-CN"/>
        </w:rPr>
        <w:t>.</w:t>
      </w:r>
      <w:r>
        <w:rPr>
          <w:rFonts w:hint="eastAsia" w:ascii="Times New Roman" w:hAnsi="Times New Roman" w:cs="Times New Roman"/>
          <w:b/>
          <w:bCs/>
          <w:highlight w:val="none"/>
          <w:lang w:val="en-US" w:eastAsia="zh-CN"/>
        </w:rPr>
        <w:t xml:space="preserve"> 7</w:t>
      </w:r>
      <w:r>
        <w:rPr>
          <w:rFonts w:hint="eastAsia" w:ascii="Times New Roman" w:hAnsi="Times New Roman" w:cs="Times New Roman"/>
          <w:highlight w:val="none"/>
          <w:lang w:val="en-US" w:eastAsia="zh-CN"/>
        </w:rPr>
        <w:t xml:space="preserve">  三角高程测量，应符合下列规定：</w:t>
      </w:r>
    </w:p>
    <w:p w14:paraId="2AAD0351">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应在后视点、前视点上设置棱镜，在其中间设置全站仪观测视线长度不宜大于300m，视线垂直角不应超过 20°。每站的前后视线长度之差，对三等观测不宜超过30m，四等观测不宜超过50m；</w:t>
      </w:r>
    </w:p>
    <w:p w14:paraId="0C8A1147">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视线高度及离开障碍物的间距宜大于 1.3m。</w:t>
      </w:r>
    </w:p>
    <w:p w14:paraId="7775DEE5">
      <w:pPr>
        <w:spacing w:line="360" w:lineRule="auto"/>
        <w:ind w:firstLine="480" w:firstLineChars="200"/>
        <w:rPr>
          <w:rFonts w:hint="eastAsia" w:ascii="Times New Roman" w:hAnsi="Times New Roman" w:cs="Times New Roman"/>
          <w:color w:val="0000FF"/>
          <w:highlight w:val="none"/>
          <w:lang w:val="en-US" w:eastAsia="zh-CN"/>
        </w:rPr>
      </w:pPr>
    </w:p>
    <w:p w14:paraId="49869D92">
      <w:pPr>
        <w:jc w:val="center"/>
        <w:rPr>
          <w:rFonts w:hint="eastAsia" w:ascii="Times New Roman" w:hAnsi="Times New Roman" w:cs="Times New Roman"/>
          <w:b/>
          <w:bCs/>
          <w:highlight w:val="none"/>
          <w:lang w:val="en-US" w:eastAsia="zh-CN"/>
        </w:rPr>
      </w:pPr>
      <w:r>
        <w:rPr>
          <w:rFonts w:hint="eastAsia" w:ascii="Times New Roman" w:hAnsi="Times New Roman" w:cs="Times New Roman"/>
          <w:b w:val="0"/>
          <w:bCs w:val="0"/>
          <w:highlight w:val="none"/>
          <w:lang w:val="en-US" w:eastAsia="zh-CN"/>
        </w:rPr>
        <w:t>Ⅲ  深层水平位移监测</w:t>
      </w:r>
    </w:p>
    <w:p w14:paraId="474C4647">
      <w:pPr>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6. 2. 8</w:t>
      </w:r>
      <w:r>
        <w:rPr>
          <w:rFonts w:hint="eastAsia" w:ascii="Times New Roman" w:hAnsi="Times New Roman" w:cs="Times New Roman"/>
          <w:highlight w:val="none"/>
          <w:lang w:val="en-US" w:eastAsia="zh-CN"/>
        </w:rPr>
        <w:t xml:space="preserve">  深层水平位移监测宜采用测斜仪，测斜仪的系统精度不宜低于0.25mm/m，分辨率不宜低于0.02mm/500mm。</w:t>
      </w:r>
    </w:p>
    <w:p w14:paraId="1FDC8DF9">
      <w:pPr>
        <w:rPr>
          <w:rFonts w:hint="eastAsia" w:ascii="Times New Roman" w:hAnsi="Times New Roman" w:cs="Times New Roman"/>
          <w:b/>
          <w:bCs/>
          <w:color w:val="0000FF"/>
          <w:highlight w:val="none"/>
          <w:lang w:val="en-US" w:eastAsia="zh-CN"/>
        </w:rPr>
      </w:pPr>
    </w:p>
    <w:p w14:paraId="2EDE2C1E">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548D13B3">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测斜仪依据探头是否固定在被测物体上分为固定式和活动式两种。人工监测常用的是活动式测斜仪，即先埋设测斜管，每隔一定的时间将探头放入管内沿导槽滑动，通过量测测斜管斜度变化，推算水平位移。</w:t>
      </w:r>
    </w:p>
    <w:p w14:paraId="7E42ACCA">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本条规定能满足本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中关于深层水平位移预警值的监测要求，同时考虑了国内外现有的大部分测斜仪都能达到此精度。</w:t>
      </w:r>
    </w:p>
    <w:p w14:paraId="56EF8FCE">
      <w:pPr>
        <w:ind w:firstLine="480" w:firstLineChars="200"/>
        <w:rPr>
          <w:rFonts w:hint="eastAsia" w:ascii="Times New Roman" w:hAnsi="Times New Roman" w:cs="Times New Roman"/>
          <w:color w:val="0000FF"/>
          <w:highlight w:val="none"/>
          <w:lang w:val="en-US" w:eastAsia="zh-CN"/>
        </w:rPr>
      </w:pPr>
    </w:p>
    <w:p w14:paraId="76290CE8">
      <w:pPr>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6. 2. 9</w:t>
      </w:r>
      <w:r>
        <w:rPr>
          <w:rFonts w:hint="eastAsia" w:ascii="Times New Roman" w:hAnsi="Times New Roman" w:cs="Times New Roman"/>
          <w:highlight w:val="none"/>
          <w:lang w:val="en-US" w:eastAsia="zh-CN"/>
        </w:rPr>
        <w:t xml:space="preserve">  测斜仪探头置入测斜管底后，应静止5分钟</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15分钟待探头温度接近管内温度时再量测。</w:t>
      </w:r>
    </w:p>
    <w:p w14:paraId="3048214F">
      <w:pPr>
        <w:rPr>
          <w:rFonts w:hint="eastAsia" w:ascii="Times New Roman" w:hAnsi="Times New Roman" w:cs="Times New Roman"/>
          <w:b/>
          <w:bCs/>
          <w:color w:val="0000FF"/>
          <w:highlight w:val="none"/>
          <w:lang w:val="en-US" w:eastAsia="zh-CN"/>
        </w:rPr>
      </w:pPr>
    </w:p>
    <w:p w14:paraId="324C2F12">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7D303AC8">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测斜仪在垂直状态下测斜仪探头的理论测值为零，但实际情况下探头会有一个接近零的数值输出，这是零点的偏移误差。在偏移误差值不变的情况下，零点的偏移误差可以通过正反方向的测值来修正。但在同一次测量过程中，如零点偏移值改变，其系统误差就无法通过正、反2次测值相减来消除，则需要另外修正。</w:t>
      </w:r>
    </w:p>
    <w:p w14:paraId="7AB4684F">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仪器零点偏移的主要原因，一是测斜仪探头受到碰撞或冲击，造成仪器内加速度计传感器的零点值改变；二是探头温度改变导致输出值改变。</w:t>
      </w:r>
    </w:p>
    <w:p w14:paraId="4F4CD1C5">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测斜孔一般深度较大，管底部通常存在地下水，地下水温度常年基本保持恒定，一般为15℃~17℃。而室外气温变化较为剧烈，南方地区气温偏高夏天气温可达35℃以上。因此测试前需将探头放置于测斜管管底，待其温度平衡后再进行观测。现场经验表明：当室外气温不高、温差不大时，需放置5min～10min；当室外气温较高温差较大时需放置10min～15min。待探头温度与测斜管内温度基本一致后再开始测量。</w:t>
      </w:r>
    </w:p>
    <w:p w14:paraId="30BFD83F">
      <w:pPr>
        <w:ind w:firstLine="480" w:firstLineChars="200"/>
        <w:rPr>
          <w:rFonts w:hint="eastAsia" w:ascii="Times New Roman" w:hAnsi="Times New Roman" w:cs="Times New Roman"/>
          <w:color w:val="0000FF"/>
          <w:highlight w:val="none"/>
          <w:lang w:val="en-US" w:eastAsia="zh-CN"/>
        </w:rPr>
      </w:pPr>
    </w:p>
    <w:p w14:paraId="5EB29AFE">
      <w:pP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6. 2. 10</w:t>
      </w:r>
      <w:r>
        <w:rPr>
          <w:rFonts w:hint="eastAsia" w:ascii="Times New Roman" w:hAnsi="Times New Roman" w:cs="Times New Roman"/>
          <w:highlight w:val="none"/>
          <w:lang w:val="en-US" w:eastAsia="zh-CN"/>
        </w:rPr>
        <w:t xml:space="preserve">  当以管口作为深层水平位移的起算点时，</w:t>
      </w:r>
      <w:r>
        <w:rPr>
          <w:rFonts w:hint="eastAsia" w:ascii="Times New Roman" w:hAnsi="Times New Roman" w:eastAsia="宋体" w:cs="Times New Roman"/>
          <w:highlight w:val="none"/>
        </w:rPr>
        <w:t>每次监测均应复核管口水平位移并对深层水平位移监测值进行修正</w:t>
      </w:r>
      <w:r>
        <w:rPr>
          <w:rFonts w:hint="eastAsia" w:ascii="Times New Roman" w:hAnsi="Times New Roman" w:cs="Times New Roman"/>
          <w:color w:val="auto"/>
          <w:highlight w:val="none"/>
          <w:lang w:val="en-US" w:eastAsia="zh-CN"/>
        </w:rPr>
        <w:t>。</w:t>
      </w:r>
    </w:p>
    <w:p w14:paraId="2B89612E">
      <w:pPr>
        <w:rPr>
          <w:rFonts w:hint="eastAsia" w:ascii="Times New Roman" w:hAnsi="Times New Roman" w:cs="Times New Roman"/>
          <w:b/>
          <w:bCs/>
          <w:color w:val="0000FF"/>
          <w:highlight w:val="none"/>
          <w:lang w:val="en-US" w:eastAsia="zh-CN"/>
        </w:rPr>
      </w:pPr>
    </w:p>
    <w:p w14:paraId="10450896">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43A6DD63">
      <w:pPr>
        <w:ind w:firstLine="480" w:firstLineChars="200"/>
        <w:rPr>
          <w:rFonts w:hint="eastAsia" w:ascii="Times New Roman" w:hAnsi="Times New Roman" w:cs="Times New Roman"/>
          <w:b w:val="0"/>
          <w:bCs w:val="0"/>
          <w:highlight w:val="none"/>
          <w:lang w:val="en-US" w:eastAsia="zh-CN"/>
        </w:rPr>
      </w:pPr>
      <w:r>
        <w:rPr>
          <w:rFonts w:hint="eastAsia" w:ascii="Times New Roman" w:hAnsi="Times New Roman" w:cs="Times New Roman"/>
          <w:color w:val="0000FF"/>
          <w:highlight w:val="none"/>
          <w:lang w:val="en-US" w:eastAsia="zh-CN"/>
        </w:rPr>
        <w:t>深层水平位移监测顶部累计法，除了底部累计法的常见各类误差来源外，尚有管口坐标测定误差影响，一般情况下较少采用，条文对不便于采用底部累计法时，如测管底部堵塞较多、桩踢脚、测孔深度太大等，采用顶部累计法时的基本要求。一般情况下，随着测孔深度加大、单孔测量时间较长，相对误差越大。在深度与边坡高度比较大时，相对误差大于采用顶部累计法误差时，宜采用顶部累计法。</w:t>
      </w:r>
    </w:p>
    <w:p w14:paraId="65B79276">
      <w:pPr>
        <w:jc w:val="center"/>
        <w:rPr>
          <w:rFonts w:hint="eastAsia" w:ascii="Times New Roman" w:hAnsi="Times New Roman" w:cs="Times New Roman"/>
          <w:b/>
          <w:bCs/>
          <w:highlight w:val="none"/>
          <w:lang w:val="en-US" w:eastAsia="zh-CN"/>
        </w:rPr>
      </w:pPr>
      <w:r>
        <w:rPr>
          <w:rFonts w:hint="eastAsia" w:ascii="Times New Roman" w:hAnsi="Times New Roman" w:cs="Times New Roman"/>
          <w:b w:val="0"/>
          <w:bCs w:val="0"/>
          <w:highlight w:val="none"/>
          <w:lang w:val="en-US" w:eastAsia="zh-CN"/>
        </w:rPr>
        <w:t>Ⅳ  倾斜监测</w:t>
      </w:r>
    </w:p>
    <w:p w14:paraId="78C77634">
      <w:pPr>
        <w:rPr>
          <w:rFonts w:hint="eastAsia" w:ascii="Times New Roman" w:hAnsi="Times New Roman" w:cs="Times New Roman"/>
          <w:b/>
          <w:bCs/>
          <w:highlight w:val="none"/>
          <w:lang w:val="en-US" w:eastAsia="en-US"/>
        </w:rPr>
      </w:pPr>
      <w:r>
        <w:rPr>
          <w:rFonts w:hint="eastAsia" w:ascii="Times New Roman" w:hAnsi="Times New Roman" w:cs="Times New Roman"/>
          <w:b/>
          <w:bCs/>
          <w:highlight w:val="none"/>
          <w:lang w:val="en-US" w:eastAsia="en-US"/>
        </w:rPr>
        <w:t>6.</w:t>
      </w:r>
      <w:r>
        <w:rPr>
          <w:rFonts w:hint="eastAsia" w:ascii="Times New Roman" w:hAnsi="Times New Roman" w:cs="Times New Roman"/>
          <w:b/>
          <w:bCs/>
          <w:highlight w:val="none"/>
          <w:lang w:val="en-US" w:eastAsia="zh-CN"/>
        </w:rPr>
        <w:t xml:space="preserve"> 2</w:t>
      </w:r>
      <w:r>
        <w:rPr>
          <w:rFonts w:hint="eastAsia"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lang w:val="en-US" w:eastAsia="en-US"/>
        </w:rPr>
        <w:t>1</w:t>
      </w: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建筑倾斜观测应根据现场观测条件和要求，</w:t>
      </w:r>
      <w:r>
        <w:rPr>
          <w:rFonts w:hint="eastAsia" w:ascii="Times New Roman" w:hAnsi="Times New Roman" w:cs="Times New Roman"/>
          <w:color w:val="auto"/>
          <w:highlight w:val="none"/>
          <w:lang w:val="en-US" w:eastAsia="zh-CN"/>
        </w:rPr>
        <w:t>可选</w:t>
      </w:r>
      <w:r>
        <w:rPr>
          <w:rFonts w:hint="eastAsia" w:ascii="Times New Roman" w:hAnsi="Times New Roman" w:cs="Times New Roman"/>
          <w:highlight w:val="none"/>
          <w:lang w:val="en-US" w:eastAsia="zh-CN"/>
        </w:rPr>
        <w:t>用投点法、前方交会法、激光铅直仪法、垂吊法、倾斜仪法和差异沉降法等方法。</w:t>
      </w:r>
    </w:p>
    <w:p w14:paraId="3FC397C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color w:val="0000FF"/>
          <w:highlight w:val="none"/>
          <w:lang w:val="en-US" w:eastAsia="zh-CN"/>
        </w:rPr>
      </w:pPr>
    </w:p>
    <w:p w14:paraId="1161CD0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099CC7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根据不同的现场观测条件和要求，采用根据实际条件采用合理测量方法：</w:t>
      </w:r>
    </w:p>
    <w:p w14:paraId="7548FDC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1 </w:t>
      </w:r>
      <w:r>
        <w:rPr>
          <w:rFonts w:hint="eastAsia" w:ascii="Times New Roman" w:hAnsi="Times New Roman" w:cs="Times New Roman"/>
          <w:color w:val="0000FF"/>
          <w:highlight w:val="none"/>
          <w:lang w:val="en-US" w:eastAsia="zh-CN"/>
        </w:rPr>
        <w:t>当被测建筑具有明显的外部特征点和宽敞的观测场地时，宜选用投点法、水平角观测法前方交会法等；</w:t>
      </w:r>
    </w:p>
    <w:p w14:paraId="40A1F39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2 </w:t>
      </w:r>
      <w:r>
        <w:rPr>
          <w:rFonts w:hint="eastAsia" w:ascii="Times New Roman" w:hAnsi="Times New Roman" w:cs="Times New Roman"/>
          <w:color w:val="0000FF"/>
          <w:highlight w:val="none"/>
          <w:lang w:val="en-US" w:eastAsia="zh-CN"/>
        </w:rPr>
        <w:t>当被测建筑内部有一定的竖向通视条件时，宜选用垂准法等；</w:t>
      </w:r>
    </w:p>
    <w:p w14:paraId="2A6712A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3 </w:t>
      </w:r>
      <w:r>
        <w:rPr>
          <w:rFonts w:hint="eastAsia" w:ascii="Times New Roman" w:hAnsi="Times New Roman" w:cs="Times New Roman"/>
          <w:color w:val="0000FF"/>
          <w:highlight w:val="none"/>
          <w:lang w:val="en-US" w:eastAsia="zh-CN"/>
        </w:rPr>
        <w:t>当被测建筑具有较大的结构刚度和基础刚度时,可选用倾斜仪法或差异沉降法。</w:t>
      </w:r>
    </w:p>
    <w:p w14:paraId="1D66856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en-US"/>
        </w:rPr>
      </w:pPr>
    </w:p>
    <w:p w14:paraId="241D5D53">
      <w:pPr>
        <w:jc w:val="cente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Ⅴ  裂缝监测</w:t>
      </w:r>
    </w:p>
    <w:p w14:paraId="6BF6547E">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6. 2. 12  </w:t>
      </w:r>
      <w:r>
        <w:rPr>
          <w:rFonts w:hint="eastAsia" w:ascii="Times New Roman" w:hAnsi="Times New Roman" w:cs="Times New Roman"/>
          <w:highlight w:val="none"/>
          <w:lang w:val="en-US" w:eastAsia="zh-CN"/>
        </w:rPr>
        <w:t>裂缝监测应监测裂缝的长度、宽度，记录其</w:t>
      </w:r>
      <w:r>
        <w:rPr>
          <w:rFonts w:hint="eastAsia" w:ascii="Times New Roman" w:hAnsi="Times New Roman" w:cs="Times New Roman"/>
          <w:color w:val="auto"/>
          <w:highlight w:val="none"/>
          <w:lang w:val="en-US" w:eastAsia="zh-CN"/>
        </w:rPr>
        <w:t>位置、走向、</w:t>
      </w:r>
      <w:r>
        <w:rPr>
          <w:rFonts w:hint="eastAsia" w:ascii="Times New Roman" w:hAnsi="Times New Roman" w:cs="Times New Roman"/>
          <w:highlight w:val="none"/>
          <w:lang w:val="en-US" w:eastAsia="zh-CN"/>
        </w:rPr>
        <w:t>必要时尚应监测裂缝深度。</w:t>
      </w:r>
    </w:p>
    <w:p w14:paraId="2AD07866">
      <w:pPr>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6. 2. 13</w:t>
      </w:r>
      <w:r>
        <w:rPr>
          <w:rFonts w:hint="eastAsia" w:ascii="Times New Roman" w:hAnsi="Times New Roman" w:cs="Times New Roman"/>
          <w:highlight w:val="none"/>
          <w:lang w:val="en-US" w:eastAsia="zh-CN"/>
        </w:rPr>
        <w:t xml:space="preserve">  建筑边坡开挖前应记录监测对象已有裂缝的分布位置和数量，</w:t>
      </w:r>
      <w:r>
        <w:rPr>
          <w:rFonts w:hint="eastAsia" w:ascii="Times New Roman" w:hAnsi="Times New Roman" w:cs="Times New Roman"/>
          <w:color w:val="auto"/>
          <w:highlight w:val="none"/>
          <w:lang w:val="en-US" w:eastAsia="zh-CN"/>
        </w:rPr>
        <w:t>监测标志应具有可供测量的明晰端面或中心。</w:t>
      </w:r>
    </w:p>
    <w:p w14:paraId="4CB894D8">
      <w:pPr>
        <w:rPr>
          <w:rFonts w:hint="eastAsia" w:ascii="Times New Roman" w:hAnsi="Times New Roman" w:cs="Times New Roman"/>
          <w:b/>
          <w:bCs/>
          <w:color w:val="0000FF"/>
          <w:highlight w:val="none"/>
          <w:lang w:val="en-US" w:eastAsia="zh-CN"/>
        </w:rPr>
      </w:pPr>
    </w:p>
    <w:p w14:paraId="6A2F805A">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6C5C4A13">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fldChar w:fldCharType="begin"/>
      </w:r>
      <w:r>
        <w:rPr>
          <w:rFonts w:hint="eastAsia" w:ascii="Times New Roman" w:hAnsi="Times New Roman" w:cs="Times New Roman"/>
          <w:color w:val="0000FF"/>
          <w:highlight w:val="none"/>
          <w:lang w:val="en-US" w:eastAsia="zh-CN"/>
        </w:rPr>
        <w:instrText xml:space="preserve"> HYPERLINK "https://www.zhihu.com/search?q=%E8%A3%82%E7%BC%9D%E8%A7%82%E6%B5%8B&amp;search_source=Entity&amp;hybrid_search_source=Entity&amp;hybrid_search_extra={"sourceType":"answer","sourceId":3082225819}" \t "https://www.zhihu.com/question/_blank" </w:instrText>
      </w:r>
      <w:r>
        <w:rPr>
          <w:rFonts w:hint="eastAsia" w:ascii="Times New Roman" w:hAnsi="Times New Roman" w:cs="Times New Roman"/>
          <w:color w:val="0000FF"/>
          <w:highlight w:val="none"/>
          <w:lang w:val="en-US" w:eastAsia="zh-CN"/>
        </w:rPr>
        <w:fldChar w:fldCharType="separate"/>
      </w:r>
      <w:r>
        <w:rPr>
          <w:rFonts w:hint="eastAsia" w:ascii="Times New Roman" w:hAnsi="Times New Roman" w:cs="Times New Roman"/>
          <w:color w:val="0000FF"/>
          <w:highlight w:val="none"/>
          <w:lang w:val="en-US" w:eastAsia="zh-CN"/>
        </w:rPr>
        <w:t>裂缝</w:t>
      </w:r>
      <w:r>
        <w:rPr>
          <w:rFonts w:hint="eastAsia" w:ascii="Times New Roman" w:hAnsi="Times New Roman" w:cs="Times New Roman"/>
          <w:color w:val="0000FF"/>
          <w:highlight w:val="none"/>
          <w:lang w:val="en-US" w:eastAsia="zh-CN"/>
        </w:rPr>
        <w:fldChar w:fldCharType="end"/>
      </w:r>
      <w:r>
        <w:rPr>
          <w:rFonts w:hint="eastAsia" w:ascii="Times New Roman" w:hAnsi="Times New Roman" w:cs="Times New Roman"/>
          <w:color w:val="0000FF"/>
          <w:highlight w:val="none"/>
          <w:lang w:val="en-US" w:eastAsia="zh-CN"/>
        </w:rPr>
        <w:t>是建筑边坡施工前的一项重要调查内容，用于记录施工前周边环境的初始状态，以评估后期施工影响。主要目的是查明裂缝情况，掌握变化规律，分析成因和危害，以便采取对策，保证建筑边坡施工及后期使用安全。裂缝观测应按照条文6.2.12规定内容测定。观测的裂缝数量视需要而定，对主要的或变化大的裂缝应进行观测。以便根据这些资料分析其产生裂缝的原因及其对于建（构）筑物安全的影响，及时采取有效措施处理。</w:t>
      </w:r>
    </w:p>
    <w:p w14:paraId="7C6D9391">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为准确测定规范规定的内容，特别是裂缝宽度。选取裂缝有代表性的位置，设置可供精确测量的标志是基本前提。</w:t>
      </w:r>
    </w:p>
    <w:p w14:paraId="6474F2B9">
      <w:pPr>
        <w:ind w:firstLine="480" w:firstLineChars="200"/>
        <w:rPr>
          <w:rFonts w:hint="eastAsia" w:ascii="Times New Roman" w:hAnsi="Times New Roman" w:cs="Times New Roman"/>
          <w:color w:val="0000FF"/>
          <w:highlight w:val="none"/>
          <w:lang w:val="en-US" w:eastAsia="zh-CN"/>
        </w:rPr>
      </w:pPr>
    </w:p>
    <w:p w14:paraId="40E169C8">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6. 2. 14</w:t>
      </w:r>
      <w:r>
        <w:rPr>
          <w:rFonts w:hint="eastAsia" w:ascii="Times New Roman" w:hAnsi="Times New Roman" w:cs="Times New Roman"/>
          <w:highlight w:val="none"/>
          <w:lang w:val="en-US" w:eastAsia="zh-CN"/>
        </w:rPr>
        <w:t xml:space="preserve">  结构裂缝监测应满足下列要求：</w:t>
      </w:r>
    </w:p>
    <w:p w14:paraId="1831984B">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裂缝宽度监测宜在裂缝两侧贴埋标志，用千分尺或游标卡尺等直接量测，也可用裂缝计、粘贴安装千分表量测或摄影量测等；</w:t>
      </w:r>
    </w:p>
    <w:p w14:paraId="3A7080A1">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裂缝长度监测宜采用直接量测法；</w:t>
      </w:r>
    </w:p>
    <w:p w14:paraId="241B2A1A">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裂缝深度监测宜采用超声波法、凿出法等；</w:t>
      </w:r>
    </w:p>
    <w:p w14:paraId="0E83B0FF">
      <w:pPr>
        <w:numPr>
          <w:ilvl w:val="0"/>
          <w:numId w:val="0"/>
        </w:numPr>
        <w:ind w:firstLine="482" w:firstLineChars="20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 xml:space="preserve">4  </w:t>
      </w:r>
      <w:r>
        <w:rPr>
          <w:rFonts w:hint="eastAsia" w:ascii="Times New Roman" w:hAnsi="Times New Roman" w:cs="Times New Roman"/>
          <w:highlight w:val="none"/>
          <w:lang w:val="en-US" w:eastAsia="zh-CN"/>
        </w:rPr>
        <w:t>裂缝宽度量测精度不宜低于0. 1mm，裂缝长度和深度量测精度不宜低于1mm。</w:t>
      </w:r>
    </w:p>
    <w:p w14:paraId="2414A13A">
      <w:pPr>
        <w:numPr>
          <w:ilvl w:val="0"/>
          <w:numId w:val="0"/>
        </w:numPr>
        <w:rPr>
          <w:rFonts w:hint="eastAsia" w:ascii="Times New Roman" w:hAnsi="Times New Roman" w:cs="Times New Roman"/>
          <w:b/>
          <w:bCs/>
          <w:highlight w:val="none"/>
          <w:lang w:val="en-US" w:eastAsia="zh-CN"/>
        </w:rPr>
      </w:pPr>
    </w:p>
    <w:p w14:paraId="5B44D45A">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519CC9AF">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1点贴埋标志方法主要针对精度要求不高的部位。可用石膏饼法在测量部位粘贴石膏饼，如开裂，石膏饼随之开裂，测量裂缝的宽度；或用划平行线法测量裂缝的上下错位；或用金属片固定法把两块白铁片分别固定在裂缝两侧，相互紧贴，再在铁片表面涂上油漆,裂缝发展时，两块铁片逐渐拉开,露出的未油漆部分铁片即为新增的裂缝宽度和错位。</w:t>
      </w:r>
    </w:p>
    <w:p w14:paraId="0D4226BC">
      <w:pPr>
        <w:ind w:firstLine="480" w:firstLineChars="200"/>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2点，直接测量法简单、直观、成本低、不用标定，适用于除高温及腐蚀环境的所有类型裂缝的观测。其他方法，如柔度法、电位法、探伤法等则存在测量对象局限性较大、技术实现较难、成本较高、精度较低、效率较低等，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不推荐在建筑边坡裂缝观测中使用。</w:t>
      </w:r>
    </w:p>
    <w:p w14:paraId="57CDFA57">
      <w:pPr>
        <w:ind w:firstLine="480" w:firstLineChars="200"/>
        <w:rPr>
          <w:rFonts w:hint="eastAsia" w:ascii="Times New Roman" w:hAnsi="Times New Roman" w:cs="Times New Roman"/>
          <w:b/>
          <w:bCs/>
          <w:highlight w:val="none"/>
          <w:lang w:val="en-US" w:eastAsia="zh-CN"/>
        </w:rPr>
      </w:pPr>
      <w:r>
        <w:rPr>
          <w:rFonts w:hint="eastAsia" w:ascii="Times New Roman" w:hAnsi="Times New Roman" w:cs="Times New Roman"/>
          <w:color w:val="0000FF"/>
          <w:highlight w:val="none"/>
          <w:lang w:val="en-US" w:eastAsia="zh-CN"/>
        </w:rPr>
        <w:t>本条第3款，裂缝深度较小时宜采用单面接触超声波法量测；深度较大时裂缝宜采用超声波法量测。</w:t>
      </w:r>
    </w:p>
    <w:p w14:paraId="14AE0C8E">
      <w:pP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条文说明：</w:t>
      </w:r>
    </w:p>
    <w:p w14:paraId="3F3EA075">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根据《混凝土结构工程施工质量验收规范》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 50204 附录B(受弯预制构件结构性能检验)中提及构件的承载力检验系数允许值的检验内容中提及了最大裂缝宽度的检验。第B.1.5条的规定中也提及了最大裂缝宽度的检测。表 B.1.5构件的最大缝宽度允许值 (mm)，设计要求的最大裂缝宽度限值。</w:t>
      </w:r>
    </w:p>
    <w:p w14:paraId="019289AE">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表B.1.5构件的最大裂缝宽度允许值（mm）</w:t>
      </w:r>
    </w:p>
    <w:tbl>
      <w:tblPr>
        <w:tblStyle w:val="11"/>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5"/>
        <w:gridCol w:w="1140"/>
        <w:gridCol w:w="1260"/>
        <w:gridCol w:w="1125"/>
        <w:gridCol w:w="1125"/>
      </w:tblGrid>
      <w:tr w14:paraId="5220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465" w:type="dxa"/>
            <w:vAlign w:val="center"/>
          </w:tcPr>
          <w:p w14:paraId="52FB7B2D">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设计要求最大裂缝宽度限值</w:t>
            </w:r>
          </w:p>
        </w:tc>
        <w:tc>
          <w:tcPr>
            <w:tcW w:w="1140" w:type="dxa"/>
            <w:vAlign w:val="center"/>
          </w:tcPr>
          <w:p w14:paraId="1E436886">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0.1</w:t>
            </w:r>
          </w:p>
        </w:tc>
        <w:tc>
          <w:tcPr>
            <w:tcW w:w="1260" w:type="dxa"/>
            <w:vAlign w:val="center"/>
          </w:tcPr>
          <w:p w14:paraId="62AC8ECF">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0.2</w:t>
            </w:r>
          </w:p>
        </w:tc>
        <w:tc>
          <w:tcPr>
            <w:tcW w:w="1125" w:type="dxa"/>
            <w:vAlign w:val="center"/>
          </w:tcPr>
          <w:p w14:paraId="026CCBF2">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0.3</w:t>
            </w:r>
          </w:p>
        </w:tc>
        <w:tc>
          <w:tcPr>
            <w:tcW w:w="1125" w:type="dxa"/>
            <w:vAlign w:val="center"/>
          </w:tcPr>
          <w:p w14:paraId="2F0E0D8F">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0.4</w:t>
            </w:r>
          </w:p>
        </w:tc>
      </w:tr>
      <w:tr w14:paraId="0C58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465" w:type="dxa"/>
            <w:vAlign w:val="center"/>
          </w:tcPr>
          <w:p w14:paraId="61A215A9">
            <w:pPr>
              <w:jc w:val="center"/>
              <w:rPr>
                <w:rFonts w:hint="default" w:ascii="Times New Roman" w:hAnsi="Times New Roman" w:cs="Times New Roman"/>
                <w:color w:val="0000FF"/>
                <w:highlight w:val="none"/>
                <w:vertAlign w:val="subscript"/>
                <w:lang w:val="en-US" w:eastAsia="zh-CN"/>
              </w:rPr>
            </w:pPr>
            <w:r>
              <w:rPr>
                <w:rFonts w:hint="eastAsia" w:ascii="Times New Roman" w:hAnsi="Times New Roman" w:cs="Times New Roman"/>
                <w:color w:val="0000FF"/>
                <w:sz w:val="28"/>
                <w:szCs w:val="28"/>
                <w:highlight w:val="none"/>
                <w:vertAlign w:val="baseline"/>
                <w:lang w:val="en-US" w:eastAsia="zh-CN"/>
              </w:rPr>
              <w:t>【ω</w:t>
            </w:r>
            <w:r>
              <w:rPr>
                <w:rFonts w:hint="eastAsia" w:ascii="Times New Roman" w:hAnsi="Times New Roman" w:cs="Times New Roman"/>
                <w:color w:val="0000FF"/>
                <w:highlight w:val="none"/>
                <w:vertAlign w:val="baseline"/>
                <w:lang w:val="en-US" w:eastAsia="zh-CN"/>
              </w:rPr>
              <w:t>max</w:t>
            </w:r>
            <w:r>
              <w:rPr>
                <w:rFonts w:hint="eastAsia" w:ascii="Times New Roman" w:hAnsi="Times New Roman" w:cs="Times New Roman"/>
                <w:color w:val="0000FF"/>
                <w:sz w:val="28"/>
                <w:szCs w:val="28"/>
                <w:highlight w:val="none"/>
                <w:vertAlign w:val="baseline"/>
                <w:lang w:val="en-US" w:eastAsia="zh-CN"/>
              </w:rPr>
              <w:t>】</w:t>
            </w:r>
          </w:p>
        </w:tc>
        <w:tc>
          <w:tcPr>
            <w:tcW w:w="1140" w:type="dxa"/>
            <w:vAlign w:val="center"/>
          </w:tcPr>
          <w:p w14:paraId="24B71D0B">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0.07</w:t>
            </w:r>
          </w:p>
        </w:tc>
        <w:tc>
          <w:tcPr>
            <w:tcW w:w="1260" w:type="dxa"/>
            <w:vAlign w:val="center"/>
          </w:tcPr>
          <w:p w14:paraId="13007F6E">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0.15</w:t>
            </w:r>
          </w:p>
        </w:tc>
        <w:tc>
          <w:tcPr>
            <w:tcW w:w="1125" w:type="dxa"/>
            <w:vAlign w:val="center"/>
          </w:tcPr>
          <w:p w14:paraId="50289CC4">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0.20</w:t>
            </w:r>
          </w:p>
        </w:tc>
        <w:tc>
          <w:tcPr>
            <w:tcW w:w="1125" w:type="dxa"/>
            <w:vAlign w:val="center"/>
          </w:tcPr>
          <w:p w14:paraId="0511833F">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0.25</w:t>
            </w:r>
          </w:p>
        </w:tc>
      </w:tr>
    </w:tbl>
    <w:p w14:paraId="7DC10ED2">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在《危险房屋鉴定标准》 JGJ 2 中第4.5条共规定了16种现象为危险点的判定依据，其中关于裂缝的有10种，提到具体裂缝宽度限值的有6种，裂缝宽度限值有0.4mm、 0.5mm和1mm三种。大于相关限值，则判定为危险点。因此本条文规定裂缝宽度测量精度需优于0.1mm，是出于上述内容从严考虑。</w:t>
      </w:r>
    </w:p>
    <w:p w14:paraId="5C3DFDB0">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根据公开文献资料对数百条结构裂缝开展裂缝演化规律研究，统计分析结果表明裂缝长度及深度与对应宽度的关系，大致呈深度与宽度为1~2个数量级，与长度基本吻合区间为3个数量级。按照从严考虑仪器精度原则，本条文确定裂缝长度和深度测量精度应优于1mm，是充分满足实际测量工作要求的。</w:t>
      </w:r>
    </w:p>
    <w:p w14:paraId="2D4FCB09">
      <w:pPr>
        <w:ind w:firstLine="480" w:firstLineChars="200"/>
        <w:rPr>
          <w:rFonts w:hint="eastAsia" w:ascii="Times New Roman" w:hAnsi="Times New Roman" w:cs="Times New Roman"/>
          <w:color w:val="0000FF"/>
          <w:highlight w:val="none"/>
          <w:lang w:val="en-US" w:eastAsia="zh-CN"/>
        </w:rPr>
      </w:pPr>
    </w:p>
    <w:p w14:paraId="0468AA77">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6. 2. 15</w:t>
      </w:r>
      <w:r>
        <w:rPr>
          <w:rFonts w:hint="eastAsia" w:ascii="Times New Roman" w:hAnsi="Times New Roman" w:cs="Times New Roman"/>
          <w:highlight w:val="none"/>
          <w:lang w:val="en-US" w:eastAsia="zh-CN"/>
        </w:rPr>
        <w:t xml:space="preserve">  地表裂缝监测应满足下列要求：</w:t>
      </w:r>
    </w:p>
    <w:p w14:paraId="7D7D48B8">
      <w:pPr>
        <w:ind w:firstLine="482"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1</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当裂缝长度小于5m或宽度小于1cm时，可采用滑尺、钢尺等简易手段进行测量，当边坡表面裂缝深度小于2m时，可用坑槽探法检查裂缝深度、宽度及状况等；</w:t>
      </w:r>
    </w:p>
    <w:p w14:paraId="0969595E">
      <w:pPr>
        <w:ind w:firstLine="482"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当边坡表面裂缝长度超过5m、宽度大于1cm且深度大于2m时，应采用测缝计或位移计进行监测；</w:t>
      </w:r>
    </w:p>
    <w:p w14:paraId="4EF25627">
      <w:pPr>
        <w:ind w:firstLine="482" w:firstLineChars="200"/>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3</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对于岩质边坡，地表裂缝的观测中误差不宜低于0.5mm；对于土质边坡，地表裂缝的观测中误差不宜低于5mm。</w:t>
      </w:r>
    </w:p>
    <w:p w14:paraId="360DA32E">
      <w:pPr>
        <w:rPr>
          <w:rFonts w:hint="eastAsia" w:ascii="Times New Roman" w:hAnsi="Times New Roman" w:cs="Times New Roman"/>
          <w:b/>
          <w:bCs/>
          <w:color w:val="0000FF"/>
          <w:highlight w:val="none"/>
          <w:lang w:val="en-US" w:eastAsia="zh-CN"/>
        </w:rPr>
      </w:pPr>
    </w:p>
    <w:p w14:paraId="73FD4676">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5A0E7924">
      <w:pPr>
        <w:ind w:firstLine="480" w:firstLineChars="200"/>
        <w:jc w:val="both"/>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裂缝的位置、走向、长度、宽度是裂缝监测的4个要素，裂缝深度测量由于手段较为复杂、精度较低</w:t>
      </w:r>
      <w:r>
        <w:rPr>
          <w:rFonts w:hint="eastAsia" w:cs="Times New Roman"/>
          <w:color w:val="0000FF"/>
          <w:highlight w:val="none"/>
          <w:lang w:val="en-US" w:eastAsia="zh-CN"/>
        </w:rPr>
        <w:t>，</w:t>
      </w:r>
      <w:r>
        <w:rPr>
          <w:rFonts w:hint="eastAsia" w:ascii="Times New Roman" w:hAnsi="Times New Roman" w:cs="Times New Roman"/>
          <w:color w:val="0000FF"/>
          <w:highlight w:val="none"/>
          <w:lang w:val="en-US" w:eastAsia="zh-CN"/>
        </w:rPr>
        <w:t>有可能需要对裂缝表面进行开凿，因此，只有在特殊要求时才进行监测。</w:t>
      </w:r>
    </w:p>
    <w:p w14:paraId="3DDCC504">
      <w:pPr>
        <w:jc w:val="cente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Ⅶ  地下水位监测</w:t>
      </w:r>
    </w:p>
    <w:p w14:paraId="0440AA6D">
      <w:pPr>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6. 2. 16</w:t>
      </w:r>
      <w:r>
        <w:rPr>
          <w:rFonts w:hint="eastAsia" w:ascii="Times New Roman" w:hAnsi="Times New Roman" w:cs="Times New Roman"/>
          <w:highlight w:val="none"/>
          <w:lang w:val="en-US" w:eastAsia="zh-CN"/>
        </w:rPr>
        <w:t xml:space="preserve">  地下水位监测宜采用钻孔内设置水位管的方法测试，可采用</w:t>
      </w:r>
      <w:r>
        <w:rPr>
          <w:rFonts w:hint="eastAsia" w:ascii="Times New Roman" w:hAnsi="Times New Roman" w:cs="Times New Roman"/>
          <w:color w:val="auto"/>
          <w:highlight w:val="none"/>
          <w:lang w:val="en-US" w:eastAsia="zh-CN"/>
        </w:rPr>
        <w:t>测绳</w:t>
      </w:r>
      <w:r>
        <w:rPr>
          <w:rFonts w:hint="eastAsia" w:ascii="Times New Roman" w:hAnsi="Times New Roman" w:cs="Times New Roman"/>
          <w:highlight w:val="none"/>
          <w:lang w:val="en-US" w:eastAsia="zh-CN"/>
        </w:rPr>
        <w:t>、钢尺水位计、渗压计等进行量测。</w:t>
      </w:r>
    </w:p>
    <w:p w14:paraId="468569F2">
      <w:pPr>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6. 2. 17</w:t>
      </w:r>
      <w:r>
        <w:rPr>
          <w:rFonts w:hint="eastAsia" w:ascii="Times New Roman" w:hAnsi="Times New Roman" w:cs="Times New Roman"/>
          <w:highlight w:val="none"/>
          <w:lang w:val="en-US" w:eastAsia="zh-CN"/>
        </w:rPr>
        <w:t xml:space="preserve">  地下水位监测精度不宜低于10mm。</w:t>
      </w:r>
    </w:p>
    <w:p w14:paraId="188CFDEF">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6. 2. 18</w:t>
      </w:r>
      <w:r>
        <w:rPr>
          <w:rFonts w:hint="eastAsia" w:ascii="Times New Roman" w:hAnsi="Times New Roman" w:cs="Times New Roman"/>
          <w:highlight w:val="none"/>
          <w:lang w:val="en-US" w:eastAsia="zh-CN"/>
        </w:rPr>
        <w:t xml:space="preserve">  地下水位监测应符合下列规定：</w:t>
      </w:r>
    </w:p>
    <w:p w14:paraId="6A03ED0F">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水位监测应从固定点量起并将读数换算成</w:t>
      </w:r>
      <w:r>
        <w:rPr>
          <w:rFonts w:hint="eastAsia" w:ascii="Times New Roman" w:hAnsi="Times New Roman" w:cs="Times New Roman"/>
          <w:color w:val="auto"/>
          <w:highlight w:val="none"/>
          <w:lang w:val="en-US" w:eastAsia="zh-CN"/>
        </w:rPr>
        <w:t>水位埋深及标高</w:t>
      </w:r>
      <w:r>
        <w:rPr>
          <w:rFonts w:hint="eastAsia" w:ascii="Times New Roman" w:hAnsi="Times New Roman" w:cs="Times New Roman"/>
          <w:highlight w:val="none"/>
          <w:lang w:val="en-US" w:eastAsia="zh-CN"/>
        </w:rPr>
        <w:t>；</w:t>
      </w:r>
    </w:p>
    <w:p w14:paraId="50F121BB">
      <w:pPr>
        <w:ind w:firstLine="482" w:firstLineChars="20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采用测绳测量水位时，应对其伸缩性进行校核并消除误差；</w:t>
      </w:r>
    </w:p>
    <w:p w14:paraId="215B0FCF">
      <w:pPr>
        <w:ind w:firstLine="482" w:firstLineChars="20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采用水位计时，应检查传感器的可靠性。</w:t>
      </w:r>
    </w:p>
    <w:p w14:paraId="5924C693">
      <w:pPr>
        <w:rPr>
          <w:rFonts w:hint="eastAsia" w:ascii="Times New Roman" w:hAnsi="Times New Roman" w:cs="Times New Roman"/>
          <w:b/>
          <w:bCs/>
          <w:color w:val="0000FF"/>
          <w:highlight w:val="none"/>
          <w:lang w:val="en-US" w:eastAsia="zh-CN"/>
        </w:rPr>
      </w:pPr>
    </w:p>
    <w:p w14:paraId="7565CCC8">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6C63FEC9">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本条第1点明确了水位测量起算点，同时明确了最终成果要求。众所周知，地下水位是指地下</w:t>
      </w:r>
      <w:r>
        <w:rPr>
          <w:rFonts w:hint="default" w:ascii="Times New Roman" w:hAnsi="Times New Roman" w:cs="Times New Roman"/>
          <w:color w:val="0000FF"/>
          <w:highlight w:val="none"/>
          <w:lang w:val="en-US" w:eastAsia="zh-CN"/>
        </w:rPr>
        <w:fldChar w:fldCharType="begin"/>
      </w:r>
      <w:r>
        <w:rPr>
          <w:rFonts w:hint="default" w:ascii="Times New Roman" w:hAnsi="Times New Roman" w:cs="Times New Roman"/>
          <w:color w:val="0000FF"/>
          <w:highlight w:val="none"/>
          <w:lang w:val="en-US" w:eastAsia="zh-CN"/>
        </w:rPr>
        <w:instrText xml:space="preserve"> HYPERLINK "https://baike.so.com/doc/483392-511892.html" \t "https://baike.so.com/doc/_blank" </w:instrText>
      </w:r>
      <w:r>
        <w:rPr>
          <w:rFonts w:hint="default" w:ascii="Times New Roman" w:hAnsi="Times New Roman" w:cs="Times New Roman"/>
          <w:color w:val="0000FF"/>
          <w:highlight w:val="none"/>
          <w:lang w:val="en-US" w:eastAsia="zh-CN"/>
        </w:rPr>
        <w:fldChar w:fldCharType="separate"/>
      </w:r>
      <w:r>
        <w:rPr>
          <w:rFonts w:hint="default" w:ascii="Times New Roman" w:hAnsi="Times New Roman" w:cs="Times New Roman"/>
          <w:color w:val="0000FF"/>
          <w:highlight w:val="none"/>
          <w:lang w:val="en-US" w:eastAsia="zh-CN"/>
        </w:rPr>
        <w:t>含水层</w:t>
      </w:r>
      <w:r>
        <w:rPr>
          <w:rFonts w:hint="default" w:ascii="Times New Roman" w:hAnsi="Times New Roman" w:cs="Times New Roman"/>
          <w:color w:val="0000FF"/>
          <w:highlight w:val="none"/>
          <w:lang w:val="en-US" w:eastAsia="zh-CN"/>
        </w:rPr>
        <w:fldChar w:fldCharType="end"/>
      </w:r>
      <w:r>
        <w:rPr>
          <w:rFonts w:hint="default" w:ascii="Times New Roman" w:hAnsi="Times New Roman" w:cs="Times New Roman"/>
          <w:color w:val="0000FF"/>
          <w:highlight w:val="none"/>
          <w:lang w:val="en-US" w:eastAsia="zh-CN"/>
        </w:rPr>
        <w:t>中水面的高程</w:t>
      </w:r>
      <w:r>
        <w:rPr>
          <w:rFonts w:hint="eastAsia" w:ascii="Times New Roman" w:hAnsi="Times New Roman" w:cs="Times New Roman"/>
          <w:color w:val="0000FF"/>
          <w:highlight w:val="none"/>
          <w:lang w:val="en-US" w:eastAsia="zh-CN"/>
        </w:rPr>
        <w:t>。日常测量中，基本起算点为地下水位管口，每次测量管口至水位管内水面的空管长度，该测量结果应结合管口高程换算出管内水面高程。因此，要保证水位管管口高程测量纳入测量坐标系，建议与周边地面共用高程系统，便于比对，消除水位管所在部位整体下沉的影响；</w:t>
      </w:r>
    </w:p>
    <w:p w14:paraId="51B37AD7">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本条第2点，明确了使用测绳方法时，应注意规避的误差来源；</w:t>
      </w:r>
    </w:p>
    <w:p w14:paraId="061AC464">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本条第3点，主要检查导线和测量用导线连接是否可靠，连接处应采用绝缘胶带仔细包扎并检查电源、音响及灯显装置是否正常，测量用导线应做好长度尺寸标记等。</w:t>
      </w:r>
    </w:p>
    <w:p w14:paraId="23FE0557">
      <w:pPr>
        <w:ind w:firstLine="480" w:firstLineChars="200"/>
        <w:rPr>
          <w:rFonts w:hint="eastAsia" w:ascii="Times New Roman" w:hAnsi="Times New Roman" w:cs="Times New Roman"/>
          <w:color w:val="0000FF"/>
          <w:highlight w:val="none"/>
          <w:lang w:val="en-US" w:eastAsia="zh-CN"/>
        </w:rPr>
      </w:pPr>
    </w:p>
    <w:p w14:paraId="2DF9127F">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6. 2. 19</w:t>
      </w:r>
      <w:r>
        <w:rPr>
          <w:rFonts w:hint="eastAsia" w:ascii="Times New Roman" w:hAnsi="Times New Roman" w:cs="Times New Roman"/>
          <w:highlight w:val="none"/>
          <w:lang w:val="en-US" w:eastAsia="zh-CN"/>
        </w:rPr>
        <w:t xml:space="preserve">  水位管的安装应符合下列规定：</w:t>
      </w:r>
    </w:p>
    <w:p w14:paraId="40172F84">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水位管的导管段应顺直，内壁应光滑无阻，接头应采用外箍接头；</w:t>
      </w:r>
    </w:p>
    <w:p w14:paraId="50A52718">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w:t>
      </w:r>
      <w:r>
        <w:rPr>
          <w:rFonts w:hint="eastAsia" w:ascii="Times New Roman" w:hAnsi="Times New Roman" w:eastAsia="宋体" w:cs="Times New Roman"/>
          <w:color w:val="000000"/>
          <w:kern w:val="0"/>
          <w:sz w:val="24"/>
          <w:szCs w:val="24"/>
          <w:highlight w:val="none"/>
          <w:lang w:val="en-US" w:eastAsia="zh-CN" w:bidi="ar"/>
        </w:rPr>
        <w:t>观测孔</w:t>
      </w:r>
      <w:r>
        <w:rPr>
          <w:rFonts w:hint="eastAsia" w:ascii="Times New Roman" w:hAnsi="Times New Roman" w:cs="Times New Roman"/>
          <w:color w:val="auto"/>
          <w:kern w:val="0"/>
          <w:sz w:val="24"/>
          <w:szCs w:val="24"/>
          <w:highlight w:val="none"/>
          <w:lang w:val="en-US" w:eastAsia="zh-CN" w:bidi="ar"/>
        </w:rPr>
        <w:t>应分为上部不进水段、进水段、与沉淀</w:t>
      </w:r>
      <w:r>
        <w:rPr>
          <w:rFonts w:hint="eastAsia" w:ascii="Times New Roman" w:hAnsi="Times New Roman" w:eastAsia="宋体" w:cs="Times New Roman"/>
          <w:color w:val="auto"/>
          <w:kern w:val="0"/>
          <w:sz w:val="24"/>
          <w:szCs w:val="24"/>
          <w:highlight w:val="none"/>
          <w:lang w:val="en-US" w:eastAsia="zh-CN" w:bidi="ar"/>
        </w:rPr>
        <w:t>管</w:t>
      </w:r>
      <w:r>
        <w:rPr>
          <w:rFonts w:hint="eastAsia" w:ascii="Times New Roman" w:hAnsi="Times New Roman" w:cs="Times New Roman"/>
          <w:color w:val="auto"/>
          <w:kern w:val="0"/>
          <w:sz w:val="24"/>
          <w:szCs w:val="24"/>
          <w:highlight w:val="none"/>
          <w:lang w:val="en-US" w:eastAsia="zh-CN" w:bidi="ar"/>
        </w:rPr>
        <w:t>段</w:t>
      </w:r>
      <w:r>
        <w:rPr>
          <w:rFonts w:hint="eastAsia" w:ascii="Times New Roman" w:hAnsi="Times New Roman" w:cs="Times New Roman"/>
          <w:color w:val="auto"/>
          <w:highlight w:val="none"/>
          <w:lang w:val="en-US" w:eastAsia="zh-CN"/>
        </w:rPr>
        <w:t>；</w:t>
      </w:r>
    </w:p>
    <w:p w14:paraId="79EDA901">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埋设完成后应进行洗孔，观测孔内水位应与地层水位保持一致且连通性良好；</w:t>
      </w:r>
    </w:p>
    <w:p w14:paraId="41E423ED">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4  </w:t>
      </w:r>
      <w:r>
        <w:rPr>
          <w:rFonts w:hint="eastAsia" w:ascii="Times New Roman" w:hAnsi="Times New Roman" w:cs="Times New Roman"/>
          <w:highlight w:val="none"/>
          <w:lang w:val="en-US" w:eastAsia="zh-CN"/>
        </w:rPr>
        <w:t>水位观测管管底埋置深度应在最低设计水位或允许地下水位之下3m〜5m。</w:t>
      </w:r>
    </w:p>
    <w:p w14:paraId="72F2E078">
      <w:pPr>
        <w:rPr>
          <w:rFonts w:hint="eastAsia" w:ascii="Times New Roman" w:hAnsi="Times New Roman" w:cs="Times New Roman"/>
          <w:color w:val="0000FF"/>
          <w:highlight w:val="none"/>
          <w:lang w:val="en-US" w:eastAsia="zh-CN"/>
        </w:rPr>
      </w:pPr>
    </w:p>
    <w:p w14:paraId="0B2DC604">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12D99375">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本条第1点，规定了水管制式及安装方式，避免测量过程中探头或测绳被卡；</w:t>
      </w:r>
    </w:p>
    <w:p w14:paraId="5F891DD2">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2、3点，对于测孔埋设方式中应注意的问题，设置沉淀管是为了避免长期使用过程中泥渗入水位管，在底部沉积造成深度不足的问题。洗孔是为了冲洗钻孔余泥在水位管底部花管段淤积，阻断水位管内外水体联系，进而影响了测量结果。</w:t>
      </w:r>
      <w:r>
        <w:rPr>
          <w:rFonts w:hint="eastAsia" w:ascii="Times New Roman" w:hAnsi="Times New Roman" w:eastAsia="宋体" w:cs="Times New Roman"/>
          <w:color w:val="0000FF"/>
          <w:kern w:val="0"/>
          <w:sz w:val="24"/>
          <w:szCs w:val="24"/>
          <w:highlight w:val="none"/>
          <w:lang w:val="en-US" w:eastAsia="zh-CN" w:bidi="ar"/>
        </w:rPr>
        <w:t xml:space="preserve">本条第 </w:t>
      </w:r>
      <w:r>
        <w:rPr>
          <w:rFonts w:hint="default" w:ascii="Times New Roman" w:hAnsi="Times New Roman" w:eastAsia="宋体" w:cs="Times New Roman"/>
          <w:color w:val="0000FF"/>
          <w:kern w:val="0"/>
          <w:sz w:val="24"/>
          <w:szCs w:val="24"/>
          <w:highlight w:val="none"/>
          <w:lang w:val="en-US" w:eastAsia="zh-CN" w:bidi="ar"/>
        </w:rPr>
        <w:t>2</w:t>
      </w:r>
      <w:r>
        <w:rPr>
          <w:rFonts w:hint="eastAsia" w:ascii="Times New Roman" w:hAnsi="Times New Roman" w:eastAsia="宋体" w:cs="Times New Roman"/>
          <w:color w:val="0000FF"/>
          <w:kern w:val="0"/>
          <w:sz w:val="24"/>
          <w:szCs w:val="24"/>
          <w:highlight w:val="none"/>
          <w:lang w:val="en-US" w:eastAsia="zh-CN" w:bidi="ar"/>
        </w:rPr>
        <w:t>、</w:t>
      </w:r>
      <w:r>
        <w:rPr>
          <w:rFonts w:hint="default" w:ascii="Times New Roman" w:hAnsi="Times New Roman" w:eastAsia="宋体" w:cs="Times New Roman"/>
          <w:color w:val="0000FF"/>
          <w:kern w:val="0"/>
          <w:sz w:val="24"/>
          <w:szCs w:val="24"/>
          <w:highlight w:val="none"/>
          <w:lang w:val="en-US" w:eastAsia="zh-CN" w:bidi="ar"/>
        </w:rPr>
        <w:t xml:space="preserve">3 </w:t>
      </w:r>
      <w:r>
        <w:rPr>
          <w:rFonts w:hint="eastAsia" w:ascii="Times New Roman" w:hAnsi="Times New Roman" w:eastAsia="宋体" w:cs="Times New Roman"/>
          <w:color w:val="0000FF"/>
          <w:kern w:val="0"/>
          <w:sz w:val="24"/>
          <w:szCs w:val="24"/>
          <w:highlight w:val="none"/>
          <w:lang w:val="en-US" w:eastAsia="zh-CN" w:bidi="ar"/>
        </w:rPr>
        <w:t>点，对于测孔埋设方式中应注意的问题，设置</w:t>
      </w:r>
      <w:r>
        <w:rPr>
          <w:rFonts w:hint="eastAsia" w:ascii="Times New Roman" w:hAnsi="Times New Roman" w:cs="Times New Roman"/>
          <w:color w:val="0000FF"/>
          <w:kern w:val="0"/>
          <w:sz w:val="24"/>
          <w:szCs w:val="24"/>
          <w:highlight w:val="none"/>
          <w:lang w:val="en-US" w:eastAsia="zh-CN" w:bidi="ar"/>
        </w:rPr>
        <w:t>上部不进水段是为了避免地表水直接流入测管；进水段应采用</w:t>
      </w:r>
      <w:r>
        <w:rPr>
          <w:rFonts w:hint="eastAsia" w:ascii="Times New Roman" w:hAnsi="Times New Roman" w:eastAsia="宋体" w:cs="Times New Roman"/>
          <w:color w:val="0000FF"/>
          <w:kern w:val="0"/>
          <w:sz w:val="24"/>
          <w:szCs w:val="24"/>
          <w:highlight w:val="none"/>
          <w:lang w:val="en-US" w:eastAsia="zh-CN" w:bidi="ar"/>
        </w:rPr>
        <w:t>花管（打孔）缠滤布</w:t>
      </w:r>
      <w:r>
        <w:rPr>
          <w:rFonts w:hint="eastAsia" w:ascii="Times New Roman" w:hAnsi="Times New Roman" w:cs="Times New Roman"/>
          <w:color w:val="0000FF"/>
          <w:kern w:val="0"/>
          <w:sz w:val="24"/>
          <w:szCs w:val="24"/>
          <w:highlight w:val="none"/>
          <w:lang w:val="en-US" w:eastAsia="zh-CN" w:bidi="ar"/>
        </w:rPr>
        <w:t>；</w:t>
      </w:r>
      <w:r>
        <w:rPr>
          <w:rFonts w:hint="eastAsia" w:ascii="Times New Roman" w:hAnsi="Times New Roman" w:eastAsia="宋体" w:cs="Times New Roman"/>
          <w:color w:val="0000FF"/>
          <w:kern w:val="0"/>
          <w:sz w:val="24"/>
          <w:szCs w:val="24"/>
          <w:highlight w:val="none"/>
          <w:lang w:val="en-US" w:eastAsia="zh-CN" w:bidi="ar"/>
        </w:rPr>
        <w:t>设置沉淀</w:t>
      </w:r>
      <w:r>
        <w:rPr>
          <w:rFonts w:hint="eastAsia" w:ascii="Times New Roman" w:hAnsi="Times New Roman" w:cs="Times New Roman"/>
          <w:color w:val="0000FF"/>
          <w:kern w:val="0"/>
          <w:sz w:val="24"/>
          <w:szCs w:val="24"/>
          <w:highlight w:val="none"/>
          <w:lang w:val="en-US" w:eastAsia="zh-CN" w:bidi="ar"/>
        </w:rPr>
        <w:t>管。</w:t>
      </w:r>
    </w:p>
    <w:p w14:paraId="6A73C8F1">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eastAsia="宋体" w:cs="Times New Roman"/>
          <w:color w:val="0000FF"/>
          <w:kern w:val="0"/>
          <w:sz w:val="24"/>
          <w:szCs w:val="24"/>
          <w:highlight w:val="none"/>
          <w:lang w:val="en-US" w:eastAsia="zh-CN" w:bidi="ar"/>
        </w:rPr>
        <w:t xml:space="preserve">本条第 </w:t>
      </w:r>
      <w:r>
        <w:rPr>
          <w:rFonts w:hint="default" w:ascii="Times New Roman" w:hAnsi="Times New Roman" w:eastAsia="宋体" w:cs="Times New Roman"/>
          <w:color w:val="0000FF"/>
          <w:kern w:val="0"/>
          <w:sz w:val="24"/>
          <w:szCs w:val="24"/>
          <w:highlight w:val="none"/>
          <w:lang w:val="en-US" w:eastAsia="zh-CN" w:bidi="ar"/>
        </w:rPr>
        <w:t xml:space="preserve">4 </w:t>
      </w:r>
      <w:r>
        <w:rPr>
          <w:rFonts w:hint="eastAsia" w:ascii="Times New Roman" w:hAnsi="Times New Roman" w:eastAsia="宋体" w:cs="Times New Roman"/>
          <w:color w:val="0000FF"/>
          <w:kern w:val="0"/>
          <w:sz w:val="24"/>
          <w:szCs w:val="24"/>
          <w:highlight w:val="none"/>
          <w:lang w:val="en-US" w:eastAsia="zh-CN" w:bidi="ar"/>
        </w:rPr>
        <w:t>点规定是明确水位管与地层水位有足够接触长度，保证水位管内外水体联系良好</w:t>
      </w:r>
      <w:r>
        <w:rPr>
          <w:rFonts w:hint="eastAsia" w:ascii="Times New Roman" w:hAnsi="Times New Roman" w:cs="Times New Roman"/>
          <w:color w:val="0000FF"/>
          <w:kern w:val="0"/>
          <w:sz w:val="24"/>
          <w:szCs w:val="24"/>
          <w:highlight w:val="none"/>
          <w:lang w:val="en-US" w:eastAsia="zh-CN" w:bidi="ar"/>
        </w:rPr>
        <w:t>，</w:t>
      </w:r>
      <w:r>
        <w:rPr>
          <w:rFonts w:hint="eastAsia" w:cs="Times New Roman"/>
          <w:color w:val="0000FF"/>
          <w:kern w:val="0"/>
          <w:sz w:val="24"/>
          <w:szCs w:val="24"/>
          <w:highlight w:val="none"/>
          <w:lang w:val="en-US" w:eastAsia="zh-CN" w:bidi="ar"/>
        </w:rPr>
        <w:t>能够</w:t>
      </w:r>
      <w:r>
        <w:rPr>
          <w:rFonts w:hint="eastAsia" w:ascii="Times New Roman" w:hAnsi="Times New Roman" w:cs="Times New Roman"/>
          <w:color w:val="0000FF"/>
          <w:kern w:val="0"/>
          <w:sz w:val="24"/>
          <w:szCs w:val="24"/>
          <w:highlight w:val="none"/>
          <w:lang w:val="en-US" w:eastAsia="zh-CN" w:bidi="ar"/>
        </w:rPr>
        <w:t>反映水位</w:t>
      </w:r>
      <w:r>
        <w:rPr>
          <w:rFonts w:hint="eastAsia" w:cs="Times New Roman"/>
          <w:color w:val="0000FF"/>
          <w:kern w:val="0"/>
          <w:sz w:val="24"/>
          <w:szCs w:val="24"/>
          <w:highlight w:val="none"/>
          <w:lang w:val="en-US" w:eastAsia="zh-CN" w:bidi="ar"/>
        </w:rPr>
        <w:t>变化</w:t>
      </w:r>
      <w:r>
        <w:rPr>
          <w:rFonts w:hint="eastAsia" w:ascii="Times New Roman" w:hAnsi="Times New Roman" w:cs="Times New Roman"/>
          <w:color w:val="0000FF"/>
          <w:kern w:val="0"/>
          <w:sz w:val="24"/>
          <w:szCs w:val="24"/>
          <w:highlight w:val="none"/>
          <w:lang w:val="en-US" w:eastAsia="zh-CN" w:bidi="ar"/>
        </w:rPr>
        <w:t>情况</w:t>
      </w:r>
      <w:r>
        <w:rPr>
          <w:rFonts w:hint="eastAsia" w:ascii="Times New Roman" w:hAnsi="Times New Roman" w:eastAsia="宋体" w:cs="Times New Roman"/>
          <w:color w:val="0000FF"/>
          <w:kern w:val="0"/>
          <w:sz w:val="24"/>
          <w:szCs w:val="24"/>
          <w:highlight w:val="none"/>
          <w:lang w:val="en-US" w:eastAsia="zh-CN" w:bidi="ar"/>
        </w:rPr>
        <w:t>。</w:t>
      </w:r>
    </w:p>
    <w:p w14:paraId="01C853C2">
      <w:pPr>
        <w:jc w:val="cente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Ⅷ  锚杆（索）拉力监测</w:t>
      </w:r>
    </w:p>
    <w:p w14:paraId="70AD4509">
      <w:pPr>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6. 2. 20</w:t>
      </w:r>
      <w:r>
        <w:rPr>
          <w:rFonts w:hint="eastAsia" w:ascii="Times New Roman" w:hAnsi="Times New Roman" w:cs="Times New Roman"/>
          <w:highlight w:val="none"/>
          <w:lang w:val="en-US" w:eastAsia="zh-CN"/>
        </w:rPr>
        <w:t xml:space="preserve">  锚杆（索）拉力宜采用锚索测力计测定，</w:t>
      </w:r>
      <w:r>
        <w:rPr>
          <w:rFonts w:ascii="Times New Roman" w:hAnsi="Times New Roman" w:cs="Times New Roman"/>
          <w:color w:val="000000"/>
          <w:spacing w:val="0"/>
          <w:w w:val="100"/>
          <w:position w:val="0"/>
          <w:highlight w:val="none"/>
        </w:rPr>
        <w:t>监测点应在施加预应力前布设。</w:t>
      </w:r>
    </w:p>
    <w:p w14:paraId="142DE2E2">
      <w:pPr>
        <w:rPr>
          <w:rFonts w:hint="eastAsia" w:ascii="Times New Roman" w:hAnsi="Times New Roman" w:cs="Times New Roman"/>
          <w:color w:val="0000FF"/>
          <w:highlight w:val="none"/>
          <w:lang w:val="en-US" w:eastAsia="zh-CN"/>
        </w:rPr>
      </w:pPr>
    </w:p>
    <w:p w14:paraId="58C3DE15">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5B95FC4D">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锚杆（索）拉力监测的目的是掌握锚杆（索）的变化,确认其工作性能。由于钢筋束内每根钢筋的初始拉紧程度不一样，所受的拉力与初始拉紧程度关系很大，轴力计应变计应在预应力施加前安装并取得初始值。根据质量要求，锚杆（索锚固体未达到足够强度不得进行下一层土方的开挖，因此一般应保证锚固体至少有3d的养护时间后才允许下一层土方开挖。</w:t>
      </w:r>
    </w:p>
    <w:p w14:paraId="4F31CCEB">
      <w:pPr>
        <w:ind w:firstLine="480" w:firstLineChars="200"/>
        <w:rPr>
          <w:rFonts w:hint="eastAsia" w:ascii="Times New Roman" w:hAnsi="Times New Roman" w:cs="Times New Roman"/>
          <w:color w:val="0000FF"/>
          <w:highlight w:val="none"/>
          <w:lang w:val="en-US" w:eastAsia="zh-CN"/>
        </w:rPr>
      </w:pPr>
    </w:p>
    <w:p w14:paraId="383C2072">
      <w:pPr>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6. 2. 21</w:t>
      </w:r>
      <w:r>
        <w:rPr>
          <w:rFonts w:hint="eastAsia" w:ascii="Times New Roman" w:hAnsi="Times New Roman" w:cs="Times New Roman"/>
          <w:highlight w:val="none"/>
          <w:lang w:val="en-US" w:eastAsia="zh-CN"/>
        </w:rPr>
        <w:t xml:space="preserve">  锚索测力计的量程不宜低于设计值的1.5倍。</w:t>
      </w:r>
    </w:p>
    <w:p w14:paraId="368BD27F">
      <w:pPr>
        <w:rPr>
          <w:rFonts w:hint="eastAsia" w:ascii="Times New Roman" w:hAnsi="Times New Roman" w:cs="Times New Roman"/>
          <w:b/>
          <w:bCs/>
          <w:color w:val="0000FF"/>
          <w:highlight w:val="none"/>
          <w:lang w:val="en-US" w:eastAsia="zh-CN"/>
        </w:rPr>
      </w:pPr>
    </w:p>
    <w:p w14:paraId="4D4EB2C4">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55CB560A">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对于边坡工程，《建筑边坡工程技术规范》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50330中规定，“宜进行设计预应力值1.05~1.10倍的超张拉，预应力保留值应满足设计要求，对地层及被锚固结构位移控制要求比较高的工程，预应力锚杆的锁定值宜为锚杆轴向拉力特征值；对允许地层及被锚固结构产生一定变形的工程，预应力锚杆的锁定值宜为锚杆设计预应力值的0.75~0.9倍”。</w:t>
      </w:r>
    </w:p>
    <w:p w14:paraId="2C21443D">
      <w:pPr>
        <w:ind w:firstLine="480" w:firstLineChars="200"/>
        <w:rPr>
          <w:rFonts w:hint="default"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工程技术人员应熟悉各个参数之间的关系</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深刻理解其内在关系</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以指导施工。实际工程中，锁定值一般由设计师根据</w:t>
      </w:r>
      <w:r>
        <w:rPr>
          <w:rFonts w:hint="eastAsia" w:ascii="Times New Roman" w:hAnsi="Times New Roman" w:cs="Times New Roman"/>
          <w:color w:val="0000FF"/>
          <w:highlight w:val="none"/>
          <w:lang w:val="en-US" w:eastAsia="zh-CN"/>
        </w:rPr>
        <w:t>锚</w:t>
      </w:r>
      <w:r>
        <w:rPr>
          <w:rFonts w:hint="default" w:ascii="Times New Roman" w:hAnsi="Times New Roman" w:cs="Times New Roman"/>
          <w:color w:val="0000FF"/>
          <w:highlight w:val="none"/>
          <w:lang w:val="en-US" w:eastAsia="zh-CN"/>
        </w:rPr>
        <w:t>索长度、地层情况、支护型式等经验取值</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不一定取很大值</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工程往往张拉结束后张拉段钢较线先不截除，后期根据变形情况进行补张拉处理</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因此数值上基本达到标准值，一般经验上张拉值取锁定值的1.3倍左右</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实际工程中应向设计人员获取</w:t>
      </w:r>
      <w:r>
        <w:rPr>
          <w:rFonts w:hint="eastAsia" w:ascii="Times New Roman" w:hAnsi="Times New Roman" w:cs="Times New Roman"/>
          <w:color w:val="0000FF"/>
          <w:highlight w:val="none"/>
          <w:lang w:val="en-US" w:eastAsia="zh-CN"/>
        </w:rPr>
        <w:t>锚杆</w:t>
      </w:r>
      <w:r>
        <w:rPr>
          <w:rFonts w:hint="default" w:ascii="Times New Roman" w:hAnsi="Times New Roman" w:cs="Times New Roman"/>
          <w:color w:val="0000FF"/>
          <w:highlight w:val="none"/>
          <w:lang w:val="en-US" w:eastAsia="zh-CN"/>
        </w:rPr>
        <w:t>(索)轴向拉力标准值或设计值具体数据进行校验复核，具体工程具体对待。</w:t>
      </w:r>
    </w:p>
    <w:p w14:paraId="21245277">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因此，本条对于锚索测力计的量程选择，应在该最大张拉值为基础进行选择。本条文所给出的量程建议，是充分考虑了上述因素并留出合理剩余量程，便于测量工作的开展。</w:t>
      </w:r>
    </w:p>
    <w:p w14:paraId="5740A2BB">
      <w:pPr>
        <w:ind w:firstLine="480" w:firstLineChars="200"/>
        <w:rPr>
          <w:rFonts w:hint="eastAsia" w:ascii="Times New Roman" w:hAnsi="Times New Roman" w:cs="Times New Roman"/>
          <w:color w:val="0000FF"/>
          <w:highlight w:val="none"/>
          <w:lang w:val="en-US" w:eastAsia="zh-CN"/>
        </w:rPr>
      </w:pPr>
    </w:p>
    <w:p w14:paraId="16CB6205">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6. 2. 22</w:t>
      </w:r>
      <w:r>
        <w:rPr>
          <w:rFonts w:hint="eastAsia" w:ascii="Times New Roman" w:hAnsi="Times New Roman" w:cs="Times New Roman"/>
          <w:highlight w:val="none"/>
          <w:lang w:val="en-US" w:eastAsia="zh-CN"/>
        </w:rPr>
        <w:t xml:space="preserve">  锚杆（索）预应力施加前应测读传感器的初始读数，精度不宜低于0.5%F・S，分辨率不宜低于0. 2%F・S。</w:t>
      </w:r>
    </w:p>
    <w:p w14:paraId="46225422">
      <w:pPr>
        <w:rPr>
          <w:rFonts w:hint="eastAsia" w:ascii="Times New Roman" w:hAnsi="Times New Roman" w:cs="Times New Roman"/>
          <w:b/>
          <w:bCs/>
          <w:color w:val="0000FF"/>
          <w:highlight w:val="none"/>
          <w:lang w:val="en-US" w:eastAsia="zh-CN"/>
        </w:rPr>
      </w:pPr>
    </w:p>
    <w:p w14:paraId="262C2633">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06235FF3">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规定了预应力张拉前应读取仪器的初始（空载）读数，主要目的是确保仪器状态，为后续计算确定了计算初始值。本条关于仪器精度的规定，主要考虑到能满足监测预警值的监测要求，同时考虑了国内外现有的大部分设备都能达到此精度，是立足于经济合理可行的角度。</w:t>
      </w:r>
    </w:p>
    <w:p w14:paraId="666E851C">
      <w:pPr>
        <w:ind w:firstLine="480" w:firstLineChars="200"/>
        <w:rPr>
          <w:rFonts w:hint="eastAsia" w:ascii="Times New Roman" w:hAnsi="Times New Roman" w:cs="Times New Roman"/>
          <w:color w:val="0000FF"/>
          <w:highlight w:val="none"/>
          <w:lang w:val="en-US" w:eastAsia="zh-CN"/>
        </w:rPr>
      </w:pPr>
    </w:p>
    <w:p w14:paraId="0F45B325">
      <w:pPr>
        <w:shd w:val="clear"/>
        <w:ind w:firstLine="480" w:firstLineChars="200"/>
        <w:jc w:val="center"/>
        <w:rPr>
          <w:rFonts w:hint="default" w:ascii="Times New Roman" w:hAnsi="Times New Roman" w:eastAsia="微软雅黑" w:cs="Times New Roman"/>
          <w:i w:val="0"/>
          <w:iCs w:val="0"/>
          <w:caps w:val="0"/>
          <w:color w:val="333333"/>
          <w:spacing w:val="0"/>
          <w:sz w:val="24"/>
          <w:szCs w:val="24"/>
          <w:highlight w:val="none"/>
          <w:shd w:val="clear" w:fill="FFFFFF"/>
          <w:lang w:val="en-US" w:eastAsia="zh-CN"/>
        </w:rPr>
      </w:pPr>
      <w:r>
        <w:rPr>
          <w:rFonts w:hint="eastAsia" w:ascii="Times New Roman" w:hAnsi="Times New Roman" w:eastAsia="微软雅黑" w:cs="Times New Roman"/>
          <w:i w:val="0"/>
          <w:iCs w:val="0"/>
          <w:caps w:val="0"/>
          <w:color w:val="333333"/>
          <w:spacing w:val="0"/>
          <w:sz w:val="24"/>
          <w:szCs w:val="24"/>
          <w:highlight w:val="none"/>
          <w:shd w:val="clear" w:fill="FFFFFF"/>
        </w:rPr>
        <w:t>Ⅸ</w:t>
      </w:r>
      <w:r>
        <w:rPr>
          <w:rFonts w:hint="eastAsia" w:ascii="Times New Roman" w:hAnsi="Times New Roman" w:eastAsia="微软雅黑" w:cs="Times New Roman"/>
          <w:i w:val="0"/>
          <w:iCs w:val="0"/>
          <w:caps w:val="0"/>
          <w:color w:val="333333"/>
          <w:spacing w:val="0"/>
          <w:sz w:val="24"/>
          <w:szCs w:val="24"/>
          <w:highlight w:val="none"/>
          <w:shd w:val="clear" w:fill="FFFFFF"/>
          <w:lang w:val="en-US" w:eastAsia="zh-CN"/>
        </w:rPr>
        <w:t xml:space="preserve"> 支护结构应力监测</w:t>
      </w:r>
    </w:p>
    <w:p w14:paraId="44BE39E7">
      <w:pPr>
        <w:rPr>
          <w:rFonts w:hint="eastAsia" w:ascii="Times New Roman" w:hAnsi="Times New Roman" w:cs="Times New Roman"/>
          <w:b/>
          <w:bCs/>
          <w:highlight w:val="none"/>
          <w:lang w:val="en-US" w:eastAsia="zh-CN"/>
        </w:rPr>
      </w:pPr>
      <w:r>
        <w:rPr>
          <w:rFonts w:hint="eastAsia" w:ascii="Times New Roman" w:hAnsi="Times New Roman" w:eastAsia="微软雅黑" w:cs="Times New Roman"/>
          <w:b/>
          <w:bCs/>
          <w:i w:val="0"/>
          <w:iCs w:val="0"/>
          <w:caps w:val="0"/>
          <w:color w:val="333333"/>
          <w:spacing w:val="0"/>
          <w:sz w:val="24"/>
          <w:szCs w:val="24"/>
          <w:highlight w:val="none"/>
          <w:shd w:val="clear" w:fill="FFFFFF"/>
          <w:lang w:val="en-US" w:eastAsia="zh-CN"/>
        </w:rPr>
        <w:t>6. 2. 23</w:t>
      </w:r>
      <w:r>
        <w:rPr>
          <w:rFonts w:hint="eastAsia" w:ascii="Times New Roman" w:hAnsi="Times New Roman" w:eastAsia="微软雅黑" w:cs="Times New Roman"/>
          <w:i w:val="0"/>
          <w:iCs w:val="0"/>
          <w:caps w:val="0"/>
          <w:color w:val="333333"/>
          <w:spacing w:val="0"/>
          <w:sz w:val="24"/>
          <w:szCs w:val="24"/>
          <w:highlight w:val="none"/>
          <w:shd w:val="clear" w:fill="FFFFFF"/>
          <w:lang w:val="en-US" w:eastAsia="zh-CN"/>
        </w:rPr>
        <w:t xml:space="preserve">  </w:t>
      </w:r>
      <w:r>
        <w:rPr>
          <w:rFonts w:hint="eastAsia" w:ascii="Times New Roman" w:hAnsi="Times New Roman" w:cs="Times New Roman"/>
          <w:highlight w:val="none"/>
          <w:lang w:val="en-US" w:eastAsia="zh-CN"/>
        </w:rPr>
        <w:t>宜采用应变计测定，</w:t>
      </w:r>
      <w:r>
        <w:rPr>
          <w:rFonts w:ascii="Times New Roman" w:hAnsi="Times New Roman" w:cs="Times New Roman"/>
          <w:color w:val="000000"/>
          <w:spacing w:val="0"/>
          <w:w w:val="100"/>
          <w:position w:val="0"/>
          <w:highlight w:val="none"/>
        </w:rPr>
        <w:t>监测点应在施加预应力前布设。</w:t>
      </w:r>
    </w:p>
    <w:p w14:paraId="7F72DF89">
      <w:pPr>
        <w:shd w:val="clear"/>
        <w:ind w:firstLine="0" w:firstLineChars="0"/>
        <w:jc w:val="both"/>
        <w:rPr>
          <w:rFonts w:hint="eastAsia" w:ascii="Times New Roman" w:hAnsi="Times New Roman" w:eastAsia="微软雅黑" w:cs="Times New Roman"/>
          <w:i w:val="0"/>
          <w:iCs w:val="0"/>
          <w:caps w:val="0"/>
          <w:color w:val="333333"/>
          <w:spacing w:val="0"/>
          <w:sz w:val="24"/>
          <w:szCs w:val="24"/>
          <w:highlight w:val="none"/>
          <w:shd w:val="clear" w:fill="FFFFFF"/>
          <w:lang w:val="en-US" w:eastAsia="zh-CN"/>
        </w:rPr>
      </w:pPr>
      <w:r>
        <w:rPr>
          <w:rFonts w:hint="eastAsia" w:ascii="Times New Roman" w:hAnsi="Times New Roman" w:eastAsia="微软雅黑" w:cs="Times New Roman"/>
          <w:b/>
          <w:bCs/>
          <w:i w:val="0"/>
          <w:iCs w:val="0"/>
          <w:caps w:val="0"/>
          <w:color w:val="333333"/>
          <w:spacing w:val="0"/>
          <w:sz w:val="24"/>
          <w:szCs w:val="24"/>
          <w:highlight w:val="none"/>
          <w:shd w:val="clear" w:fill="FFFFFF"/>
          <w:lang w:val="en-US" w:eastAsia="zh-CN"/>
        </w:rPr>
        <w:t>6. 2. 24</w:t>
      </w:r>
      <w:r>
        <w:rPr>
          <w:rFonts w:hint="eastAsia" w:ascii="Times New Roman" w:hAnsi="Times New Roman" w:eastAsia="微软雅黑" w:cs="Times New Roman"/>
          <w:i w:val="0"/>
          <w:iCs w:val="0"/>
          <w:caps w:val="0"/>
          <w:color w:val="333333"/>
          <w:spacing w:val="0"/>
          <w:sz w:val="24"/>
          <w:szCs w:val="24"/>
          <w:highlight w:val="none"/>
          <w:shd w:val="clear" w:fill="FFFFFF"/>
          <w:lang w:val="en-US" w:eastAsia="zh-CN"/>
        </w:rPr>
        <w:t xml:space="preserve">  </w:t>
      </w:r>
      <w:r>
        <w:rPr>
          <w:rFonts w:hint="eastAsia" w:ascii="Times New Roman" w:hAnsi="Times New Roman" w:cs="Times New Roman"/>
          <w:highlight w:val="none"/>
          <w:lang w:val="en-US" w:eastAsia="zh-CN"/>
        </w:rPr>
        <w:t>应变计的量程不宜低于设计值的1.5倍。</w:t>
      </w:r>
    </w:p>
    <w:p w14:paraId="5EC4F6FF">
      <w:pPr>
        <w:ind w:firstLine="0" w:firstLineChars="0"/>
        <w:rPr>
          <w:rFonts w:hint="eastAsia" w:ascii="Times New Roman" w:hAnsi="Times New Roman" w:cs="Times New Roman"/>
          <w:highlight w:val="none"/>
          <w:lang w:val="en-US" w:eastAsia="zh-CN"/>
        </w:rPr>
      </w:pPr>
      <w:r>
        <w:rPr>
          <w:rFonts w:hint="eastAsia" w:ascii="Times New Roman" w:hAnsi="Times New Roman" w:eastAsia="微软雅黑" w:cs="Times New Roman"/>
          <w:b/>
          <w:bCs/>
          <w:i w:val="0"/>
          <w:iCs w:val="0"/>
          <w:caps w:val="0"/>
          <w:color w:val="333333"/>
          <w:spacing w:val="0"/>
          <w:sz w:val="24"/>
          <w:szCs w:val="24"/>
          <w:highlight w:val="none"/>
          <w:shd w:val="clear" w:fill="FFFFFF"/>
          <w:lang w:val="en-US" w:eastAsia="zh-CN"/>
        </w:rPr>
        <w:t>6. 2. 25</w:t>
      </w:r>
      <w:r>
        <w:rPr>
          <w:rFonts w:hint="eastAsia" w:ascii="Times New Roman" w:hAnsi="Times New Roman" w:eastAsia="微软雅黑" w:cs="Times New Roman"/>
          <w:i w:val="0"/>
          <w:iCs w:val="0"/>
          <w:caps w:val="0"/>
          <w:color w:val="333333"/>
          <w:spacing w:val="0"/>
          <w:sz w:val="24"/>
          <w:szCs w:val="24"/>
          <w:highlight w:val="none"/>
          <w:shd w:val="clear" w:fill="FFFFFF"/>
          <w:lang w:val="en-US" w:eastAsia="zh-CN"/>
        </w:rPr>
        <w:t xml:space="preserve">  </w:t>
      </w:r>
      <w:r>
        <w:rPr>
          <w:rFonts w:hint="eastAsia" w:ascii="Times New Roman" w:hAnsi="Times New Roman" w:cs="Times New Roman"/>
          <w:highlight w:val="none"/>
          <w:lang w:val="en-US" w:eastAsia="zh-CN"/>
        </w:rPr>
        <w:t>应在预应力施加前应测读传感器的初始读数，精度不宜低于0.5%F・S，分辨率不宜低于0. 2%F・S。</w:t>
      </w:r>
    </w:p>
    <w:p w14:paraId="604EFAF1">
      <w:pPr>
        <w:shd w:val="clear"/>
        <w:ind w:firstLine="480" w:firstLineChars="200"/>
        <w:jc w:val="both"/>
        <w:rPr>
          <w:rFonts w:hint="default" w:ascii="Times New Roman" w:hAnsi="Times New Roman" w:eastAsia="微软雅黑" w:cs="Times New Roman"/>
          <w:i w:val="0"/>
          <w:iCs w:val="0"/>
          <w:caps w:val="0"/>
          <w:color w:val="333333"/>
          <w:spacing w:val="0"/>
          <w:sz w:val="24"/>
          <w:szCs w:val="24"/>
          <w:highlight w:val="none"/>
          <w:shd w:val="clear" w:fill="FFFFFF"/>
          <w:lang w:val="en-US" w:eastAsia="zh-CN"/>
        </w:rPr>
      </w:pPr>
    </w:p>
    <w:p w14:paraId="14F1B969">
      <w:pPr>
        <w:shd w:val="clear"/>
        <w:ind w:firstLine="480" w:firstLineChars="200"/>
        <w:rPr>
          <w:rFonts w:hint="default" w:ascii="Times New Roman" w:hAnsi="Times New Roman" w:cs="Times New Roman"/>
          <w:color w:val="auto"/>
          <w:highlight w:val="none"/>
          <w:lang w:val="en-US" w:eastAsia="zh-CN"/>
        </w:rPr>
      </w:pPr>
    </w:p>
    <w:p w14:paraId="69853212">
      <w:pPr>
        <w:pStyle w:val="3"/>
        <w:bidi w:val="0"/>
        <w:rPr>
          <w:rFonts w:hint="default" w:ascii="Times New Roman" w:hAnsi="Times New Roman" w:cs="Times New Roman"/>
          <w:highlight w:val="none"/>
          <w:lang w:val="en-US" w:eastAsia="zh-CN"/>
        </w:rPr>
      </w:pPr>
      <w:bookmarkStart w:id="88" w:name="_Toc30282"/>
      <w:bookmarkStart w:id="89" w:name="_Toc7233"/>
      <w:bookmarkStart w:id="90" w:name="_Toc32428"/>
      <w:bookmarkStart w:id="91" w:name="_Toc20672"/>
      <w:bookmarkStart w:id="92" w:name="_Toc12762"/>
      <w:r>
        <w:rPr>
          <w:rFonts w:hint="eastAsia" w:ascii="Times New Roman" w:hAnsi="Times New Roman" w:cs="Times New Roman"/>
          <w:highlight w:val="none"/>
          <w:lang w:val="en-US" w:eastAsia="zh-CN"/>
        </w:rPr>
        <w:t>6.3 自动化监测</w:t>
      </w:r>
      <w:bookmarkEnd w:id="88"/>
      <w:bookmarkEnd w:id="89"/>
      <w:bookmarkEnd w:id="90"/>
      <w:bookmarkEnd w:id="91"/>
      <w:bookmarkEnd w:id="92"/>
    </w:p>
    <w:p w14:paraId="5370F8BD">
      <w:pPr>
        <w:jc w:val="center"/>
        <w:rPr>
          <w:rFonts w:ascii="Times New Roman" w:hAnsi="Times New Roman" w:cs="Times New Roman"/>
          <w:highlight w:val="none"/>
        </w:rPr>
      </w:pPr>
      <w:r>
        <w:rPr>
          <w:rFonts w:hint="eastAsia" w:ascii="Times New Roman" w:hAnsi="Times New Roman" w:cs="Times New Roman"/>
          <w:highlight w:val="none"/>
        </w:rPr>
        <w:t>Ⅰ自动化监测系统</w:t>
      </w:r>
    </w:p>
    <w:p w14:paraId="6133BEE0">
      <w:pPr>
        <w:jc w:val="left"/>
        <w:rPr>
          <w:rFonts w:hint="eastAsia" w:ascii="Times New Roman" w:hAnsi="Times New Roman" w:cs="Times New Roman"/>
          <w:b/>
          <w:bCs/>
          <w:highlight w:val="none"/>
        </w:rPr>
      </w:pPr>
      <w:r>
        <w:rPr>
          <w:rFonts w:hint="eastAsia" w:ascii="Times New Roman" w:hAnsi="Times New Roman" w:cs="Times New Roman"/>
          <w:b/>
          <w:bCs/>
          <w:highlight w:val="none"/>
        </w:rPr>
        <w:t>6. 3. 1</w:t>
      </w:r>
      <w:r>
        <w:rPr>
          <w:rFonts w:ascii="Times New Roman" w:hAnsi="Times New Roman" w:cs="Times New Roman"/>
          <w:highlight w:val="none"/>
        </w:rPr>
        <w:t xml:space="preserve"> </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rPr>
        <w:t>实施自动化监测的边坡，应建立适宜长期运行的自动化监测系统，监测系统应包含监测设备、数据通信设备、传输网络及软件平台。</w:t>
      </w:r>
    </w:p>
    <w:p w14:paraId="6D3F4D9A">
      <w:pPr>
        <w:rPr>
          <w:rFonts w:hint="eastAsia" w:ascii="Times New Roman" w:hAnsi="Times New Roman" w:cs="Times New Roman"/>
          <w:b/>
          <w:bCs/>
          <w:color w:val="0000FF"/>
          <w:highlight w:val="none"/>
          <w:lang w:val="en-US" w:eastAsia="zh-CN"/>
        </w:rPr>
      </w:pPr>
    </w:p>
    <w:p w14:paraId="6108305A">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6A21F324">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对于边坡监测，一般设计要求为竣工后继续观测2年，甚至要求长期监测。因此，在边坡自动化监测系统设计时，应在硬件选取、测点埋设、通讯方式、供电方式、软件平台架构等充分考虑长期运行的需求，对其扩展性、维护性、可替换升级等方面做好前瞻性设计。</w:t>
      </w:r>
    </w:p>
    <w:p w14:paraId="3615DCF0">
      <w:pPr>
        <w:ind w:firstLine="480" w:firstLineChars="200"/>
        <w:rPr>
          <w:rFonts w:hint="eastAsia" w:ascii="Times New Roman" w:hAnsi="Times New Roman" w:cs="Times New Roman"/>
          <w:color w:val="0000FF"/>
          <w:highlight w:val="none"/>
          <w:lang w:val="en-US" w:eastAsia="zh-CN"/>
        </w:rPr>
      </w:pPr>
    </w:p>
    <w:p w14:paraId="7CC0D682">
      <w:pPr>
        <w:shd w:val="clear" w:fill="FFFFFF" w:themeFill="background1"/>
        <w:rPr>
          <w:rFonts w:hint="eastAsia" w:ascii="Times New Roman" w:hAnsi="Times New Roman" w:cs="Times New Roman"/>
          <w:b/>
          <w:bCs/>
          <w:highlight w:val="none"/>
        </w:rPr>
      </w:pPr>
      <w:r>
        <w:rPr>
          <w:rFonts w:hint="eastAsia" w:ascii="Times New Roman" w:hAnsi="Times New Roman" w:cs="Times New Roman"/>
          <w:b/>
          <w:bCs/>
          <w:highlight w:val="none"/>
        </w:rPr>
        <w:t>6.</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rPr>
        <w:t>3.</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rPr>
        <w:t>2</w:t>
      </w:r>
      <w:r>
        <w:rPr>
          <w:rFonts w:ascii="Times New Roman" w:hAnsi="Times New Roman" w:cs="Times New Roman"/>
          <w:highlight w:val="none"/>
        </w:rPr>
        <w:t xml:space="preserve"> </w:t>
      </w:r>
      <w:r>
        <w:rPr>
          <w:rFonts w:hint="eastAsia" w:ascii="Times New Roman" w:hAnsi="Times New Roman" w:cs="Times New Roman"/>
          <w:highlight w:val="none"/>
          <w:lang w:val="en-US" w:eastAsia="zh-CN"/>
        </w:rPr>
        <w:t xml:space="preserve"> </w:t>
      </w:r>
      <w:r>
        <w:rPr>
          <w:rFonts w:hint="eastAsia" w:ascii="Times New Roman" w:hAnsi="Times New Roman" w:cs="Times New Roman"/>
          <w:color w:val="auto"/>
          <w:highlight w:val="none"/>
        </w:rPr>
        <w:t>自动化监测系统应遵循实用、可靠、先进、经济和环保的设计原则，</w:t>
      </w:r>
      <w:r>
        <w:rPr>
          <w:rFonts w:hint="eastAsia" w:ascii="Times New Roman" w:hAnsi="Times New Roman" w:cs="Times New Roman"/>
          <w:highlight w:val="none"/>
        </w:rPr>
        <w:t>采用成熟、可靠的技术和满足国家或行业标准且易维护的设备</w:t>
      </w:r>
      <w:r>
        <w:rPr>
          <w:rFonts w:hint="eastAsia" w:ascii="Times New Roman" w:hAnsi="Times New Roman" w:cs="Times New Roman"/>
          <w:color w:val="auto"/>
          <w:highlight w:val="none"/>
        </w:rPr>
        <w:t>。</w:t>
      </w:r>
    </w:p>
    <w:p w14:paraId="147055AB">
      <w:pPr>
        <w:rPr>
          <w:rFonts w:hint="eastAsia" w:ascii="Times New Roman" w:hAnsi="Times New Roman" w:cs="Times New Roman"/>
          <w:color w:val="0000FF"/>
          <w:highlight w:val="none"/>
          <w:lang w:val="en-US" w:eastAsia="zh-CN"/>
        </w:rPr>
      </w:pPr>
    </w:p>
    <w:p w14:paraId="634724E6">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1489A453">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建筑边坡自动化监测系统建设绝大多数是位于野外且不便于维护的部位，系统建设的初衷是为了降低人工劳动强度</w:t>
      </w:r>
      <w:r>
        <w:rPr>
          <w:rFonts w:hint="eastAsia" w:cs="Times New Roman"/>
          <w:color w:val="0000FF"/>
          <w:highlight w:val="none"/>
          <w:lang w:val="en-US" w:eastAsia="zh-CN"/>
        </w:rPr>
        <w:t>、</w:t>
      </w:r>
      <w:r>
        <w:rPr>
          <w:rFonts w:hint="eastAsia" w:ascii="Times New Roman" w:hAnsi="Times New Roman" w:cs="Times New Roman"/>
          <w:color w:val="0000FF"/>
          <w:highlight w:val="none"/>
          <w:lang w:val="en-US" w:eastAsia="zh-CN"/>
        </w:rPr>
        <w:t>提高作业效率。因此，无人值守的自动化监测系统是发展方向，这就要求自动化监测系统所采用的关键技术和设备，必须是可重复验证的、可溯源的、低故障率的，为监测系统的长期稳定运行提供前提。</w:t>
      </w:r>
    </w:p>
    <w:p w14:paraId="1FE4443C">
      <w:pPr>
        <w:ind w:firstLine="480" w:firstLineChars="200"/>
        <w:rPr>
          <w:rFonts w:hint="eastAsia" w:ascii="Times New Roman" w:hAnsi="Times New Roman" w:cs="Times New Roman"/>
          <w:color w:val="0000FF"/>
          <w:highlight w:val="none"/>
          <w:lang w:val="en-US" w:eastAsia="zh-CN"/>
        </w:rPr>
      </w:pPr>
    </w:p>
    <w:p w14:paraId="46573DBC">
      <w:pPr>
        <w:jc w:val="left"/>
        <w:rPr>
          <w:rFonts w:hint="eastAsia" w:ascii="Times New Roman" w:hAnsi="Times New Roman" w:cs="Times New Roman"/>
          <w:b/>
          <w:bCs/>
          <w:highlight w:val="none"/>
        </w:rPr>
      </w:pPr>
      <w:r>
        <w:rPr>
          <w:rFonts w:hint="eastAsia" w:ascii="Times New Roman" w:hAnsi="Times New Roman" w:cs="Times New Roman"/>
          <w:b/>
          <w:bCs/>
          <w:highlight w:val="none"/>
        </w:rPr>
        <w:t>6.</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rPr>
        <w:t>3.</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rPr>
        <w:t>3</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rPr>
        <w:t>自动化监测系统建立时</w:t>
      </w:r>
      <w:r>
        <w:rPr>
          <w:rFonts w:ascii="Times New Roman" w:hAnsi="Times New Roman" w:cs="Times New Roman"/>
          <w:highlight w:val="none"/>
        </w:rPr>
        <w:t>，应根据监测项目的精度要求和现场作业条件明确相应的自动化监测方法。</w:t>
      </w:r>
    </w:p>
    <w:p w14:paraId="6848EDA0">
      <w:pPr>
        <w:rPr>
          <w:rFonts w:hint="eastAsia" w:ascii="Times New Roman" w:hAnsi="Times New Roman" w:cs="Times New Roman"/>
          <w:b/>
          <w:bCs/>
          <w:color w:val="0000FF"/>
          <w:highlight w:val="none"/>
          <w:lang w:val="en-US" w:eastAsia="zh-CN"/>
        </w:rPr>
      </w:pPr>
    </w:p>
    <w:p w14:paraId="64B85841">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6D338A1D">
      <w:pPr>
        <w:ind w:firstLine="480"/>
        <w:jc w:val="left"/>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自动化监测与传统人工监测根本区别在于数据获取手段，其基础原理是一致的。监测项目精度要求不得低于相应规范要求，而自动化监测系统对现场作业条件要求更为苛刻，系统设计时需充分考虑如温/湿度、压力、振动、电磁干扰、信号屏蔽、雷电等现场作业条件，选取适合的设备。</w:t>
      </w:r>
    </w:p>
    <w:p w14:paraId="56BED599">
      <w:pPr>
        <w:ind w:firstLine="480"/>
        <w:jc w:val="left"/>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同时，进行自动化监测系统设计时，应充分理解并遵循系统的规律，如：单个设备精度不等同于系统输出精度。系统输出精度即为最终精度，不得低于相应规范要求。</w:t>
      </w:r>
    </w:p>
    <w:p w14:paraId="45B9AA77">
      <w:pPr>
        <w:ind w:firstLine="480"/>
        <w:jc w:val="left"/>
        <w:rPr>
          <w:rFonts w:hint="eastAsia" w:ascii="Times New Roman" w:hAnsi="Times New Roman" w:cs="Times New Roman"/>
          <w:color w:val="0000FF"/>
          <w:highlight w:val="none"/>
          <w:lang w:val="en-US" w:eastAsia="zh-CN"/>
        </w:rPr>
      </w:pPr>
    </w:p>
    <w:p w14:paraId="009405CB">
      <w:pPr>
        <w:rPr>
          <w:rFonts w:hint="eastAsia" w:ascii="Times New Roman" w:hAnsi="Times New Roman" w:cs="Times New Roman"/>
          <w:b/>
          <w:bCs/>
          <w:highlight w:val="none"/>
        </w:rPr>
      </w:pPr>
      <w:r>
        <w:rPr>
          <w:rFonts w:hint="eastAsia" w:ascii="Times New Roman" w:hAnsi="Times New Roman" w:cs="Times New Roman"/>
          <w:b/>
          <w:bCs/>
          <w:highlight w:val="none"/>
        </w:rPr>
        <w:t xml:space="preserve">6. 3. 4 </w:t>
      </w:r>
      <w:r>
        <w:rPr>
          <w:rFonts w:hint="eastAsia" w:ascii="Times New Roman" w:hAnsi="Times New Roman" w:cs="Times New Roman"/>
          <w:highlight w:val="none"/>
        </w:rPr>
        <w:t xml:space="preserve"> 实施自动化监测的边坡工程，应具备人工比对测量的条件，满足对现有数据的校验。</w:t>
      </w:r>
    </w:p>
    <w:p w14:paraId="77BC28AF">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5FDAC818">
      <w:pPr>
        <w:ind w:firstLine="480" w:firstLineChars="200"/>
        <w:jc w:val="left"/>
        <w:rPr>
          <w:rFonts w:hint="eastAsia" w:ascii="Times New Roman" w:hAnsi="Times New Roman" w:cs="Times New Roman"/>
          <w:color w:val="0000FF"/>
          <w:highlight w:val="none"/>
        </w:rPr>
      </w:pPr>
      <w:r>
        <w:rPr>
          <w:rFonts w:hint="eastAsia" w:ascii="Times New Roman" w:hAnsi="Times New Roman" w:cs="Times New Roman"/>
          <w:color w:val="0000FF"/>
          <w:highlight w:val="none"/>
        </w:rPr>
        <w:t>由于自动化监测技术还在不断发展中，新技术、新设备也在不断地更新完善，在该阶段自动化监测技术的成熟度、稳定度都还达不到一个很高的水平，因此在鼓励采用自动化监测技术的同时，为保证结果的可靠性，应创造比对测量的条件，定期进行比对测量数据校核。</w:t>
      </w:r>
    </w:p>
    <w:p w14:paraId="131B163E">
      <w:pPr>
        <w:ind w:firstLine="480" w:firstLineChars="200"/>
        <w:jc w:val="left"/>
        <w:rPr>
          <w:rFonts w:hint="eastAsia" w:ascii="Times New Roman" w:hAnsi="Times New Roman" w:cs="Times New Roman"/>
          <w:color w:val="0000FF"/>
          <w:highlight w:val="none"/>
        </w:rPr>
      </w:pPr>
    </w:p>
    <w:p w14:paraId="545325EC">
      <w:pPr>
        <w:rPr>
          <w:rFonts w:hint="eastAsia" w:ascii="Times New Roman" w:hAnsi="Times New Roman" w:cs="Times New Roman"/>
          <w:color w:val="FF0000"/>
          <w:highlight w:val="none"/>
          <w:lang w:val="en-US" w:eastAsia="zh-CN"/>
        </w:rPr>
      </w:pPr>
      <w:r>
        <w:rPr>
          <w:rFonts w:hint="eastAsia" w:ascii="Times New Roman" w:hAnsi="Times New Roman" w:cs="Times New Roman"/>
          <w:b/>
          <w:bCs/>
          <w:highlight w:val="none"/>
        </w:rPr>
        <w:t xml:space="preserve">6. 3. </w:t>
      </w:r>
      <w:r>
        <w:rPr>
          <w:rFonts w:hint="eastAsia" w:ascii="Times New Roman" w:hAnsi="Times New Roman" w:cs="Times New Roman"/>
          <w:b/>
          <w:bCs/>
          <w:highlight w:val="none"/>
          <w:lang w:val="en-US" w:eastAsia="zh-CN"/>
        </w:rPr>
        <w:t>5</w:t>
      </w:r>
      <w:r>
        <w:rPr>
          <w:rFonts w:hint="eastAsia" w:ascii="Times New Roman" w:hAnsi="Times New Roman" w:cs="Times New Roman"/>
          <w:b/>
          <w:bCs/>
          <w:highlight w:val="none"/>
        </w:rPr>
        <w:t xml:space="preserve"> </w:t>
      </w:r>
      <w:r>
        <w:rPr>
          <w:rFonts w:hint="eastAsia" w:ascii="Times New Roman" w:hAnsi="Times New Roman" w:cs="Times New Roman"/>
          <w:highlight w:val="none"/>
        </w:rPr>
        <w:t xml:space="preserve"> 自动化监测系统应制定完善的管理制度并定期检查、维护。现场的自动化监测设备应设置标识牌</w:t>
      </w:r>
      <w:r>
        <w:rPr>
          <w:rFonts w:hint="eastAsia" w:ascii="Times New Roman" w:hAnsi="Times New Roman" w:cs="Times New Roman"/>
          <w:highlight w:val="none"/>
          <w:lang w:eastAsia="zh-CN"/>
        </w:rPr>
        <w:t>。</w:t>
      </w:r>
    </w:p>
    <w:p w14:paraId="5F44172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cs="Times New Roman"/>
          <w:b/>
          <w:bCs/>
          <w:i w:val="0"/>
          <w:iCs w:val="0"/>
          <w:color w:val="0000FF"/>
          <w:highlight w:val="none"/>
          <w:lang w:val="en-US" w:eastAsia="zh-CN"/>
        </w:rPr>
      </w:pPr>
    </w:p>
    <w:p w14:paraId="386EBC3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cs="Times New Roman"/>
          <w:b/>
          <w:bCs/>
          <w:i w:val="0"/>
          <w:iCs w:val="0"/>
          <w:color w:val="0000FF"/>
          <w:highlight w:val="none"/>
          <w:lang w:val="en-US" w:eastAsia="zh-CN"/>
        </w:rPr>
      </w:pPr>
      <w:r>
        <w:rPr>
          <w:rFonts w:hint="eastAsia" w:ascii="Times New Roman" w:hAnsi="Times New Roman" w:cs="Times New Roman"/>
          <w:b/>
          <w:bCs/>
          <w:i w:val="0"/>
          <w:iCs w:val="0"/>
          <w:color w:val="0000FF"/>
          <w:highlight w:val="none"/>
          <w:lang w:val="en-US" w:eastAsia="zh-CN"/>
        </w:rPr>
        <w:t>条文说明：</w:t>
      </w:r>
    </w:p>
    <w:p w14:paraId="30ADE4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自动化监测系统多数为无人值守方式，结合其所处建筑边坡工程的环境情况，更易受到非专业人员有意或无意的破坏，长期运行时可能面临系统维保人员、软件开发人员的更换，自然灾害的影响等等。</w:t>
      </w:r>
    </w:p>
    <w:p w14:paraId="36F916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因此，关于自动化监测系统的运行管理制度应更加完善、可追溯、可继承。本条文规定了自动化监测系统运行管理体系应包含的基本方面。标识牌内容应包括设备名称、编号、监测项目、应急联系人、联系方式、监测单位、设备一般性故障恢复方法等。</w:t>
      </w:r>
    </w:p>
    <w:p w14:paraId="70DA86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p>
    <w:p w14:paraId="1D140CE0">
      <w:pPr>
        <w:rPr>
          <w:rFonts w:hint="eastAsia" w:ascii="Times New Roman" w:hAnsi="Times New Roman" w:cs="Times New Roman"/>
          <w:color w:val="FF0000"/>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6</w:t>
      </w:r>
      <w:r>
        <w:rPr>
          <w:rFonts w:ascii="Times New Roman" w:hAnsi="Times New Roman" w:cs="Times New Roman"/>
          <w:highlight w:val="none"/>
        </w:rPr>
        <w:t xml:space="preserve"> </w:t>
      </w:r>
      <w:r>
        <w:rPr>
          <w:rFonts w:hint="eastAsia" w:ascii="Times New Roman" w:hAnsi="Times New Roman" w:cs="Times New Roman"/>
          <w:highlight w:val="none"/>
        </w:rPr>
        <w:t xml:space="preserve"> 开展自动化监测时，</w:t>
      </w:r>
      <w:r>
        <w:rPr>
          <w:rFonts w:ascii="Times New Roman" w:hAnsi="Times New Roman" w:cs="Times New Roman"/>
          <w:highlight w:val="none"/>
        </w:rPr>
        <w:t>基准网的布设、测量及检核需符合现行有关标准规定要求。</w:t>
      </w:r>
    </w:p>
    <w:p w14:paraId="6F16B20A">
      <w:pPr>
        <w:rPr>
          <w:rFonts w:hint="eastAsia" w:ascii="Times New Roman" w:hAnsi="Times New Roman" w:cs="Times New Roman"/>
          <w:b/>
          <w:bCs/>
          <w:color w:val="0000FF"/>
          <w:highlight w:val="none"/>
          <w:lang w:val="en-US" w:eastAsia="zh-CN"/>
        </w:rPr>
      </w:pPr>
    </w:p>
    <w:p w14:paraId="0102BF4A">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3B0484D5">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如前文述，自动化监测只是改变了监测的方式，基本原理与传统人工监测方式是一致的。其关于基准网、测量及检核的方法的要求也是一致的，这是开展自动化监测的工作前提。</w:t>
      </w:r>
    </w:p>
    <w:p w14:paraId="1FC35A75">
      <w:pPr>
        <w:ind w:firstLine="480" w:firstLineChars="200"/>
        <w:rPr>
          <w:rFonts w:hint="eastAsia" w:ascii="Times New Roman" w:hAnsi="Times New Roman" w:cs="Times New Roman"/>
          <w:color w:val="0000FF"/>
          <w:highlight w:val="none"/>
          <w:lang w:val="en-US" w:eastAsia="zh-CN"/>
        </w:rPr>
      </w:pPr>
    </w:p>
    <w:p w14:paraId="7E817B77">
      <w:pPr>
        <w:jc w:val="center"/>
        <w:rPr>
          <w:rFonts w:ascii="Times New Roman" w:hAnsi="Times New Roman" w:cs="Times New Roman"/>
          <w:highlight w:val="none"/>
        </w:rPr>
      </w:pPr>
      <w:r>
        <w:rPr>
          <w:rFonts w:hint="eastAsia" w:ascii="Times New Roman" w:hAnsi="Times New Roman" w:cs="Times New Roman"/>
          <w:highlight w:val="none"/>
        </w:rPr>
        <w:t xml:space="preserve">Ⅱ  </w:t>
      </w:r>
      <w:r>
        <w:rPr>
          <w:rFonts w:ascii="Times New Roman" w:hAnsi="Times New Roman" w:cs="Times New Roman"/>
          <w:highlight w:val="none"/>
        </w:rPr>
        <w:t>水平位移监测</w:t>
      </w:r>
    </w:p>
    <w:p w14:paraId="1BA4E98F">
      <w:pPr>
        <w:rPr>
          <w:rFonts w:hint="eastAsia" w:ascii="Times New Roman" w:hAnsi="Times New Roman" w:cs="Times New Roman"/>
          <w:b/>
          <w:bCs/>
          <w:highlight w:val="none"/>
        </w:rPr>
      </w:pPr>
    </w:p>
    <w:p w14:paraId="494991EB">
      <w:pPr>
        <w:rPr>
          <w:rFonts w:hint="eastAsia" w:ascii="Times New Roman" w:hAnsi="Times New Roman" w:cs="Times New Roman"/>
          <w:b/>
          <w:bCs/>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7</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水平位移自动化监测可</w:t>
      </w:r>
      <w:r>
        <w:rPr>
          <w:rFonts w:hint="eastAsia" w:ascii="Times New Roman" w:hAnsi="Times New Roman" w:cs="Times New Roman"/>
          <w:highlight w:val="none"/>
        </w:rPr>
        <w:t>采用</w:t>
      </w:r>
      <w:r>
        <w:rPr>
          <w:rFonts w:ascii="Times New Roman" w:hAnsi="Times New Roman" w:cs="Times New Roman"/>
          <w:highlight w:val="none"/>
        </w:rPr>
        <w:t>智能型全站仪、位移计</w:t>
      </w:r>
      <w:r>
        <w:rPr>
          <w:rFonts w:hint="eastAsia" w:ascii="Times New Roman" w:hAnsi="Times New Roman" w:cs="Times New Roman"/>
          <w:highlight w:val="none"/>
        </w:rPr>
        <w:t>、</w:t>
      </w:r>
      <w:r>
        <w:rPr>
          <w:rFonts w:hint="eastAsia" w:ascii="Times New Roman" w:hAnsi="Times New Roman" w:cs="Times New Roman"/>
          <w:highlight w:val="none"/>
          <w:lang w:val="en-US" w:eastAsia="zh-CN"/>
        </w:rPr>
        <w:t>GNSS</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摄影测量、遥感</w:t>
      </w:r>
      <w:r>
        <w:rPr>
          <w:rFonts w:ascii="Times New Roman" w:hAnsi="Times New Roman" w:cs="Times New Roman"/>
          <w:highlight w:val="none"/>
        </w:rPr>
        <w:t>等进行量测。</w:t>
      </w:r>
    </w:p>
    <w:p w14:paraId="65B95D2D">
      <w:pPr>
        <w:rPr>
          <w:rFonts w:hint="eastAsia" w:ascii="Times New Roman" w:hAnsi="Times New Roman" w:cs="Times New Roman"/>
          <w:b/>
          <w:bCs/>
          <w:color w:val="0000FF"/>
          <w:highlight w:val="none"/>
          <w:lang w:val="en-US" w:eastAsia="zh-CN"/>
        </w:rPr>
      </w:pPr>
    </w:p>
    <w:p w14:paraId="06FDC205">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33D38215">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本条文立足于自动化监测方式，建议性列举可进行水平位移监测的智能型设备。此处提出相应方法的注意事项：</w:t>
      </w:r>
    </w:p>
    <w:p w14:paraId="7FEF8D50">
      <w:pPr>
        <w:numPr>
          <w:ilvl w:val="0"/>
          <w:numId w:val="0"/>
        </w:numPr>
        <w:ind w:firstLine="480" w:firstLineChars="200"/>
        <w:rPr>
          <w:rFonts w:hint="eastAsia" w:ascii="Times New Roman" w:hAnsi="Times New Roman" w:cs="Times New Roman"/>
          <w:color w:val="0000FF"/>
          <w:highlight w:val="none"/>
          <w:lang w:val="en-US" w:eastAsia="zh-CN"/>
        </w:rPr>
      </w:pPr>
      <w:r>
        <w:rPr>
          <w:rFonts w:hint="eastAsia" w:cs="Times New Roman"/>
          <w:color w:val="0000FF"/>
          <w:kern w:val="2"/>
          <w:sz w:val="24"/>
          <w:szCs w:val="24"/>
          <w:highlight w:val="none"/>
          <w:lang w:val="en-US" w:eastAsia="zh-CN" w:bidi="ar-SA"/>
        </w:rPr>
        <w:t xml:space="preserve">1 </w:t>
      </w:r>
      <w:r>
        <w:rPr>
          <w:rFonts w:hint="eastAsia" w:ascii="Times New Roman" w:hAnsi="Times New Roman" w:cs="Times New Roman"/>
          <w:color w:val="0000FF"/>
          <w:highlight w:val="none"/>
          <w:lang w:val="en-US" w:eastAsia="zh-CN"/>
        </w:rPr>
        <w:t>智能型全站仪：应注意设备维保、定期检定或校准；同时注意基准网点的定期校核；</w:t>
      </w:r>
    </w:p>
    <w:p w14:paraId="148F7D05">
      <w:pPr>
        <w:numPr>
          <w:ilvl w:val="0"/>
          <w:numId w:val="0"/>
        </w:numPr>
        <w:ind w:firstLine="480" w:firstLineChars="200"/>
        <w:rPr>
          <w:rFonts w:hint="default" w:ascii="Times New Roman" w:hAnsi="Times New Roman" w:cs="Times New Roman"/>
          <w:color w:val="0000FF"/>
          <w:highlight w:val="none"/>
          <w:lang w:val="en-US" w:eastAsia="zh-CN"/>
        </w:rPr>
      </w:pPr>
      <w:r>
        <w:rPr>
          <w:rFonts w:hint="eastAsia" w:cs="Times New Roman"/>
          <w:color w:val="0000FF"/>
          <w:kern w:val="2"/>
          <w:sz w:val="24"/>
          <w:szCs w:val="24"/>
          <w:highlight w:val="none"/>
          <w:lang w:val="en-US" w:eastAsia="zh-CN" w:bidi="ar-SA"/>
        </w:rPr>
        <w:t xml:space="preserve">2 </w:t>
      </w:r>
      <w:r>
        <w:rPr>
          <w:rFonts w:hint="eastAsia" w:ascii="Times New Roman" w:hAnsi="Times New Roman" w:cs="Times New Roman"/>
          <w:color w:val="0000FF"/>
          <w:highlight w:val="none"/>
          <w:lang w:val="en-US" w:eastAsia="zh-CN"/>
        </w:rPr>
        <w:t>位移计：位移计适用范围较小，仅适用于就近有锚固点（基准点）的部位。当位移计采用拉线、测杆时，尚应对拉线、拉杆的伸缩性能做影响评估；</w:t>
      </w:r>
    </w:p>
    <w:p w14:paraId="07138F94">
      <w:pPr>
        <w:numPr>
          <w:ilvl w:val="0"/>
          <w:numId w:val="0"/>
        </w:numPr>
        <w:ind w:firstLine="480" w:firstLineChars="200"/>
        <w:rPr>
          <w:rFonts w:hint="eastAsia" w:ascii="Times New Roman" w:hAnsi="Times New Roman" w:cs="Times New Roman"/>
          <w:color w:val="0000FF"/>
          <w:highlight w:val="none"/>
          <w:lang w:val="en-US" w:eastAsia="zh-CN"/>
        </w:rPr>
      </w:pPr>
      <w:r>
        <w:rPr>
          <w:rFonts w:hint="eastAsia" w:cs="Times New Roman"/>
          <w:color w:val="0000FF"/>
          <w:kern w:val="2"/>
          <w:sz w:val="24"/>
          <w:szCs w:val="24"/>
          <w:highlight w:val="none"/>
          <w:lang w:val="en-US" w:eastAsia="zh-CN" w:bidi="ar-SA"/>
        </w:rPr>
        <w:t xml:space="preserve">3 </w:t>
      </w:r>
      <w:r>
        <w:rPr>
          <w:rFonts w:hint="eastAsia" w:ascii="Times New Roman" w:hAnsi="Times New Roman" w:cs="Times New Roman"/>
          <w:color w:val="0000FF"/>
          <w:highlight w:val="none"/>
        </w:rPr>
        <w:t>卫星导航系统</w:t>
      </w:r>
      <w:r>
        <w:rPr>
          <w:rFonts w:hint="eastAsia" w:ascii="Times New Roman" w:hAnsi="Times New Roman" w:cs="Times New Roman"/>
          <w:color w:val="0000FF"/>
          <w:highlight w:val="none"/>
          <w:lang w:eastAsia="zh-CN"/>
        </w:rPr>
        <w:t>：</w:t>
      </w:r>
      <w:r>
        <w:rPr>
          <w:rFonts w:hint="eastAsia" w:ascii="Times New Roman" w:hAnsi="Times New Roman" w:cs="Times New Roman"/>
          <w:color w:val="0000FF"/>
          <w:highlight w:val="none"/>
          <w:lang w:val="en-US" w:eastAsia="zh-CN"/>
        </w:rPr>
        <w:t>《建筑变形测量规范》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JGJ 8中关于卫星导航系统的应用条件有详细规定</w:t>
      </w:r>
      <w:r>
        <w:rPr>
          <w:rFonts w:hint="eastAsia" w:cs="Times New Roman"/>
          <w:color w:val="0000FF"/>
          <w:highlight w:val="none"/>
          <w:lang w:val="en-US" w:eastAsia="zh-CN"/>
        </w:rPr>
        <w:t>，</w:t>
      </w:r>
      <w:r>
        <w:rPr>
          <w:rFonts w:hint="eastAsia" w:ascii="Times New Roman" w:hAnsi="Times New Roman" w:cs="Times New Roman"/>
          <w:color w:val="0000FF"/>
          <w:highlight w:val="none"/>
          <w:lang w:val="en-US" w:eastAsia="zh-CN"/>
        </w:rPr>
        <w:t>应注意系统精度匹配性问题。</w:t>
      </w:r>
    </w:p>
    <w:p w14:paraId="2ECE0B5E">
      <w:pPr>
        <w:numPr>
          <w:ilvl w:val="0"/>
          <w:numId w:val="0"/>
        </w:numPr>
        <w:ind w:firstLine="480" w:firstLineChars="200"/>
        <w:rPr>
          <w:rFonts w:hint="eastAsia" w:ascii="Times New Roman" w:hAnsi="Times New Roman" w:cs="Times New Roman"/>
          <w:color w:val="0000FF"/>
          <w:highlight w:val="none"/>
          <w:lang w:val="en-US" w:eastAsia="zh-CN"/>
        </w:rPr>
      </w:pPr>
    </w:p>
    <w:p w14:paraId="126907F3">
      <w:pPr>
        <w:rPr>
          <w:rFonts w:hint="eastAsia" w:ascii="Times New Roman" w:hAnsi="Times New Roman" w:cs="Times New Roman" w:eastAsiaTheme="minorEastAsia"/>
          <w:highlight w:val="none"/>
          <w:lang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lang w:val="en-US" w:eastAsia="zh-CN"/>
        </w:rPr>
        <w:t xml:space="preserve"> 8</w:t>
      </w:r>
      <w:r>
        <w:rPr>
          <w:rFonts w:ascii="Times New Roman" w:hAnsi="Times New Roman" w:cs="Times New Roman"/>
          <w:b/>
          <w:bCs/>
          <w:highlight w:val="none"/>
        </w:rPr>
        <w:t xml:space="preserve"> </w:t>
      </w:r>
      <w:r>
        <w:rPr>
          <w:rFonts w:hint="eastAsia" w:ascii="Times New Roman" w:hAnsi="Times New Roman" w:cs="Times New Roman"/>
          <w:b/>
          <w:bCs/>
          <w:highlight w:val="none"/>
        </w:rPr>
        <w:t xml:space="preserve"> </w:t>
      </w:r>
      <w:r>
        <w:rPr>
          <w:rFonts w:ascii="Times New Roman" w:hAnsi="Times New Roman" w:cs="Times New Roman"/>
          <w:highlight w:val="none"/>
        </w:rPr>
        <w:t>采用智能型全站仪进行监测时应符合以下</w:t>
      </w:r>
      <w:r>
        <w:rPr>
          <w:rFonts w:hint="eastAsia" w:ascii="Times New Roman" w:hAnsi="Times New Roman" w:cs="Times New Roman"/>
          <w:highlight w:val="none"/>
          <w:lang w:val="en-US" w:eastAsia="zh-CN"/>
        </w:rPr>
        <w:t>要求</w:t>
      </w:r>
      <w:r>
        <w:rPr>
          <w:rFonts w:hint="eastAsia" w:ascii="Times New Roman" w:hAnsi="Times New Roman" w:cs="Times New Roman"/>
          <w:highlight w:val="none"/>
          <w:lang w:eastAsia="zh-CN"/>
        </w:rPr>
        <w:t>：</w:t>
      </w:r>
    </w:p>
    <w:p w14:paraId="639B2ABC">
      <w:pPr>
        <w:ind w:firstLine="482" w:firstLineChars="200"/>
        <w:rPr>
          <w:rFonts w:hint="eastAsia" w:ascii="Times New Roman" w:hAnsi="Times New Roman" w:cs="Times New Roman"/>
          <w:highlight w:val="none"/>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rPr>
        <w:t xml:space="preserve">  </w:t>
      </w:r>
      <w:r>
        <w:rPr>
          <w:rFonts w:ascii="Times New Roman" w:hAnsi="Times New Roman" w:cs="Times New Roman"/>
          <w:highlight w:val="none"/>
        </w:rPr>
        <w:t>工作基点</w:t>
      </w:r>
      <w:r>
        <w:rPr>
          <w:rFonts w:hint="eastAsia" w:ascii="Times New Roman" w:hAnsi="Times New Roman" w:cs="Times New Roman"/>
          <w:highlight w:val="none"/>
          <w:lang w:val="en-US" w:eastAsia="zh-CN"/>
        </w:rPr>
        <w:t>应</w:t>
      </w:r>
      <w:r>
        <w:rPr>
          <w:rFonts w:ascii="Times New Roman" w:hAnsi="Times New Roman" w:cs="Times New Roman"/>
          <w:highlight w:val="none"/>
        </w:rPr>
        <w:t>设置观测墩，配备强制对中装置</w:t>
      </w:r>
      <w:r>
        <w:rPr>
          <w:rFonts w:hint="eastAsia" w:ascii="Times New Roman" w:hAnsi="Times New Roman" w:cs="Times New Roman"/>
          <w:highlight w:val="none"/>
          <w:lang w:val="en-US" w:eastAsia="zh-CN"/>
        </w:rPr>
        <w:t>和</w:t>
      </w:r>
      <w:r>
        <w:rPr>
          <w:rFonts w:ascii="Times New Roman" w:hAnsi="Times New Roman" w:cs="Times New Roman"/>
          <w:highlight w:val="none"/>
        </w:rPr>
        <w:t>防护</w:t>
      </w:r>
      <w:r>
        <w:rPr>
          <w:rFonts w:hint="eastAsia" w:ascii="Times New Roman" w:hAnsi="Times New Roman" w:cs="Times New Roman"/>
          <w:highlight w:val="none"/>
          <w:lang w:val="en-US" w:eastAsia="zh-CN"/>
        </w:rPr>
        <w:t>措施</w:t>
      </w:r>
      <w:r>
        <w:rPr>
          <w:rFonts w:hint="eastAsia" w:ascii="Times New Roman" w:hAnsi="Times New Roman" w:cs="Times New Roman"/>
          <w:highlight w:val="none"/>
        </w:rPr>
        <w:t>；</w:t>
      </w:r>
    </w:p>
    <w:p w14:paraId="0B3675F6">
      <w:pPr>
        <w:ind w:firstLine="482" w:firstLineChars="200"/>
        <w:rPr>
          <w:rFonts w:hint="eastAsia" w:ascii="Times New Roman" w:hAnsi="Times New Roman" w:cs="Times New Roman" w:eastAsiaTheme="minorEastAsia"/>
          <w:highlight w:val="none"/>
          <w:lang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rPr>
        <w:t xml:space="preserve">  </w:t>
      </w:r>
      <w:r>
        <w:rPr>
          <w:rFonts w:ascii="Times New Roman" w:hAnsi="Times New Roman" w:cs="Times New Roman"/>
          <w:highlight w:val="none"/>
        </w:rPr>
        <w:t>水平位移监测基准点布设于</w:t>
      </w:r>
      <w:r>
        <w:rPr>
          <w:rFonts w:hint="eastAsia" w:ascii="Times New Roman" w:hAnsi="Times New Roman" w:cs="Times New Roman"/>
          <w:highlight w:val="none"/>
        </w:rPr>
        <w:t>稳定区域且不少于3点，每次监测前</w:t>
      </w:r>
      <w:r>
        <w:rPr>
          <w:rFonts w:hint="eastAsia" w:ascii="Times New Roman" w:hAnsi="Times New Roman" w:cs="Times New Roman"/>
          <w:highlight w:val="none"/>
          <w:lang w:val="en-US" w:eastAsia="zh-CN"/>
        </w:rPr>
        <w:t>应校核工作基点的稳定性</w:t>
      </w:r>
      <w:r>
        <w:rPr>
          <w:rFonts w:hint="eastAsia" w:ascii="Times New Roman" w:hAnsi="Times New Roman" w:cs="Times New Roman"/>
          <w:highlight w:val="none"/>
        </w:rPr>
        <w:t>；</w:t>
      </w:r>
    </w:p>
    <w:p w14:paraId="568DDE3D">
      <w:pPr>
        <w:ind w:firstLine="482" w:firstLineChars="200"/>
        <w:rPr>
          <w:rFonts w:hint="default" w:ascii="Times New Roman" w:hAnsi="Times New Roman" w:cs="Times New Roman" w:eastAsiaTheme="minorEastAsia"/>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基准网稳定性复核周期及工作基点巡查不宜大于3个月；</w:t>
      </w:r>
    </w:p>
    <w:p w14:paraId="173F0922">
      <w:pPr>
        <w:ind w:firstLine="482" w:firstLineChars="200"/>
        <w:rPr>
          <w:rFonts w:hint="eastAsia" w:ascii="Times New Roman" w:hAnsi="Times New Roman" w:cs="Times New Roman"/>
          <w:b/>
          <w:bCs/>
          <w:highlight w:val="none"/>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rPr>
        <w:t xml:space="preserve">  智能型全站仪</w:t>
      </w:r>
      <w:r>
        <w:rPr>
          <w:rFonts w:hint="eastAsia" w:ascii="Times New Roman" w:hAnsi="Times New Roman" w:cs="Times New Roman"/>
          <w:highlight w:val="none"/>
          <w:lang w:val="en-US" w:eastAsia="zh-CN"/>
        </w:rPr>
        <w:t>配套测量软件</w:t>
      </w:r>
      <w:r>
        <w:rPr>
          <w:rFonts w:hint="eastAsia" w:ascii="Times New Roman" w:hAnsi="Times New Roman" w:cs="Times New Roman"/>
          <w:highlight w:val="none"/>
        </w:rPr>
        <w:t>宜有自动剔除粗差、漏点补测、超限重测的功能。</w:t>
      </w:r>
    </w:p>
    <w:p w14:paraId="07CC6C84">
      <w:pPr>
        <w:rPr>
          <w:rFonts w:hint="eastAsia" w:ascii="Times New Roman" w:hAnsi="Times New Roman" w:cs="Times New Roman"/>
          <w:b/>
          <w:bCs/>
          <w:color w:val="0000FF"/>
          <w:highlight w:val="none"/>
          <w:lang w:val="en-US" w:eastAsia="zh-CN"/>
        </w:rPr>
      </w:pPr>
    </w:p>
    <w:p w14:paraId="1AEA5C16">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3AEE71E2">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条文规定了采用智能型全站仪进行水平位移自动化监测时候应注意的各项问题。</w:t>
      </w:r>
    </w:p>
    <w:p w14:paraId="04DFE0E9">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对于第1点，工作基点不应埋设在施工、低洼积水、湿陷、冻胀、胀缩等影响范围内，选点时应考虑施工对工作基点的扰动和对视线的阻挡。智能型全站仪架设处宜配置电子气温气压计、控制系统、通信系统及不间断供电系统等配套设备并注意防护</w:t>
      </w:r>
    </w:p>
    <w:p w14:paraId="68D2D8A9">
      <w:pPr>
        <w:rPr>
          <w:rFonts w:hint="eastAsia" w:ascii="Times New Roman" w:hAnsi="Times New Roman" w:cs="Times New Roman"/>
          <w:color w:val="0000FF"/>
          <w:highlight w:val="none"/>
          <w:lang w:val="en-US" w:eastAsia="zh-CN"/>
        </w:rPr>
      </w:pPr>
    </w:p>
    <w:p w14:paraId="21075B2F">
      <w:pPr>
        <w:rPr>
          <w:rFonts w:ascii="Times New Roman" w:hAnsi="Times New Roman" w:cs="Times New Roman"/>
          <w:highlight w:val="none"/>
        </w:rPr>
      </w:pPr>
      <w:r>
        <w:rPr>
          <w:rFonts w:hint="eastAsia" w:ascii="Times New Roman" w:hAnsi="Times New Roman" w:cs="Times New Roman"/>
          <w:b/>
          <w:bCs/>
          <w:highlight w:val="none"/>
        </w:rPr>
        <w:t xml:space="preserve">6. 3. </w:t>
      </w:r>
      <w:r>
        <w:rPr>
          <w:rFonts w:hint="eastAsia" w:ascii="Times New Roman" w:hAnsi="Times New Roman" w:cs="Times New Roman"/>
          <w:b/>
          <w:bCs/>
          <w:highlight w:val="none"/>
          <w:lang w:val="en-US" w:eastAsia="zh-CN"/>
        </w:rPr>
        <w:t>9</w:t>
      </w:r>
      <w:r>
        <w:rPr>
          <w:rFonts w:ascii="Times New Roman" w:hAnsi="Times New Roman" w:cs="Times New Roman"/>
          <w:b/>
          <w:bCs/>
          <w:highlight w:val="none"/>
        </w:rPr>
        <w:t xml:space="preserve"> </w:t>
      </w:r>
      <w:r>
        <w:rPr>
          <w:rFonts w:hint="eastAsia" w:ascii="Times New Roman" w:hAnsi="Times New Roman" w:cs="Times New Roman"/>
          <w:b/>
          <w:bCs/>
          <w:highlight w:val="none"/>
        </w:rPr>
        <w:t xml:space="preserve"> </w:t>
      </w:r>
      <w:r>
        <w:rPr>
          <w:rFonts w:ascii="Times New Roman" w:hAnsi="Times New Roman" w:cs="Times New Roman"/>
          <w:highlight w:val="none"/>
        </w:rPr>
        <w:t>采用</w:t>
      </w:r>
      <w:r>
        <w:rPr>
          <w:rFonts w:hint="eastAsia" w:ascii="Times New Roman" w:hAnsi="Times New Roman" w:cs="Times New Roman"/>
          <w:highlight w:val="none"/>
          <w:lang w:val="en-US" w:eastAsia="zh-CN"/>
        </w:rPr>
        <w:t>激光</w:t>
      </w:r>
      <w:r>
        <w:rPr>
          <w:rFonts w:ascii="Times New Roman" w:hAnsi="Times New Roman" w:cs="Times New Roman"/>
          <w:highlight w:val="none"/>
        </w:rPr>
        <w:t>位移计进行监测时应符合以下</w:t>
      </w:r>
      <w:r>
        <w:rPr>
          <w:rFonts w:hint="eastAsia" w:ascii="Times New Roman" w:hAnsi="Times New Roman" w:cs="Times New Roman"/>
          <w:highlight w:val="none"/>
          <w:lang w:val="en-US" w:eastAsia="zh-CN"/>
        </w:rPr>
        <w:t>要求：</w:t>
      </w:r>
    </w:p>
    <w:p w14:paraId="0B6603EA">
      <w:pPr>
        <w:ind w:firstLine="480" w:firstLineChars="20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水平位移监测基准点设备应设置在稳定区域并定期对其进行人工校准</w:t>
      </w:r>
      <w:r>
        <w:rPr>
          <w:rFonts w:hint="eastAsia" w:cs="Times New Roman"/>
          <w:highlight w:val="none"/>
          <w:lang w:val="en-US" w:eastAsia="zh-CN"/>
        </w:rPr>
        <w:t>和</w:t>
      </w:r>
      <w:r>
        <w:rPr>
          <w:rFonts w:ascii="Times New Roman" w:hAnsi="Times New Roman" w:cs="Times New Roman"/>
          <w:highlight w:val="none"/>
        </w:rPr>
        <w:t>修正</w:t>
      </w:r>
      <w:r>
        <w:rPr>
          <w:rFonts w:hint="eastAsia" w:ascii="Times New Roman" w:hAnsi="Times New Roman" w:cs="Times New Roman"/>
          <w:highlight w:val="none"/>
        </w:rPr>
        <w:t>；</w:t>
      </w:r>
      <w:r>
        <w:rPr>
          <w:rFonts w:ascii="Times New Roman" w:hAnsi="Times New Roman" w:cs="Times New Roman"/>
          <w:highlight w:val="none"/>
        </w:rPr>
        <w:t xml:space="preserve"> </w:t>
      </w:r>
    </w:p>
    <w:p w14:paraId="4CD6FF40">
      <w:pPr>
        <w:ind w:firstLine="480" w:firstLineChars="200"/>
        <w:rPr>
          <w:rFonts w:hint="eastAsia" w:ascii="Times New Roman" w:hAnsi="Times New Roman" w:cs="Times New Roman"/>
          <w:b/>
          <w:bCs/>
          <w:highlight w:val="none"/>
        </w:rPr>
      </w:pPr>
      <w:r>
        <w:rPr>
          <w:rFonts w:ascii="Times New Roman" w:hAnsi="Times New Roman" w:cs="Times New Roman"/>
          <w:highlight w:val="none"/>
        </w:rPr>
        <w:t>2</w:t>
      </w:r>
      <w:r>
        <w:rPr>
          <w:rFonts w:hint="eastAsia" w:ascii="Times New Roman" w:hAnsi="Times New Roman" w:cs="Times New Roman"/>
          <w:highlight w:val="none"/>
        </w:rPr>
        <w:t xml:space="preserve">  </w:t>
      </w:r>
      <w:r>
        <w:rPr>
          <w:rFonts w:ascii="Times New Roman" w:hAnsi="Times New Roman" w:cs="Times New Roman"/>
          <w:highlight w:val="none"/>
        </w:rPr>
        <w:t>激光光路应高于地面不少于20cm</w:t>
      </w:r>
      <w:r>
        <w:rPr>
          <w:rFonts w:hint="eastAsia" w:ascii="Times New Roman" w:hAnsi="Times New Roman" w:cs="Times New Roman"/>
          <w:highlight w:val="none"/>
        </w:rPr>
        <w:t>；</w:t>
      </w:r>
      <w:r>
        <w:rPr>
          <w:rFonts w:ascii="Times New Roman" w:hAnsi="Times New Roman" w:cs="Times New Roman"/>
          <w:highlight w:val="none"/>
        </w:rPr>
        <w:t>激光装置应配备自平衡装置，确保激光光路不受结构倾斜的干扰</w:t>
      </w:r>
      <w:r>
        <w:rPr>
          <w:rFonts w:hint="eastAsia" w:ascii="Times New Roman" w:hAnsi="Times New Roman" w:cs="Times New Roman"/>
          <w:highlight w:val="none"/>
        </w:rPr>
        <w:t>；</w:t>
      </w:r>
      <w:r>
        <w:rPr>
          <w:rFonts w:ascii="Times New Roman" w:hAnsi="Times New Roman" w:cs="Times New Roman"/>
          <w:highlight w:val="none"/>
        </w:rPr>
        <w:t>可采用直接测量法和累计联测法进行监测。</w:t>
      </w:r>
    </w:p>
    <w:p w14:paraId="0273FD34">
      <w:pPr>
        <w:rPr>
          <w:rFonts w:hint="eastAsia" w:ascii="Times New Roman" w:hAnsi="Times New Roman" w:cs="Times New Roman"/>
          <w:b/>
          <w:bCs/>
          <w:color w:val="0000FF"/>
          <w:highlight w:val="none"/>
          <w:lang w:val="en-US" w:eastAsia="zh-CN"/>
        </w:rPr>
      </w:pPr>
    </w:p>
    <w:p w14:paraId="6E79A29B">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0417789D">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条文规定了采用激光位移计进行水平位移自动化监测时候应注意的各项问题。使用激光位移计进行水平位移监测时，基准点的稳定性直接关系测量的准确性，因此原则上基准点需安装在施工影响范围之外的稳固可靠位置。如果现场实施确有难度，无法满足要求，布设工作基点在基坑影响范围内时，也应选取较为可靠稳固的位置并定期进行校准修正，以保证监测数据的准确性。</w:t>
      </w:r>
    </w:p>
    <w:p w14:paraId="35C1ED78">
      <w:pPr>
        <w:ind w:firstLine="480" w:firstLineChars="200"/>
        <w:rPr>
          <w:rFonts w:hint="eastAsia" w:ascii="Times New Roman" w:hAnsi="Times New Roman" w:cs="Times New Roman"/>
          <w:color w:val="0000FF"/>
          <w:highlight w:val="none"/>
          <w:lang w:val="en-US" w:eastAsia="zh-CN"/>
        </w:rPr>
      </w:pPr>
    </w:p>
    <w:p w14:paraId="12696B8D">
      <w:pPr>
        <w:shd w:val="clear"/>
        <w:rPr>
          <w:rFonts w:ascii="Times New Roman" w:hAnsi="Times New Roman" w:cs="Times New Roman"/>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10</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采用</w:t>
      </w:r>
      <w:r>
        <w:rPr>
          <w:rFonts w:hint="eastAsia" w:ascii="Times New Roman" w:hAnsi="Times New Roman" w:cs="Times New Roman"/>
          <w:highlight w:val="none"/>
          <w:lang w:val="en-US" w:eastAsia="zh-CN"/>
        </w:rPr>
        <w:t>GNSS</w:t>
      </w:r>
      <w:r>
        <w:rPr>
          <w:rFonts w:ascii="Times New Roman" w:hAnsi="Times New Roman" w:cs="Times New Roman"/>
          <w:highlight w:val="none"/>
        </w:rPr>
        <w:t>进行</w:t>
      </w:r>
      <w:r>
        <w:rPr>
          <w:rFonts w:hint="eastAsia" w:ascii="Times New Roman" w:hAnsi="Times New Roman" w:cs="Times New Roman"/>
          <w:highlight w:val="none"/>
        </w:rPr>
        <w:t>静态测量</w:t>
      </w:r>
      <w:r>
        <w:rPr>
          <w:rFonts w:ascii="Times New Roman" w:hAnsi="Times New Roman" w:cs="Times New Roman"/>
          <w:highlight w:val="none"/>
        </w:rPr>
        <w:t>时应符合以下</w:t>
      </w:r>
      <w:r>
        <w:rPr>
          <w:rFonts w:hint="eastAsia" w:ascii="Times New Roman" w:hAnsi="Times New Roman" w:cs="Times New Roman"/>
          <w:highlight w:val="none"/>
          <w:lang w:val="en-US" w:eastAsia="zh-CN"/>
        </w:rPr>
        <w:t>要求</w:t>
      </w:r>
      <w:r>
        <w:rPr>
          <w:rFonts w:hint="eastAsia" w:ascii="Times New Roman" w:hAnsi="Times New Roman" w:cs="Times New Roman"/>
          <w:highlight w:val="none"/>
        </w:rPr>
        <w:t>：</w:t>
      </w:r>
    </w:p>
    <w:p w14:paraId="4E1817B3">
      <w:pPr>
        <w:shd w:val="clear"/>
        <w:ind w:firstLine="482" w:firstLineChars="200"/>
        <w:rPr>
          <w:rFonts w:hint="eastAsia" w:ascii="Times New Roman" w:hAnsi="Times New Roman" w:cs="Times New Roman"/>
          <w:highlight w:val="none"/>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rPr>
        <w:t xml:space="preserve">  </w:t>
      </w:r>
      <w:r>
        <w:rPr>
          <w:rFonts w:hint="eastAsia" w:ascii="Times New Roman" w:hAnsi="Times New Roman" w:cs="Times New Roman"/>
          <w:highlight w:val="none"/>
          <w:lang w:val="en-US" w:eastAsia="zh-CN"/>
        </w:rPr>
        <w:t>监测点应</w:t>
      </w:r>
      <w:r>
        <w:rPr>
          <w:rFonts w:ascii="Times New Roman" w:hAnsi="Times New Roman" w:cs="Times New Roman"/>
          <w:highlight w:val="none"/>
        </w:rPr>
        <w:t>设置观测墩，配备强制对中装置</w:t>
      </w:r>
      <w:r>
        <w:rPr>
          <w:rFonts w:hint="eastAsia" w:ascii="Times New Roman" w:hAnsi="Times New Roman" w:cs="Times New Roman"/>
          <w:highlight w:val="none"/>
          <w:lang w:val="en-US" w:eastAsia="zh-CN"/>
        </w:rPr>
        <w:t>和</w:t>
      </w:r>
      <w:r>
        <w:rPr>
          <w:rFonts w:ascii="Times New Roman" w:hAnsi="Times New Roman" w:cs="Times New Roman"/>
          <w:highlight w:val="none"/>
        </w:rPr>
        <w:t>防护</w:t>
      </w:r>
      <w:r>
        <w:rPr>
          <w:rFonts w:hint="eastAsia" w:ascii="Times New Roman" w:hAnsi="Times New Roman" w:cs="Times New Roman"/>
          <w:highlight w:val="none"/>
          <w:lang w:val="en-US" w:eastAsia="zh-CN"/>
        </w:rPr>
        <w:t>措施</w:t>
      </w:r>
      <w:r>
        <w:rPr>
          <w:rFonts w:hint="eastAsia" w:ascii="Times New Roman" w:hAnsi="Times New Roman" w:cs="Times New Roman"/>
          <w:highlight w:val="none"/>
        </w:rPr>
        <w:t>；</w:t>
      </w:r>
    </w:p>
    <w:p w14:paraId="1AB7A23B">
      <w:pPr>
        <w:shd w:val="clear"/>
        <w:ind w:firstLine="482" w:firstLineChars="200"/>
        <w:rPr>
          <w:rFonts w:ascii="Times New Roman" w:hAnsi="Times New Roman" w:cs="Times New Roman"/>
          <w:highlight w:val="none"/>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rPr>
        <w:t xml:space="preserve">  </w:t>
      </w:r>
      <w:r>
        <w:rPr>
          <w:rFonts w:hint="eastAsia" w:ascii="Times New Roman" w:hAnsi="Times New Roman" w:cs="Times New Roman"/>
          <w:highlight w:val="none"/>
          <w:lang w:val="en-US" w:eastAsia="zh-CN"/>
        </w:rPr>
        <w:t>监测</w:t>
      </w:r>
      <w:r>
        <w:rPr>
          <w:rFonts w:ascii="Times New Roman" w:hAnsi="Times New Roman" w:cs="Times New Roman"/>
          <w:highlight w:val="none"/>
        </w:rPr>
        <w:t>点</w:t>
      </w:r>
      <w:r>
        <w:rPr>
          <w:rFonts w:hint="eastAsia" w:ascii="Times New Roman" w:hAnsi="Times New Roman" w:cs="Times New Roman"/>
          <w:highlight w:val="none"/>
          <w:lang w:val="en-US" w:eastAsia="zh-CN"/>
        </w:rPr>
        <w:t>周边</w:t>
      </w:r>
      <w:r>
        <w:rPr>
          <w:rFonts w:ascii="Times New Roman" w:hAnsi="Times New Roman" w:cs="Times New Roman"/>
          <w:highlight w:val="none"/>
        </w:rPr>
        <w:t>应视野开阔，点位附近不应有强烈干扰</w:t>
      </w:r>
      <w:r>
        <w:rPr>
          <w:rFonts w:hint="eastAsia" w:ascii="Times New Roman" w:hAnsi="Times New Roman" w:cs="Times New Roman"/>
          <w:highlight w:val="none"/>
          <w:lang w:val="en-US" w:eastAsia="zh-CN"/>
        </w:rPr>
        <w:t>源或</w:t>
      </w:r>
      <w:r>
        <w:rPr>
          <w:rFonts w:ascii="Times New Roman" w:hAnsi="Times New Roman" w:cs="Times New Roman"/>
          <w:highlight w:val="none"/>
        </w:rPr>
        <w:t>反射体</w:t>
      </w:r>
      <w:r>
        <w:rPr>
          <w:rFonts w:hint="eastAsia" w:ascii="Times New Roman" w:hAnsi="Times New Roman" w:cs="Times New Roman"/>
          <w:highlight w:val="none"/>
        </w:rPr>
        <w:t>；</w:t>
      </w:r>
    </w:p>
    <w:p w14:paraId="72A971A6">
      <w:pPr>
        <w:shd w:val="clear"/>
        <w:ind w:firstLine="482" w:firstLineChars="20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color w:val="auto"/>
          <w:highlight w:val="none"/>
          <w:lang w:val="en-US" w:eastAsia="zh-CN"/>
        </w:rPr>
        <w:t xml:space="preserve">  应采用边连接或网连接的方式建立监测网；</w:t>
      </w:r>
    </w:p>
    <w:p w14:paraId="757D6666">
      <w:pPr>
        <w:shd w:val="clear"/>
        <w:ind w:firstLine="482" w:firstLineChars="200"/>
        <w:rPr>
          <w:rFonts w:hint="eastAsia" w:ascii="Times New Roman" w:hAnsi="Times New Roman" w:cs="Times New Roman"/>
          <w:highlight w:val="none"/>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lang w:val="en-US" w:eastAsia="zh-CN"/>
        </w:rPr>
        <w:t xml:space="preserve">  </w:t>
      </w:r>
      <w:r>
        <w:rPr>
          <w:rFonts w:ascii="Times New Roman" w:hAnsi="Times New Roman" w:cs="Times New Roman"/>
          <w:highlight w:val="none"/>
        </w:rPr>
        <w:t>应严格按照规定的时间计划进行观测；</w:t>
      </w:r>
    </w:p>
    <w:p w14:paraId="16499773">
      <w:pPr>
        <w:shd w:val="clear"/>
        <w:ind w:firstLine="482" w:firstLineChars="200"/>
        <w:rPr>
          <w:rFonts w:hint="eastAsia" w:ascii="Times New Roman" w:hAnsi="Times New Roman" w:cs="Times New Roman"/>
          <w:highlight w:val="none"/>
          <w:lang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highlight w:val="none"/>
          <w:lang w:val="en-US" w:eastAsia="zh-CN"/>
        </w:rPr>
        <w:t xml:space="preserve">  </w:t>
      </w:r>
      <w:r>
        <w:rPr>
          <w:rFonts w:ascii="Times New Roman" w:hAnsi="Times New Roman" w:cs="Times New Roman"/>
          <w:highlight w:val="none"/>
        </w:rPr>
        <w:t>观测数据处理</w:t>
      </w:r>
      <w:r>
        <w:rPr>
          <w:rFonts w:hint="eastAsia" w:ascii="Times New Roman" w:hAnsi="Times New Roman" w:cs="Times New Roman"/>
          <w:highlight w:val="none"/>
        </w:rPr>
        <w:t>和质量检查</w:t>
      </w:r>
      <w:r>
        <w:rPr>
          <w:rFonts w:ascii="Times New Roman" w:hAnsi="Times New Roman" w:cs="Times New Roman"/>
          <w:highlight w:val="none"/>
        </w:rPr>
        <w:t>应符合《工程测量</w:t>
      </w:r>
      <w:r>
        <w:rPr>
          <w:rFonts w:hint="eastAsia" w:ascii="Times New Roman" w:hAnsi="Times New Roman" w:cs="Times New Roman"/>
          <w:highlight w:val="none"/>
        </w:rPr>
        <w:t>标准</w:t>
      </w:r>
      <w:r>
        <w:rPr>
          <w:rFonts w:ascii="Times New Roman" w:hAnsi="Times New Roman" w:cs="Times New Roman"/>
          <w:highlight w:val="none"/>
        </w:rPr>
        <w:t>》</w:t>
      </w:r>
      <w:r>
        <w:rPr>
          <w:rFonts w:hint="eastAsia" w:cs="Times New Roman"/>
          <w:highlight w:val="none"/>
          <w:lang w:val="en-US" w:eastAsia="zh-CN"/>
        </w:rPr>
        <w:t xml:space="preserve"> </w:t>
      </w:r>
      <w:r>
        <w:rPr>
          <w:rFonts w:hint="eastAsia" w:ascii="Times New Roman" w:hAnsi="Times New Roman" w:cs="Times New Roman"/>
          <w:highlight w:val="none"/>
        </w:rPr>
        <w:t>G</w:t>
      </w:r>
      <w:r>
        <w:rPr>
          <w:rFonts w:ascii="Times New Roman" w:hAnsi="Times New Roman" w:cs="Times New Roman"/>
          <w:highlight w:val="none"/>
        </w:rPr>
        <w:t>B 50026的规定，同一时段观测值的数据</w:t>
      </w:r>
      <w:r>
        <w:rPr>
          <w:rFonts w:hint="eastAsia" w:ascii="Times New Roman" w:hAnsi="Times New Roman" w:cs="Times New Roman"/>
          <w:highlight w:val="none"/>
        </w:rPr>
        <w:t>采用</w:t>
      </w:r>
      <w:r>
        <w:rPr>
          <w:rFonts w:ascii="Times New Roman" w:hAnsi="Times New Roman" w:cs="Times New Roman"/>
          <w:highlight w:val="none"/>
        </w:rPr>
        <w:t>率不宜小于</w:t>
      </w:r>
      <w:r>
        <w:rPr>
          <w:rFonts w:hint="eastAsia" w:ascii="Times New Roman" w:hAnsi="Times New Roman" w:cs="Times New Roman"/>
          <w:highlight w:val="none"/>
        </w:rPr>
        <w:t>85</w:t>
      </w:r>
      <w:r>
        <w:rPr>
          <w:rFonts w:ascii="Times New Roman" w:hAnsi="Times New Roman" w:cs="Times New Roman"/>
          <w:highlight w:val="none"/>
        </w:rPr>
        <w:t>％</w:t>
      </w:r>
      <w:r>
        <w:rPr>
          <w:rFonts w:hint="eastAsia" w:ascii="Times New Roman" w:hAnsi="Times New Roman" w:cs="Times New Roman"/>
          <w:highlight w:val="none"/>
          <w:lang w:eastAsia="zh-CN"/>
        </w:rPr>
        <w:t>；</w:t>
      </w:r>
    </w:p>
    <w:p w14:paraId="5CC16633">
      <w:pPr>
        <w:shd w:val="clear"/>
        <w:ind w:firstLine="482" w:firstLineChars="20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w:t>
      </w:r>
      <w:r>
        <w:rPr>
          <w:rFonts w:hint="eastAsia" w:ascii="Times New Roman" w:hAnsi="Times New Roman" w:cs="Times New Roman"/>
          <w:highlight w:val="none"/>
          <w:lang w:val="en-US" w:eastAsia="zh-CN"/>
        </w:rPr>
        <w:t xml:space="preserve">  测量配套软件应具备</w:t>
      </w:r>
      <w:r>
        <w:rPr>
          <w:rFonts w:ascii="Times New Roman" w:hAnsi="Times New Roman" w:cs="Times New Roman"/>
          <w:highlight w:val="none"/>
        </w:rPr>
        <w:t>电池的</w:t>
      </w:r>
      <w:r>
        <w:rPr>
          <w:rFonts w:hint="eastAsia" w:ascii="Times New Roman" w:hAnsi="Times New Roman" w:cs="Times New Roman"/>
          <w:highlight w:val="none"/>
        </w:rPr>
        <w:t>容量</w:t>
      </w:r>
      <w:r>
        <w:rPr>
          <w:rFonts w:ascii="Times New Roman" w:hAnsi="Times New Roman" w:cs="Times New Roman"/>
          <w:highlight w:val="none"/>
        </w:rPr>
        <w:t>、接收机的</w:t>
      </w:r>
      <w:r>
        <w:rPr>
          <w:rFonts w:hint="eastAsia" w:ascii="Times New Roman" w:hAnsi="Times New Roman" w:cs="Times New Roman"/>
          <w:highlight w:val="none"/>
        </w:rPr>
        <w:t>内存</w:t>
      </w:r>
      <w:r>
        <w:rPr>
          <w:rFonts w:ascii="Times New Roman" w:hAnsi="Times New Roman" w:cs="Times New Roman"/>
          <w:highlight w:val="none"/>
        </w:rPr>
        <w:t>和</w:t>
      </w:r>
      <w:r>
        <w:rPr>
          <w:rFonts w:hint="eastAsia" w:ascii="Times New Roman" w:hAnsi="Times New Roman" w:cs="Times New Roman"/>
          <w:highlight w:val="none"/>
        </w:rPr>
        <w:t>可</w:t>
      </w:r>
      <w:r>
        <w:rPr>
          <w:rFonts w:ascii="Times New Roman" w:hAnsi="Times New Roman" w:cs="Times New Roman"/>
          <w:highlight w:val="none"/>
        </w:rPr>
        <w:t>储存空间</w:t>
      </w:r>
      <w:r>
        <w:rPr>
          <w:rFonts w:hint="eastAsia" w:ascii="Times New Roman" w:hAnsi="Times New Roman" w:cs="Times New Roman"/>
          <w:highlight w:val="none"/>
          <w:lang w:val="en-US" w:eastAsia="zh-CN"/>
        </w:rPr>
        <w:t>等设备状态参数反馈的功能。</w:t>
      </w:r>
    </w:p>
    <w:p w14:paraId="4B906C4E">
      <w:pPr>
        <w:shd w:val="clear"/>
        <w:rPr>
          <w:rFonts w:hint="eastAsia" w:ascii="Times New Roman" w:hAnsi="Times New Roman" w:cs="Times New Roman"/>
          <w:b/>
          <w:bCs/>
          <w:color w:val="0000FF"/>
          <w:highlight w:val="none"/>
          <w:lang w:val="en-US" w:eastAsia="zh-CN"/>
        </w:rPr>
      </w:pPr>
    </w:p>
    <w:p w14:paraId="79F16B64">
      <w:pPr>
        <w:shd w:val="clea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424B3952">
      <w:pPr>
        <w:shd w:val="clea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条文规定了采用卫星导航系统进行水平位移自动化监测时候应注意的各项问题。</w:t>
      </w:r>
    </w:p>
    <w:p w14:paraId="3B04D55F">
      <w:pPr>
        <w:shd w:val="clear"/>
        <w:ind w:firstLine="482"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b/>
          <w:bCs/>
          <w:color w:val="0000FF"/>
          <w:highlight w:val="none"/>
          <w:lang w:val="en-US" w:eastAsia="zh-CN"/>
        </w:rPr>
        <w:t>1</w:t>
      </w:r>
      <w:r>
        <w:rPr>
          <w:rFonts w:hint="eastAsia" w:ascii="Times New Roman" w:hAnsi="Times New Roman" w:cs="Times New Roman"/>
          <w:color w:val="0000FF"/>
          <w:highlight w:val="none"/>
          <w:lang w:val="en-US" w:eastAsia="zh-CN"/>
        </w:rPr>
        <w:t xml:space="preserve">  应设立永久性固定参考站作为变形监测的基准点并建立实时监控中心；</w:t>
      </w:r>
    </w:p>
    <w:p w14:paraId="50A3AF4D">
      <w:pPr>
        <w:shd w:val="clear"/>
        <w:ind w:firstLine="482"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b/>
          <w:bCs/>
          <w:color w:val="0000FF"/>
          <w:highlight w:val="none"/>
          <w:lang w:val="en-US" w:eastAsia="zh-CN"/>
        </w:rPr>
        <w:t>2</w:t>
      </w:r>
      <w:r>
        <w:rPr>
          <w:rFonts w:hint="eastAsia" w:ascii="Times New Roman" w:hAnsi="Times New Roman" w:cs="Times New Roman"/>
          <w:color w:val="0000FF"/>
          <w:highlight w:val="none"/>
          <w:lang w:val="en-US" w:eastAsia="zh-CN"/>
        </w:rPr>
        <w:t xml:space="preserve">  参考站应设立在变形区之外或受变形影响较少的地势较高区域，上部天空应开阔，无高度角超过10°的障碍物，周围无信号反射物（大面积水域、大型建构物），及无高压线、电视台、无线电发射站、微波站等干扰源；</w:t>
      </w:r>
    </w:p>
    <w:p w14:paraId="1F00D634">
      <w:pPr>
        <w:shd w:val="clear"/>
        <w:ind w:firstLine="482"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b/>
          <w:bCs/>
          <w:color w:val="0000FF"/>
          <w:highlight w:val="none"/>
          <w:lang w:val="en-US" w:eastAsia="zh-CN"/>
        </w:rPr>
        <w:t>3</w:t>
      </w:r>
      <w:r>
        <w:rPr>
          <w:rFonts w:hint="eastAsia" w:ascii="Times New Roman" w:hAnsi="Times New Roman" w:cs="Times New Roman"/>
          <w:color w:val="0000FF"/>
          <w:highlight w:val="none"/>
          <w:lang w:val="en-US" w:eastAsia="zh-CN"/>
        </w:rPr>
        <w:t xml:space="preserve">  流动站的接收天线，应永久设置在监测体的变形观测点上并采取保护措施。接收天线的周围应无高度角超过10°的障碍物。变形观测点的数目应根据监测项目和监测体结构布设。接收卫星数量不应少于5颗并采用固定解成果；</w:t>
      </w:r>
    </w:p>
    <w:p w14:paraId="387A1B91">
      <w:pPr>
        <w:shd w:val="clear"/>
        <w:ind w:firstLine="482"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b/>
          <w:bCs/>
          <w:color w:val="0000FF"/>
          <w:highlight w:val="none"/>
          <w:lang w:val="en-US" w:eastAsia="zh-CN"/>
        </w:rPr>
        <w:t>4</w:t>
      </w:r>
      <w:r>
        <w:rPr>
          <w:rFonts w:hint="eastAsia" w:ascii="Times New Roman" w:hAnsi="Times New Roman" w:cs="Times New Roman"/>
          <w:color w:val="0000FF"/>
          <w:highlight w:val="none"/>
          <w:lang w:val="en-US" w:eastAsia="zh-CN"/>
        </w:rPr>
        <w:t xml:space="preserve">  数据通信、参考点站和监测点应与数据处理分析系统通过通信网络进行联通并应保证数据实时传输。</w:t>
      </w:r>
    </w:p>
    <w:p w14:paraId="0F67A3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 xml:space="preserve"> </w:t>
      </w:r>
    </w:p>
    <w:p w14:paraId="123B43D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6. 3. 11</w:t>
      </w:r>
      <w:r>
        <w:rPr>
          <w:rFonts w:hint="eastAsia" w:ascii="Times New Roman" w:hAnsi="Times New Roman" w:cs="Times New Roman"/>
          <w:color w:val="auto"/>
          <w:highlight w:val="none"/>
          <w:lang w:val="en-US" w:eastAsia="zh-CN"/>
        </w:rPr>
        <w:t xml:space="preserve"> 当采用InSar进行监测时应符合以下要求：</w:t>
      </w:r>
    </w:p>
    <w:p w14:paraId="44C5A8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w:t>
      </w:r>
      <w:r>
        <w:rPr>
          <w:rFonts w:hint="eastAsia" w:ascii="Times New Roman" w:hAnsi="Times New Roman" w:cs="Times New Roman"/>
          <w:color w:val="auto"/>
          <w:highlight w:val="none"/>
          <w:lang w:val="en-US" w:eastAsia="zh-CN"/>
        </w:rPr>
        <w:t xml:space="preserve">  应以固定时间为周期，覆盖监测建筑边坡及周边环境的变化情况；</w:t>
      </w:r>
    </w:p>
    <w:p w14:paraId="4644D4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2</w:t>
      </w:r>
      <w:r>
        <w:rPr>
          <w:rFonts w:hint="eastAsia" w:ascii="Times New Roman" w:hAnsi="Times New Roman" w:cs="Times New Roman"/>
          <w:color w:val="auto"/>
          <w:highlight w:val="none"/>
          <w:lang w:val="en-US" w:eastAsia="zh-CN"/>
        </w:rPr>
        <w:t xml:space="preserve">  应取得建筑边坡及周边环境关键特征点高程、坐标信息</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列表信息，为人工巡视提供靶向依据，提高巡视效率；</w:t>
      </w:r>
    </w:p>
    <w:p w14:paraId="033CFF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color w:val="auto"/>
          <w:highlight w:val="none"/>
          <w:lang w:val="en-US" w:eastAsia="zh-CN"/>
        </w:rPr>
        <w:t xml:space="preserve">  应提供原始遥感数据资料。</w:t>
      </w:r>
    </w:p>
    <w:p w14:paraId="498A1C4D">
      <w:pPr>
        <w:shd w:val="clea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284769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合成孔径雷达干涉测量技术（简称：InSAR技术）是一种新型遥感观测手段，它借助卫星平台的优势和干涉测量理论，实现高分辨率的地表形变监测，具有全天候、全天时、高精度、范围广的优势，在地表监测领域显示出越来越大的应用潜力。</w:t>
      </w:r>
    </w:p>
    <w:p w14:paraId="1E7856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6. 3. 12 </w:t>
      </w:r>
      <w:r>
        <w:rPr>
          <w:rFonts w:hint="eastAsia" w:ascii="Times New Roman" w:hAnsi="Times New Roman" w:cs="Times New Roman"/>
          <w:color w:val="auto"/>
          <w:highlight w:val="none"/>
          <w:lang w:val="en-US" w:eastAsia="zh-CN"/>
        </w:rPr>
        <w:t>采用近景摄影测量方式进行监测时应符合以下要求：</w:t>
      </w:r>
    </w:p>
    <w:p w14:paraId="097157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w:t>
      </w:r>
      <w:r>
        <w:rPr>
          <w:rFonts w:hint="eastAsia" w:ascii="Times New Roman" w:hAnsi="Times New Roman" w:cs="Times New Roman"/>
          <w:color w:val="auto"/>
          <w:highlight w:val="none"/>
          <w:lang w:val="en-US" w:eastAsia="zh-CN"/>
        </w:rPr>
        <w:t xml:space="preserve">  监测距离宜小于300m；</w:t>
      </w:r>
    </w:p>
    <w:p w14:paraId="73EC61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2</w:t>
      </w:r>
      <w:r>
        <w:rPr>
          <w:rFonts w:hint="eastAsia" w:ascii="Times New Roman" w:hAnsi="Times New Roman" w:cs="Times New Roman"/>
          <w:color w:val="auto"/>
          <w:highlight w:val="none"/>
          <w:lang w:val="en-US" w:eastAsia="zh-CN"/>
        </w:rPr>
        <w:t xml:space="preserve">  摄影方式可采用正直摄影、交向摄影、多基线摄影等方式，应能确定崩塌的几何形态、位置及裂缝尺寸等特征；</w:t>
      </w:r>
    </w:p>
    <w:p w14:paraId="01354B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color w:val="auto"/>
          <w:highlight w:val="none"/>
          <w:lang w:val="en-US" w:eastAsia="zh-CN"/>
        </w:rPr>
        <w:t xml:space="preserve">  测量精度、物方控制、数据获取、数据处理等应符合《工程摄影测量规范》</w:t>
      </w:r>
      <w:r>
        <w:rPr>
          <w:rFonts w:hint="eastAsia"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GB 50167及《近景摄影测量规范》</w:t>
      </w:r>
      <w:r>
        <w:rPr>
          <w:rFonts w:hint="eastAsia"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GB/T 12979的规定。</w:t>
      </w:r>
    </w:p>
    <w:p w14:paraId="3D5CB9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bCs/>
          <w:color w:val="auto"/>
          <w:highlight w:val="none"/>
          <w:lang w:val="en-US" w:eastAsia="zh-CN"/>
        </w:rPr>
        <w:t xml:space="preserve">6. 3. 13 </w:t>
      </w:r>
      <w:r>
        <w:rPr>
          <w:rFonts w:hint="eastAsia" w:ascii="Times New Roman" w:hAnsi="Times New Roman" w:cs="Times New Roman"/>
          <w:b w:val="0"/>
          <w:bCs w:val="0"/>
          <w:color w:val="auto"/>
          <w:highlight w:val="none"/>
          <w:lang w:val="en-US" w:eastAsia="zh-CN"/>
        </w:rPr>
        <w:t>采用三维激光扫描技术监测建筑边坡的多形态变形特征，相关技术要求应符合 GB 50167和JGJ 8的规定。</w:t>
      </w:r>
    </w:p>
    <w:p w14:paraId="35C427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bCs/>
          <w:color w:val="auto"/>
          <w:highlight w:val="none"/>
          <w:lang w:val="en-US" w:eastAsia="zh-CN"/>
        </w:rPr>
        <w:t xml:space="preserve">6. 3. 14 </w:t>
      </w:r>
      <w:r>
        <w:rPr>
          <w:rFonts w:hint="eastAsia" w:ascii="Times New Roman" w:hAnsi="Times New Roman" w:cs="Times New Roman"/>
          <w:b w:val="0"/>
          <w:bCs w:val="0"/>
          <w:color w:val="auto"/>
          <w:highlight w:val="none"/>
          <w:lang w:val="en-US" w:eastAsia="zh-CN"/>
        </w:rPr>
        <w:t>采用机器视觉位移测量方式时应符合以下要求：</w:t>
      </w:r>
    </w:p>
    <w:p w14:paraId="4AE74C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w:t>
      </w:r>
      <w:r>
        <w:rPr>
          <w:rFonts w:hint="eastAsia" w:ascii="Times New Roman" w:hAnsi="Times New Roman" w:cs="Times New Roman"/>
          <w:color w:val="auto"/>
          <w:highlight w:val="none"/>
          <w:lang w:val="en-US" w:eastAsia="zh-CN"/>
        </w:rPr>
        <w:t xml:space="preserve">  应高分辨率相机和低畸变镜头，同时监测Y轴沉降及X轴位移；</w:t>
      </w:r>
    </w:p>
    <w:p w14:paraId="5466CAD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2</w:t>
      </w:r>
      <w:r>
        <w:rPr>
          <w:rFonts w:hint="eastAsia" w:ascii="Times New Roman" w:hAnsi="Times New Roman" w:cs="Times New Roman"/>
          <w:color w:val="auto"/>
          <w:highlight w:val="none"/>
          <w:lang w:val="en-US" w:eastAsia="zh-CN"/>
        </w:rPr>
        <w:t xml:space="preserve">  宜满足无源靶标等非接触式测量要求；</w:t>
      </w:r>
    </w:p>
    <w:p w14:paraId="5E982E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color w:val="auto"/>
          <w:highlight w:val="none"/>
          <w:lang w:val="en-US" w:eastAsia="zh-CN"/>
        </w:rPr>
        <w:t xml:space="preserve">  监测精度不低于1mm。</w:t>
      </w:r>
    </w:p>
    <w:p w14:paraId="504BD5A4">
      <w:pPr>
        <w:shd w:val="clear"/>
        <w:rPr>
          <w:rFonts w:hint="eastAsia" w:ascii="Times New Roman" w:hAnsi="Times New Roman" w:cs="Times New Roman"/>
          <w:b/>
          <w:bCs/>
          <w:color w:val="0000FF"/>
          <w:highlight w:val="none"/>
          <w:lang w:val="en-US" w:eastAsia="zh-CN"/>
        </w:rPr>
      </w:pPr>
    </w:p>
    <w:p w14:paraId="4537D061">
      <w:pPr>
        <w:shd w:val="clea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0E7E97D3">
      <w:pPr>
        <w:shd w:val="clear"/>
        <w:ind w:firstLine="480" w:firstLineChars="200"/>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1 工业相机的挑选关键考虑到其传感器类型、像素和帧数，在其中控制器分CCD与CMOS两种，CMOS光学镜头处理速度高，各元器件、电源电路中间间距很近，影响情况严重，显像噪音高。CCD控制器照相机相对于CMOS照相机具备敏感度高、噪音低和响应时间快的特性，在稳定性层面，CCD照相机的耐冲击与振动性也较强，一般来说，CCD控制器照相机在显像品质上和稳定性层面要好于CMOS照相机。</w:t>
      </w:r>
    </w:p>
    <w:p w14:paraId="0B220D42">
      <w:pPr>
        <w:shd w:val="clea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2 稳定性对机器视觉技术的影响不容置疑，视觉识别系统终究会在电子计算机上利用计算机选用有目的性的优化算法开展图像滤波，边缘检测和边沿获取等一系列图像处理，不一样的图像处理和解析方式及其不一样的检验方式与计算方法，都是产生不一样的偏差，优化算法好坏决策精确测量精度的高低，因此，需要选择合适的机器视觉软件，这样才可以避免视觉检测设备精度变低。</w:t>
      </w:r>
    </w:p>
    <w:p w14:paraId="106EF4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color w:val="auto"/>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770FE144">
      <w:pPr>
        <w:jc w:val="center"/>
        <w:rPr>
          <w:rFonts w:ascii="Times New Roman" w:hAnsi="Times New Roman" w:cs="Times New Roman"/>
          <w:highlight w:val="none"/>
        </w:rPr>
      </w:pPr>
      <w:r>
        <w:rPr>
          <w:rFonts w:hint="eastAsia" w:ascii="Times New Roman" w:hAnsi="Times New Roman" w:cs="Times New Roman"/>
          <w:highlight w:val="none"/>
        </w:rPr>
        <w:t xml:space="preserve">Ⅲ  </w:t>
      </w:r>
      <w:r>
        <w:rPr>
          <w:rFonts w:ascii="Times New Roman" w:hAnsi="Times New Roman" w:cs="Times New Roman"/>
          <w:highlight w:val="none"/>
        </w:rPr>
        <w:t>竖向位移监测</w:t>
      </w:r>
    </w:p>
    <w:p w14:paraId="1F672809">
      <w:pPr>
        <w:rPr>
          <w:rFonts w:hint="eastAsia" w:ascii="Times New Roman" w:hAnsi="Times New Roman" w:cs="Times New Roman"/>
          <w:b/>
          <w:bCs/>
          <w:highlight w:val="none"/>
        </w:rPr>
      </w:pPr>
      <w:r>
        <w:rPr>
          <w:rFonts w:hint="eastAsia" w:ascii="Times New Roman" w:hAnsi="Times New Roman" w:cs="Times New Roman"/>
          <w:b/>
          <w:bCs/>
          <w:highlight w:val="none"/>
        </w:rPr>
        <w:t xml:space="preserve">6. </w:t>
      </w:r>
      <w:r>
        <w:rPr>
          <w:rFonts w:ascii="Times New Roman" w:hAnsi="Times New Roman" w:cs="Times New Roman"/>
          <w:b/>
          <w:bCs/>
          <w:highlight w:val="none"/>
        </w:rPr>
        <w:t>3.</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15</w:t>
      </w:r>
      <w:r>
        <w:rPr>
          <w:rFonts w:ascii="Times New Roman" w:hAnsi="Times New Roman" w:cs="Times New Roman"/>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竖向位移自动化监测可采用三角高程或静力水准等方法进行量测。</w:t>
      </w:r>
    </w:p>
    <w:p w14:paraId="0EF33210">
      <w:pPr>
        <w:rPr>
          <w:rFonts w:hint="eastAsia" w:ascii="Times New Roman" w:hAnsi="Times New Roman" w:cs="Times New Roman"/>
          <w:b/>
          <w:bCs/>
          <w:color w:val="0000FF"/>
          <w:highlight w:val="none"/>
          <w:lang w:val="en-US" w:eastAsia="zh-CN"/>
        </w:rPr>
      </w:pPr>
    </w:p>
    <w:p w14:paraId="323A2F57">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64EE2DF7">
      <w:pPr>
        <w:ind w:firstLine="48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本条推荐了竖向位移自动化监测可采用的方法。应同步注意其适用范围，如三角高程仅适用于三、四等精度且对全站仪精度、设站方法、最大视距等有具体要求。对于静力水准方法，应结合</w:t>
      </w:r>
      <w:r>
        <w:rPr>
          <w:rFonts w:ascii="Times New Roman" w:hAnsi="Times New Roman" w:cs="Times New Roman"/>
          <w:color w:val="0000FF"/>
          <w:highlight w:val="none"/>
        </w:rPr>
        <w:t>《建筑变形测量规范》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rPr>
        <w:t>JGJ</w:t>
      </w:r>
      <w:r>
        <w:rPr>
          <w:rFonts w:hint="eastAsia" w:ascii="Times New Roman" w:hAnsi="Times New Roman" w:cs="Times New Roman"/>
          <w:color w:val="0000FF"/>
          <w:highlight w:val="none"/>
          <w:lang w:val="en-US" w:eastAsia="zh-CN"/>
        </w:rPr>
        <w:t xml:space="preserve"> </w:t>
      </w:r>
      <w:r>
        <w:rPr>
          <w:rFonts w:hint="eastAsia" w:ascii="Times New Roman" w:hAnsi="Times New Roman" w:cs="Times New Roman"/>
          <w:color w:val="0000FF"/>
          <w:highlight w:val="none"/>
        </w:rPr>
        <w:t>8</w:t>
      </w:r>
      <w:r>
        <w:rPr>
          <w:rFonts w:hint="eastAsia" w:ascii="Times New Roman" w:hAnsi="Times New Roman" w:cs="Times New Roman"/>
          <w:color w:val="0000FF"/>
          <w:highlight w:val="none"/>
          <w:lang w:val="en-US" w:eastAsia="zh-CN"/>
        </w:rPr>
        <w:t>相关规定使用。</w:t>
      </w:r>
    </w:p>
    <w:p w14:paraId="084D8247">
      <w:pPr>
        <w:ind w:firstLine="480"/>
        <w:rPr>
          <w:rFonts w:hint="eastAsia" w:ascii="Times New Roman" w:hAnsi="Times New Roman" w:cs="Times New Roman"/>
          <w:color w:val="0000FF"/>
          <w:highlight w:val="none"/>
          <w:lang w:val="en-US" w:eastAsia="zh-CN"/>
        </w:rPr>
      </w:pPr>
    </w:p>
    <w:p w14:paraId="515A6468">
      <w:pPr>
        <w:rPr>
          <w:rFonts w:hint="eastAsia" w:ascii="Times New Roman" w:hAnsi="Times New Roman" w:cs="Times New Roman"/>
          <w:b/>
          <w:bCs/>
          <w:highlight w:val="none"/>
        </w:rPr>
      </w:pPr>
      <w:r>
        <w:rPr>
          <w:rFonts w:hint="eastAsia" w:ascii="Times New Roman" w:hAnsi="Times New Roman" w:cs="Times New Roman"/>
          <w:b/>
          <w:bCs/>
          <w:highlight w:val="none"/>
        </w:rPr>
        <w:t xml:space="preserve">6. </w:t>
      </w:r>
      <w:r>
        <w:rPr>
          <w:rFonts w:ascii="Times New Roman" w:hAnsi="Times New Roman" w:cs="Times New Roman"/>
          <w:b/>
          <w:bCs/>
          <w:highlight w:val="none"/>
        </w:rPr>
        <w:t>3.</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16</w:t>
      </w:r>
      <w:r>
        <w:rPr>
          <w:rFonts w:hint="eastAsia" w:ascii="Times New Roman" w:hAnsi="Times New Roman" w:cs="Times New Roman"/>
          <w:highlight w:val="none"/>
        </w:rPr>
        <w:t xml:space="preserve">  </w:t>
      </w:r>
      <w:r>
        <w:rPr>
          <w:rFonts w:ascii="Times New Roman" w:hAnsi="Times New Roman" w:cs="Times New Roman"/>
          <w:highlight w:val="none"/>
        </w:rPr>
        <w:t>采用三角高程进行竖向位移监测时，宜与水平位移同步进行。</w:t>
      </w:r>
    </w:p>
    <w:p w14:paraId="48E90E3C">
      <w:pPr>
        <w:rPr>
          <w:rFonts w:hint="eastAsia" w:ascii="Times New Roman" w:hAnsi="Times New Roman" w:cs="Times New Roman"/>
          <w:b/>
          <w:bCs/>
          <w:color w:val="0000FF"/>
          <w:highlight w:val="none"/>
          <w:lang w:val="en-US" w:eastAsia="zh-CN"/>
        </w:rPr>
      </w:pPr>
    </w:p>
    <w:p w14:paraId="27990EEC">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1E76CD62">
      <w:pPr>
        <w:ind w:firstLine="48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采用全站仪同步进行水平位移观测时，观测数据已经包含了三角高程方法计算高差所需要的主要原始数据，因此在观测水平位移时宜同步观测并计算竖向位移，可以提高现场的监测效率。</w:t>
      </w:r>
    </w:p>
    <w:p w14:paraId="47C166D7">
      <w:pPr>
        <w:ind w:firstLine="480"/>
        <w:rPr>
          <w:rFonts w:hint="eastAsia" w:ascii="Times New Roman" w:hAnsi="Times New Roman" w:cs="Times New Roman"/>
          <w:color w:val="0000FF"/>
          <w:highlight w:val="none"/>
          <w:lang w:val="en-US" w:eastAsia="zh-CN"/>
        </w:rPr>
      </w:pPr>
    </w:p>
    <w:p w14:paraId="55F82734">
      <w:pPr>
        <w:rPr>
          <w:rFonts w:hint="eastAsia" w:ascii="Times New Roman" w:hAnsi="Times New Roman" w:cs="Times New Roman"/>
          <w:b/>
          <w:bCs/>
          <w:color w:val="auto"/>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ascii="Times New Roman" w:hAnsi="Times New Roman" w:cs="Times New Roman"/>
          <w:b/>
          <w:bCs/>
          <w:highlight w:val="none"/>
        </w:rPr>
        <w:t>3.</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17</w:t>
      </w:r>
      <w:r>
        <w:rPr>
          <w:rFonts w:ascii="Times New Roman" w:hAnsi="Times New Roman" w:cs="Times New Roman"/>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采用三角高程</w:t>
      </w:r>
      <w:r>
        <w:rPr>
          <w:rFonts w:hint="eastAsia" w:ascii="Times New Roman" w:hAnsi="Times New Roman" w:cs="Times New Roman"/>
          <w:highlight w:val="none"/>
          <w:lang w:val="en-US" w:eastAsia="zh-CN"/>
        </w:rPr>
        <w:t>和</w:t>
      </w:r>
      <w:r>
        <w:rPr>
          <w:rFonts w:ascii="Times New Roman" w:hAnsi="Times New Roman" w:cs="Times New Roman"/>
          <w:highlight w:val="none"/>
        </w:rPr>
        <w:t>静力水准进行竖向位移监测时</w:t>
      </w:r>
      <w:r>
        <w:rPr>
          <w:rFonts w:hint="eastAsia" w:ascii="Times New Roman" w:hAnsi="Times New Roman" w:cs="Times New Roman"/>
          <w:highlight w:val="none"/>
          <w:lang w:val="en-US" w:eastAsia="zh-CN"/>
        </w:rPr>
        <w:t>应</w:t>
      </w:r>
      <w:r>
        <w:rPr>
          <w:rFonts w:ascii="Times New Roman" w:hAnsi="Times New Roman" w:cs="Times New Roman"/>
          <w:color w:val="auto"/>
          <w:highlight w:val="none"/>
        </w:rPr>
        <w:t>满足《建筑变形测量规范》</w:t>
      </w:r>
      <w:r>
        <w:rPr>
          <w:rFonts w:hint="eastAsia" w:cs="Times New Roman"/>
          <w:color w:val="auto"/>
          <w:highlight w:val="none"/>
          <w:lang w:val="en-US" w:eastAsia="zh-CN"/>
        </w:rPr>
        <w:t xml:space="preserve"> </w:t>
      </w:r>
      <w:r>
        <w:rPr>
          <w:rFonts w:ascii="Times New Roman" w:hAnsi="Times New Roman" w:cs="Times New Roman"/>
          <w:color w:val="auto"/>
          <w:highlight w:val="none"/>
        </w:rPr>
        <w:t>JGJ</w:t>
      </w:r>
      <w:r>
        <w:rPr>
          <w:rFonts w:hint="eastAsia" w:ascii="Times New Roman" w:hAnsi="Times New Roman" w:cs="Times New Roman"/>
          <w:color w:val="auto"/>
          <w:highlight w:val="none"/>
        </w:rPr>
        <w:t>8</w:t>
      </w:r>
      <w:r>
        <w:rPr>
          <w:rFonts w:ascii="Times New Roman" w:hAnsi="Times New Roman" w:cs="Times New Roman"/>
          <w:color w:val="auto"/>
          <w:highlight w:val="none"/>
        </w:rPr>
        <w:t>相关规定要求。</w:t>
      </w:r>
    </w:p>
    <w:p w14:paraId="58689B8A">
      <w:pPr>
        <w:rPr>
          <w:rFonts w:hint="eastAsia" w:ascii="Times New Roman" w:hAnsi="Times New Roman" w:cs="Times New Roman"/>
          <w:b/>
          <w:bCs/>
          <w:color w:val="0000FF"/>
          <w:highlight w:val="none"/>
          <w:lang w:val="en-US" w:eastAsia="zh-CN"/>
        </w:rPr>
      </w:pPr>
    </w:p>
    <w:p w14:paraId="60A14B88">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639F7C49">
      <w:pPr>
        <w:ind w:firstLine="480"/>
        <w:rPr>
          <w:rFonts w:hint="eastAsia" w:ascii="Times New Roman" w:hAnsi="Times New Roman" w:cs="Times New Roman"/>
          <w:b/>
          <w:bCs/>
          <w:highlight w:val="none"/>
        </w:rPr>
      </w:pPr>
      <w:r>
        <w:rPr>
          <w:rFonts w:hint="eastAsia" w:ascii="Times New Roman" w:hAnsi="Times New Roman" w:cs="Times New Roman"/>
          <w:color w:val="0000FF"/>
          <w:highlight w:val="none"/>
          <w:lang w:val="en-US" w:eastAsia="zh-CN"/>
        </w:rPr>
        <w:t>对于三角高程测量和静力水准具体实施的技术要求，在现行行业标准《建筑变形测量规范》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JGJ8 中已有相应规定，实施时按照标准执行。</w:t>
      </w:r>
    </w:p>
    <w:p w14:paraId="19EAF34E">
      <w:pPr>
        <w:jc w:val="center"/>
        <w:rPr>
          <w:rFonts w:ascii="Times New Roman" w:hAnsi="Times New Roman" w:cs="Times New Roman"/>
          <w:highlight w:val="none"/>
        </w:rPr>
      </w:pPr>
      <w:r>
        <w:rPr>
          <w:rFonts w:hint="eastAsia" w:ascii="Times New Roman" w:hAnsi="Times New Roman" w:cs="Times New Roman"/>
          <w:highlight w:val="none"/>
        </w:rPr>
        <w:t xml:space="preserve">Ⅳ  </w:t>
      </w:r>
      <w:r>
        <w:rPr>
          <w:rFonts w:ascii="Times New Roman" w:hAnsi="Times New Roman" w:cs="Times New Roman"/>
          <w:highlight w:val="none"/>
        </w:rPr>
        <w:t>裂缝</w:t>
      </w:r>
      <w:r>
        <w:rPr>
          <w:rFonts w:hint="eastAsia" w:ascii="Times New Roman" w:hAnsi="Times New Roman" w:cs="Times New Roman"/>
          <w:highlight w:val="none"/>
        </w:rPr>
        <w:t>宽度</w:t>
      </w:r>
      <w:r>
        <w:rPr>
          <w:rFonts w:ascii="Times New Roman" w:hAnsi="Times New Roman" w:cs="Times New Roman"/>
          <w:highlight w:val="none"/>
        </w:rPr>
        <w:t>监测</w:t>
      </w:r>
    </w:p>
    <w:p w14:paraId="79BEF2FB">
      <w:pPr>
        <w:rPr>
          <w:rFonts w:hint="eastAsia" w:ascii="Times New Roman" w:hAnsi="Times New Roman" w:cs="Times New Roman"/>
          <w:b/>
          <w:bCs/>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18</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裂缝宽度自动化监测可采用裂缝计或位移计等设备进行量测。</w:t>
      </w:r>
    </w:p>
    <w:p w14:paraId="07AC2AC4">
      <w:pPr>
        <w:rPr>
          <w:rFonts w:hint="eastAsia" w:ascii="Times New Roman" w:hAnsi="Times New Roman" w:cs="Times New Roman"/>
          <w:b/>
          <w:bCs/>
          <w:color w:val="0000FF"/>
          <w:highlight w:val="none"/>
          <w:lang w:val="en-US" w:eastAsia="zh-CN"/>
        </w:rPr>
      </w:pPr>
    </w:p>
    <w:p w14:paraId="169831E5">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525140BC">
      <w:pPr>
        <w:ind w:firstLine="48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裂缝计或位移计应能准确地测量伸缩缝的开合度，必要时设置多个传感器对不同裂缝发展方向进行测量。</w:t>
      </w:r>
    </w:p>
    <w:p w14:paraId="6A77B4E5">
      <w:pPr>
        <w:ind w:firstLine="480"/>
        <w:rPr>
          <w:rFonts w:hint="eastAsia" w:ascii="Times New Roman" w:hAnsi="Times New Roman" w:cs="Times New Roman"/>
          <w:color w:val="0000FF"/>
          <w:highlight w:val="none"/>
          <w:lang w:val="en-US" w:eastAsia="zh-CN"/>
        </w:rPr>
      </w:pPr>
    </w:p>
    <w:p w14:paraId="53B09B68">
      <w:pPr>
        <w:rPr>
          <w:rFonts w:hint="eastAsia" w:ascii="Times New Roman" w:hAnsi="Times New Roman" w:cs="Times New Roman"/>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19</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设备的最大量程</w:t>
      </w:r>
      <w:r>
        <w:rPr>
          <w:rFonts w:hint="eastAsia" w:ascii="Times New Roman" w:hAnsi="Times New Roman" w:cs="Times New Roman"/>
          <w:highlight w:val="none"/>
          <w:lang w:val="en-US" w:eastAsia="zh-CN"/>
        </w:rPr>
        <w:t>不应低于设计允许值的3倍。</w:t>
      </w:r>
    </w:p>
    <w:p w14:paraId="3300298D">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1E0C1853">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确定设备量程时，应对于监测对象有充分理解和认识，获得其变形允许值，建议不低于设计允许值的3倍。同时考虑到裂缝收缩的可能性，一般以半量程作为初始状态，因此选择设备量程建议应不低于允许值的6倍。</w:t>
      </w:r>
    </w:p>
    <w:p w14:paraId="3E28D933">
      <w:pPr>
        <w:ind w:firstLine="480" w:firstLineChars="200"/>
        <w:rPr>
          <w:rFonts w:hint="eastAsia" w:ascii="Times New Roman" w:hAnsi="Times New Roman" w:cs="Times New Roman"/>
          <w:color w:val="0000FF"/>
          <w:highlight w:val="none"/>
          <w:lang w:val="en-US" w:eastAsia="zh-CN"/>
        </w:rPr>
      </w:pPr>
    </w:p>
    <w:p w14:paraId="1CFCFEC2">
      <w:pPr>
        <w:rPr>
          <w:rFonts w:hint="default" w:ascii="Times New Roman" w:hAnsi="Times New Roman" w:cs="Times New Roman" w:eastAsiaTheme="minorEastAsia"/>
          <w:b/>
          <w:bCs/>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20</w:t>
      </w:r>
      <w:r>
        <w:rPr>
          <w:rFonts w:ascii="Times New Roman" w:hAnsi="Times New Roman" w:cs="Times New Roman"/>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设备安装时应综合考虑裂缝收缩与扩张两种情况</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宜以半量程作为初始状态。</w:t>
      </w:r>
    </w:p>
    <w:p w14:paraId="1AAAFD7F">
      <w:pPr>
        <w:rPr>
          <w:rFonts w:hint="eastAsia" w:ascii="Times New Roman" w:hAnsi="Times New Roman" w:cs="Times New Roman"/>
          <w:b/>
          <w:bCs/>
          <w:color w:val="0000FF"/>
          <w:highlight w:val="none"/>
          <w:lang w:val="en-US" w:eastAsia="zh-CN"/>
        </w:rPr>
      </w:pPr>
    </w:p>
    <w:p w14:paraId="0C570B57">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7591A3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因裂缝发展的不确定性，有开合位移及沿缝向的剪切位移等情况，一般以半量程作为初始状态。</w:t>
      </w:r>
    </w:p>
    <w:p w14:paraId="2780CE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p>
    <w:p w14:paraId="77141311">
      <w:pPr>
        <w:rPr>
          <w:rFonts w:hint="eastAsia" w:ascii="Times New Roman" w:hAnsi="Times New Roman" w:cs="Times New Roman"/>
          <w:color w:val="0000FF"/>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2</w:t>
      </w:r>
      <w:r>
        <w:rPr>
          <w:rFonts w:hint="eastAsia" w:ascii="Times New Roman" w:hAnsi="Times New Roman" w:cs="Times New Roman"/>
          <w:b/>
          <w:bCs/>
          <w:highlight w:val="none"/>
          <w:lang w:val="en-US" w:eastAsia="zh-CN"/>
        </w:rPr>
        <w:t>1</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设备安装应考虑裂缝的变化方向，</w:t>
      </w:r>
      <w:r>
        <w:rPr>
          <w:rFonts w:hint="eastAsia" w:ascii="Times New Roman" w:hAnsi="Times New Roman" w:cs="Times New Roman"/>
          <w:highlight w:val="none"/>
          <w:lang w:val="en-US" w:eastAsia="zh-CN"/>
        </w:rPr>
        <w:t>安装支架应具有可旋转的装置。</w:t>
      </w:r>
    </w:p>
    <w:p w14:paraId="56481025">
      <w:pPr>
        <w:rPr>
          <w:rFonts w:hint="eastAsia" w:ascii="Times New Roman" w:hAnsi="Times New Roman" w:cs="Times New Roman"/>
          <w:b/>
          <w:bCs/>
          <w:color w:val="0000FF"/>
          <w:highlight w:val="none"/>
          <w:lang w:val="en-US" w:eastAsia="zh-CN"/>
        </w:rPr>
      </w:pPr>
    </w:p>
    <w:p w14:paraId="070BF497">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1A32B756">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裂缝计或位移计的安装支架应设计具有可旋转的装置，避免传感器受裂缝剪切变形影响而导致测量数据不准确或传感器直接损坏。</w:t>
      </w:r>
    </w:p>
    <w:p w14:paraId="76A3B5D2">
      <w:pPr>
        <w:ind w:firstLine="480" w:firstLineChars="200"/>
        <w:rPr>
          <w:rFonts w:hint="eastAsia" w:ascii="Times New Roman" w:hAnsi="Times New Roman" w:cs="Times New Roman"/>
          <w:color w:val="0000FF"/>
          <w:highlight w:val="none"/>
          <w:lang w:val="en-US" w:eastAsia="zh-CN"/>
        </w:rPr>
      </w:pPr>
    </w:p>
    <w:p w14:paraId="4C10810E">
      <w:pPr>
        <w:jc w:val="center"/>
        <w:rPr>
          <w:rFonts w:ascii="Times New Roman" w:hAnsi="Times New Roman" w:cs="Times New Roman"/>
          <w:highlight w:val="none"/>
        </w:rPr>
      </w:pPr>
      <w:r>
        <w:rPr>
          <w:rFonts w:hint="eastAsia" w:ascii="Times New Roman" w:hAnsi="Times New Roman" w:cs="Times New Roman"/>
          <w:highlight w:val="none"/>
        </w:rPr>
        <w:t>Ⅴ  建（构）筑物倾斜</w:t>
      </w:r>
      <w:r>
        <w:rPr>
          <w:rFonts w:ascii="Times New Roman" w:hAnsi="Times New Roman" w:cs="Times New Roman"/>
          <w:highlight w:val="none"/>
        </w:rPr>
        <w:t>监测</w:t>
      </w:r>
    </w:p>
    <w:p w14:paraId="0FC2972F">
      <w:pPr>
        <w:rPr>
          <w:rFonts w:hint="eastAsia" w:ascii="Times New Roman" w:hAnsi="Times New Roman" w:cs="Times New Roman"/>
          <w:b/>
          <w:bCs/>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22</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倾斜自动化监测可采用倾角计、智能型全站仪、静力水准仪等设备进行量测。</w:t>
      </w:r>
    </w:p>
    <w:p w14:paraId="349B6C7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b/>
          <w:bCs/>
          <w:color w:val="0000FF"/>
          <w:highlight w:val="none"/>
          <w:lang w:val="en-US" w:eastAsia="zh-CN"/>
        </w:rPr>
      </w:pPr>
    </w:p>
    <w:p w14:paraId="605B0D4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6DD4CA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本条推荐性给出了</w:t>
      </w:r>
      <w:r>
        <w:rPr>
          <w:rFonts w:hint="eastAsia" w:ascii="Times New Roman" w:hAnsi="Times New Roman" w:cs="Times New Roman"/>
          <w:color w:val="0000FF"/>
          <w:highlight w:val="none"/>
        </w:rPr>
        <w:t>建（构）筑物倾斜</w:t>
      </w:r>
      <w:r>
        <w:rPr>
          <w:rFonts w:ascii="Times New Roman" w:hAnsi="Times New Roman" w:cs="Times New Roman"/>
          <w:color w:val="0000FF"/>
          <w:highlight w:val="none"/>
        </w:rPr>
        <w:t>监测</w:t>
      </w:r>
      <w:r>
        <w:rPr>
          <w:rFonts w:hint="eastAsia" w:ascii="Times New Roman" w:hAnsi="Times New Roman" w:cs="Times New Roman"/>
          <w:color w:val="0000FF"/>
          <w:highlight w:val="none"/>
          <w:lang w:val="en-US" w:eastAsia="zh-CN"/>
        </w:rPr>
        <w:t>的系列设备，但并不限于推荐列表设备，对于其他能满足本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及其他现行规范性文件的设备，均可采用。</w:t>
      </w:r>
    </w:p>
    <w:p w14:paraId="75CC6C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p>
    <w:p w14:paraId="0755AAF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highlight w:val="none"/>
          <w:lang w:val="en-US" w:eastAsia="zh-CN"/>
        </w:rPr>
      </w:pPr>
      <w:r>
        <w:rPr>
          <w:rFonts w:hint="eastAsia" w:ascii="Times New Roman" w:hAnsi="Times New Roman" w:cs="Times New Roman"/>
          <w:b/>
          <w:bCs/>
          <w:color w:val="000000" w:themeColor="text1"/>
          <w:highlight w:val="none"/>
          <w:lang w:val="en-US" w:eastAsia="zh-CN"/>
          <w14:textFill>
            <w14:solidFill>
              <w14:schemeClr w14:val="tx1"/>
            </w14:solidFill>
          </w14:textFill>
        </w:rPr>
        <w:t>6. 3. 23</w:t>
      </w:r>
      <w:r>
        <w:rPr>
          <w:rFonts w:hint="eastAsia" w:ascii="Times New Roman" w:hAnsi="Times New Roman" w:cs="Times New Roman"/>
          <w:color w:val="0000FF"/>
          <w:highlight w:val="none"/>
          <w:lang w:val="en-US" w:eastAsia="zh-CN"/>
        </w:rPr>
        <w:t xml:space="preserve">  </w:t>
      </w:r>
      <w:r>
        <w:rPr>
          <w:rFonts w:ascii="Times New Roman" w:hAnsi="Times New Roman" w:cs="Times New Roman"/>
          <w:highlight w:val="none"/>
        </w:rPr>
        <w:t>倾角计</w:t>
      </w:r>
      <w:r>
        <w:rPr>
          <w:rFonts w:hint="eastAsia" w:ascii="Times New Roman" w:hAnsi="Times New Roman" w:cs="Times New Roman"/>
          <w:highlight w:val="none"/>
          <w:lang w:val="en-US" w:eastAsia="zh-CN"/>
        </w:rPr>
        <w:t>功能应满足下列要求：</w:t>
      </w:r>
    </w:p>
    <w:p w14:paraId="603554C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精度不应低于0.01°；</w:t>
      </w:r>
    </w:p>
    <w:p w14:paraId="7798B524">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宜具备双轴测量功能；</w:t>
      </w:r>
    </w:p>
    <w:p w14:paraId="57EF19C6">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防水、防尘等级不宜低于IP65。</w:t>
      </w:r>
    </w:p>
    <w:p w14:paraId="0A6371FF">
      <w:pPr>
        <w:rPr>
          <w:rFonts w:hint="eastAsia" w:ascii="Times New Roman" w:hAnsi="Times New Roman" w:cs="Times New Roman"/>
          <w:highlight w:val="none"/>
          <w:lang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24</w:t>
      </w:r>
      <w:r>
        <w:rPr>
          <w:rFonts w:hint="eastAsia"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安装倾角计应明确安装方向并详细记录相关属性信息数据</w:t>
      </w:r>
      <w:r>
        <w:rPr>
          <w:rFonts w:hint="eastAsia" w:ascii="Times New Roman" w:hAnsi="Times New Roman" w:cs="Times New Roman"/>
          <w:highlight w:val="none"/>
          <w:lang w:eastAsia="zh-CN"/>
        </w:rPr>
        <w:t>。</w:t>
      </w:r>
    </w:p>
    <w:p w14:paraId="7FCF2A2C">
      <w:pPr>
        <w:rPr>
          <w:rFonts w:hint="eastAsia" w:ascii="Times New Roman" w:hAnsi="Times New Roman" w:cs="Times New Roman"/>
          <w:b/>
          <w:bCs/>
          <w:color w:val="0000FF"/>
          <w:highlight w:val="none"/>
          <w:lang w:val="en-US" w:eastAsia="zh-CN"/>
        </w:rPr>
      </w:pPr>
    </w:p>
    <w:p w14:paraId="64A5FCCB">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393F8462">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cs="Times New Roman"/>
          <w:color w:val="0000FF"/>
          <w:highlight w:val="none"/>
        </w:rPr>
      </w:pPr>
      <w:r>
        <w:rPr>
          <w:rFonts w:hint="eastAsia" w:ascii="Times New Roman" w:hAnsi="Times New Roman" w:cs="Times New Roman"/>
          <w:color w:val="0000FF"/>
          <w:highlight w:val="none"/>
          <w:lang w:val="en-US" w:eastAsia="zh-CN"/>
        </w:rPr>
        <w:t>倾角仪作为</w:t>
      </w:r>
      <w:r>
        <w:rPr>
          <w:rFonts w:hint="eastAsia" w:ascii="Times New Roman" w:hAnsi="Times New Roman" w:cs="Times New Roman"/>
          <w:color w:val="0000FF"/>
          <w:highlight w:val="none"/>
        </w:rPr>
        <w:t>建（构）筑物倾斜</w:t>
      </w:r>
      <w:r>
        <w:rPr>
          <w:rFonts w:ascii="Times New Roman" w:hAnsi="Times New Roman" w:cs="Times New Roman"/>
          <w:color w:val="0000FF"/>
          <w:highlight w:val="none"/>
        </w:rPr>
        <w:t>监测</w:t>
      </w:r>
      <w:r>
        <w:rPr>
          <w:rFonts w:hint="eastAsia" w:ascii="Times New Roman" w:hAnsi="Times New Roman" w:cs="Times New Roman"/>
          <w:color w:val="0000FF"/>
          <w:highlight w:val="none"/>
          <w:lang w:val="en-US" w:eastAsia="zh-CN"/>
        </w:rPr>
        <w:t>的常用设备，本条专门对其安装过程做出明确规定，确保监测数据可靠性。</w:t>
      </w:r>
      <w:r>
        <w:rPr>
          <w:rFonts w:ascii="Times New Roman" w:hAnsi="Times New Roman" w:cs="Times New Roman"/>
          <w:color w:val="0000FF"/>
          <w:highlight w:val="none"/>
        </w:rPr>
        <w:t>包括监测对象高度等有关属性特征数据。</w:t>
      </w:r>
    </w:p>
    <w:p w14:paraId="33F3AD41">
      <w:pPr>
        <w:rPr>
          <w:rFonts w:ascii="Times New Roman" w:hAnsi="Times New Roman" w:cs="Times New Roman"/>
          <w:color w:val="0000FF"/>
          <w:highlight w:val="none"/>
        </w:rPr>
      </w:pPr>
    </w:p>
    <w:p w14:paraId="0B2B56EC">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6. 3. 25</w:t>
      </w:r>
      <w:r>
        <w:rPr>
          <w:rFonts w:hint="eastAsia" w:ascii="Times New Roman" w:hAnsi="Times New Roman" w:cs="Times New Roman"/>
          <w:highlight w:val="none"/>
          <w:lang w:val="en-US" w:eastAsia="zh-CN"/>
        </w:rPr>
        <w:t xml:space="preserve">  倾角计竖向安装间距应按表6.3.25确定。</w:t>
      </w:r>
    </w:p>
    <w:p w14:paraId="37FF371B">
      <w:pPr>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表6.3.25 倾角计竖向安装间距要求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6042"/>
      </w:tblGrid>
      <w:tr w14:paraId="2165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14:paraId="54EB59D3">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建筑物高度</w:t>
            </w:r>
          </w:p>
        </w:tc>
        <w:tc>
          <w:tcPr>
            <w:tcW w:w="6042" w:type="dxa"/>
          </w:tcPr>
          <w:p w14:paraId="450C937F">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竖向安装间距要求</w:t>
            </w:r>
          </w:p>
        </w:tc>
      </w:tr>
      <w:tr w14:paraId="75BE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14:paraId="481B4220">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Hg</w:t>
            </w:r>
            <w:r>
              <w:rPr>
                <w:rFonts w:hint="default" w:ascii="Times New Roman" w:hAnsi="Times New Roman" w:cs="Times New Roman"/>
                <w:sz w:val="21"/>
                <w:szCs w:val="21"/>
                <w:highlight w:val="none"/>
                <w:vertAlign w:val="baseline"/>
                <w:lang w:val="en-US" w:eastAsia="zh-CN"/>
              </w:rPr>
              <w:t>≤</w:t>
            </w:r>
            <w:r>
              <w:rPr>
                <w:rFonts w:hint="eastAsia" w:ascii="Times New Roman" w:hAnsi="Times New Roman" w:cs="Times New Roman"/>
                <w:sz w:val="21"/>
                <w:szCs w:val="21"/>
                <w:highlight w:val="none"/>
                <w:vertAlign w:val="baseline"/>
                <w:lang w:val="en-US" w:eastAsia="zh-CN"/>
              </w:rPr>
              <w:t>24</w:t>
            </w:r>
          </w:p>
        </w:tc>
        <w:tc>
          <w:tcPr>
            <w:tcW w:w="6042" w:type="dxa"/>
          </w:tcPr>
          <w:p w14:paraId="58310233">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可仅安装一个</w:t>
            </w:r>
          </w:p>
        </w:tc>
      </w:tr>
      <w:tr w14:paraId="246D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14:paraId="7BE2D3C0">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24</w:t>
            </w:r>
            <w:r>
              <w:rPr>
                <w:rFonts w:hint="default" w:ascii="Times New Roman" w:hAnsi="Times New Roman" w:cs="Times New Roman"/>
                <w:sz w:val="21"/>
                <w:szCs w:val="21"/>
                <w:highlight w:val="none"/>
                <w:vertAlign w:val="baseline"/>
                <w:lang w:val="en-US" w:eastAsia="zh-CN"/>
              </w:rPr>
              <w:t>˂</w:t>
            </w:r>
            <w:r>
              <w:rPr>
                <w:rFonts w:hint="eastAsia" w:ascii="Times New Roman" w:hAnsi="Times New Roman" w:cs="Times New Roman"/>
                <w:sz w:val="21"/>
                <w:szCs w:val="21"/>
                <w:highlight w:val="none"/>
                <w:vertAlign w:val="baseline"/>
                <w:lang w:val="en-US" w:eastAsia="zh-CN"/>
              </w:rPr>
              <w:t>Hg</w:t>
            </w:r>
            <w:r>
              <w:rPr>
                <w:rFonts w:hint="default" w:ascii="Times New Roman" w:hAnsi="Times New Roman" w:cs="Times New Roman"/>
                <w:sz w:val="21"/>
                <w:szCs w:val="21"/>
                <w:highlight w:val="none"/>
                <w:vertAlign w:val="baseline"/>
                <w:lang w:val="en-US" w:eastAsia="zh-CN"/>
              </w:rPr>
              <w:t>≤</w:t>
            </w:r>
            <w:r>
              <w:rPr>
                <w:rFonts w:hint="eastAsia" w:ascii="Times New Roman" w:hAnsi="Times New Roman" w:cs="Times New Roman"/>
                <w:sz w:val="21"/>
                <w:szCs w:val="21"/>
                <w:highlight w:val="none"/>
                <w:vertAlign w:val="baseline"/>
                <w:lang w:val="en-US" w:eastAsia="zh-CN"/>
              </w:rPr>
              <w:t>60</w:t>
            </w:r>
          </w:p>
        </w:tc>
        <w:tc>
          <w:tcPr>
            <w:tcW w:w="6042" w:type="dxa"/>
          </w:tcPr>
          <w:p w14:paraId="6CF5811E">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应在24m以下和24m以上分别安装一个</w:t>
            </w:r>
          </w:p>
        </w:tc>
      </w:tr>
      <w:tr w14:paraId="0D7E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14:paraId="1C2D28FE">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60</w:t>
            </w:r>
            <w:r>
              <w:rPr>
                <w:rFonts w:hint="default" w:ascii="Times New Roman" w:hAnsi="Times New Roman" w:cs="Times New Roman"/>
                <w:sz w:val="21"/>
                <w:szCs w:val="21"/>
                <w:highlight w:val="none"/>
                <w:vertAlign w:val="baseline"/>
                <w:lang w:val="en-US" w:eastAsia="zh-CN"/>
              </w:rPr>
              <w:t>˂</w:t>
            </w:r>
            <w:r>
              <w:rPr>
                <w:rFonts w:hint="eastAsia" w:ascii="Times New Roman" w:hAnsi="Times New Roman" w:cs="Times New Roman"/>
                <w:sz w:val="21"/>
                <w:szCs w:val="21"/>
                <w:highlight w:val="none"/>
                <w:vertAlign w:val="baseline"/>
                <w:lang w:val="en-US" w:eastAsia="zh-CN"/>
              </w:rPr>
              <w:t>Hg</w:t>
            </w:r>
            <w:r>
              <w:rPr>
                <w:rFonts w:hint="default" w:ascii="Times New Roman" w:hAnsi="Times New Roman" w:cs="Times New Roman"/>
                <w:sz w:val="21"/>
                <w:szCs w:val="21"/>
                <w:highlight w:val="none"/>
                <w:vertAlign w:val="baseline"/>
                <w:lang w:val="en-US" w:eastAsia="zh-CN"/>
              </w:rPr>
              <w:t>≤</w:t>
            </w:r>
            <w:r>
              <w:rPr>
                <w:rFonts w:hint="eastAsia" w:ascii="Times New Roman" w:hAnsi="Times New Roman" w:cs="Times New Roman"/>
                <w:sz w:val="21"/>
                <w:szCs w:val="21"/>
                <w:highlight w:val="none"/>
                <w:vertAlign w:val="baseline"/>
                <w:lang w:val="en-US" w:eastAsia="zh-CN"/>
              </w:rPr>
              <w:t>100</w:t>
            </w:r>
          </w:p>
        </w:tc>
        <w:tc>
          <w:tcPr>
            <w:tcW w:w="6042" w:type="dxa"/>
          </w:tcPr>
          <w:p w14:paraId="2D8455E8">
            <w:pPr>
              <w:jc w:val="center"/>
              <w:rPr>
                <w:rFonts w:hint="eastAsia"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应在24m以下、24m至60m和60m以上分别安装一个</w:t>
            </w:r>
          </w:p>
        </w:tc>
      </w:tr>
      <w:tr w14:paraId="4247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14:paraId="507BAA64">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Hg</w:t>
            </w:r>
            <w:r>
              <w:rPr>
                <w:rFonts w:hint="default" w:ascii="Times New Roman" w:hAnsi="Times New Roman" w:cs="Times New Roman"/>
                <w:sz w:val="21"/>
                <w:szCs w:val="21"/>
                <w:highlight w:val="none"/>
                <w:vertAlign w:val="baseline"/>
                <w:lang w:val="en-US" w:eastAsia="zh-CN"/>
              </w:rPr>
              <w:t>˃</w:t>
            </w:r>
            <w:r>
              <w:rPr>
                <w:rFonts w:hint="eastAsia" w:ascii="Times New Roman" w:hAnsi="Times New Roman" w:cs="Times New Roman"/>
                <w:sz w:val="21"/>
                <w:szCs w:val="21"/>
                <w:highlight w:val="none"/>
                <w:vertAlign w:val="baseline"/>
                <w:lang w:val="en-US" w:eastAsia="zh-CN"/>
              </w:rPr>
              <w:t>100</w:t>
            </w:r>
          </w:p>
        </w:tc>
        <w:tc>
          <w:tcPr>
            <w:tcW w:w="6042" w:type="dxa"/>
          </w:tcPr>
          <w:p w14:paraId="7CD2983C">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应在24m以下、24m至60m、60m至100m分别安装一个；100m以上每间隔50m安装一个</w:t>
            </w:r>
          </w:p>
        </w:tc>
      </w:tr>
    </w:tbl>
    <w:p w14:paraId="7D886F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注：Hg指建筑物高度。</w:t>
      </w:r>
    </w:p>
    <w:p w14:paraId="79A881B4">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6. 3. 26</w:t>
      </w:r>
      <w:r>
        <w:rPr>
          <w:rFonts w:hint="eastAsia" w:ascii="Times New Roman" w:hAnsi="Times New Roman" w:cs="Times New Roman"/>
          <w:highlight w:val="none"/>
          <w:lang w:val="en-US" w:eastAsia="zh-CN"/>
        </w:rPr>
        <w:t xml:space="preserve">  倾角计现场安装工艺应符合下列要求：</w:t>
      </w:r>
    </w:p>
    <w:p w14:paraId="4CC71FC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应贴合在结构物的表面进行安装，表面应平整；</w:t>
      </w:r>
    </w:p>
    <w:p w14:paraId="1E221810">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不得安装在振动或者冲击严重的位置；</w:t>
      </w:r>
    </w:p>
    <w:p w14:paraId="38E30DCA">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还需保持传感线与被测面轴线平行，即两轴线不能有夹角产生；</w:t>
      </w:r>
    </w:p>
    <w:p w14:paraId="69F8E1D8">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lang w:val="en-US" w:eastAsia="zh-CN"/>
        </w:rPr>
        <w:t xml:space="preserve">  宜安装在阴凉干燥环境处；</w:t>
      </w:r>
    </w:p>
    <w:p w14:paraId="16786E4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highlight w:val="none"/>
          <w:lang w:val="en-US" w:eastAsia="zh-CN"/>
        </w:rPr>
        <w:t xml:space="preserve">  下端宜加装防掉落托盘；</w:t>
      </w:r>
    </w:p>
    <w:p w14:paraId="0DC18096">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w:t>
      </w:r>
      <w:r>
        <w:rPr>
          <w:rFonts w:hint="eastAsia" w:ascii="Times New Roman" w:hAnsi="Times New Roman" w:cs="Times New Roman"/>
          <w:highlight w:val="none"/>
          <w:lang w:val="en-US" w:eastAsia="zh-CN"/>
        </w:rPr>
        <w:t xml:space="preserve">  安装完成后需要记录当前的角度值，如果当前角度值不为零，需要设置相对零点，即以当前安装位置为零点，初始化应有稳定期。</w:t>
      </w:r>
    </w:p>
    <w:p w14:paraId="46DA44D8">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43D619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none"/>
          <w:lang w:val="en-US" w:eastAsia="zh-CN"/>
        </w:rPr>
      </w:pPr>
      <w:r>
        <w:rPr>
          <w:rFonts w:hint="eastAsia" w:cs="Times New Roman"/>
          <w:highlight w:val="none"/>
          <w:lang w:val="en-US" w:eastAsia="zh-CN"/>
        </w:rPr>
        <w:t>现场安装如图11。</w:t>
      </w:r>
    </w:p>
    <w:p w14:paraId="11CEB55F">
      <w:pPr>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1249045" cy="2023110"/>
            <wp:effectExtent l="0" t="0" r="8255" b="15240"/>
            <wp:docPr id="6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
                    <pic:cNvPicPr>
                      <a:picLocks noChangeAspect="1"/>
                    </pic:cNvPicPr>
                  </pic:nvPicPr>
                  <pic:blipFill>
                    <a:blip r:embed="rId28"/>
                    <a:stretch>
                      <a:fillRect/>
                    </a:stretch>
                  </pic:blipFill>
                  <pic:spPr>
                    <a:xfrm>
                      <a:off x="0" y="0"/>
                      <a:ext cx="1249045" cy="2023110"/>
                    </a:xfrm>
                    <a:prstGeom prst="rect">
                      <a:avLst/>
                    </a:prstGeom>
                    <a:noFill/>
                    <a:ln>
                      <a:noFill/>
                    </a:ln>
                  </pic:spPr>
                </pic:pic>
              </a:graphicData>
            </a:graphic>
          </wp:inline>
        </w:drawing>
      </w:r>
    </w:p>
    <w:p w14:paraId="31D7C500">
      <w:pPr>
        <w:jc w:val="center"/>
        <w:rPr>
          <w:rFonts w:hint="default" w:ascii="Times New Roman" w:hAnsi="Times New Roman" w:cs="Times New Roman" w:eastAsiaTheme="minorEastAsia"/>
          <w:highlight w:val="none"/>
          <w:lang w:val="en-US" w:eastAsia="zh-CN"/>
        </w:rPr>
      </w:pPr>
      <w:r>
        <w:rPr>
          <w:rFonts w:hint="eastAsia" w:cs="Times New Roman"/>
          <w:highlight w:val="none"/>
          <w:lang w:val="en-US" w:eastAsia="zh-CN"/>
        </w:rPr>
        <w:t xml:space="preserve">图11 </w:t>
      </w:r>
      <w:r>
        <w:rPr>
          <w:rFonts w:hint="eastAsia" w:ascii="Times New Roman" w:hAnsi="Times New Roman" w:cs="Times New Roman"/>
          <w:highlight w:val="none"/>
          <w:lang w:val="en-US" w:eastAsia="zh-CN"/>
        </w:rPr>
        <w:t>现场安装示意图</w:t>
      </w:r>
    </w:p>
    <w:p w14:paraId="2B56C57D">
      <w:pPr>
        <w:jc w:val="center"/>
        <w:rPr>
          <w:rFonts w:ascii="Times New Roman" w:hAnsi="Times New Roman" w:cs="Times New Roman"/>
          <w:highlight w:val="none"/>
        </w:rPr>
      </w:pPr>
      <w:r>
        <w:rPr>
          <w:rFonts w:hint="default" w:ascii="Times New Roman" w:hAnsi="Times New Roman" w:cs="Times New Roman"/>
          <w:highlight w:val="none"/>
        </w:rPr>
        <w:t>Ⅵ</w:t>
      </w:r>
      <w:r>
        <w:rPr>
          <w:rFonts w:hint="eastAsia" w:ascii="Times New Roman" w:hAnsi="Times New Roman" w:cs="Times New Roman"/>
          <w:highlight w:val="none"/>
        </w:rPr>
        <w:t xml:space="preserve">  </w:t>
      </w:r>
      <w:r>
        <w:rPr>
          <w:rFonts w:hint="eastAsia" w:ascii="Times New Roman" w:hAnsi="Times New Roman" w:cs="Times New Roman"/>
          <w:highlight w:val="none"/>
          <w:lang w:val="en-US" w:eastAsia="zh-CN"/>
        </w:rPr>
        <w:t>支护内力</w:t>
      </w:r>
      <w:r>
        <w:rPr>
          <w:rFonts w:hint="eastAsia" w:ascii="Times New Roman" w:hAnsi="Times New Roman" w:cs="Times New Roman"/>
          <w:highlight w:val="none"/>
        </w:rPr>
        <w:t>监测</w:t>
      </w:r>
    </w:p>
    <w:p w14:paraId="5984D88D">
      <w:pPr>
        <w:rPr>
          <w:rFonts w:hint="default" w:ascii="Times New Roman" w:hAnsi="Times New Roman" w:cs="Times New Roman" w:eastAsiaTheme="minorEastAsia"/>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27</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锚杆（索）拉力监测</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支护结构内力监测元件应符合本</w:t>
      </w:r>
      <w:r>
        <w:rPr>
          <w:rFonts w:hint="eastAsia" w:cs="Times New Roman"/>
          <w:highlight w:val="none"/>
          <w:lang w:val="en-US" w:eastAsia="zh-CN"/>
        </w:rPr>
        <w:t>标准</w:t>
      </w:r>
      <w:r>
        <w:rPr>
          <w:rFonts w:hint="eastAsia" w:ascii="Times New Roman" w:hAnsi="Times New Roman" w:cs="Times New Roman"/>
          <w:highlight w:val="none"/>
          <w:lang w:val="en-US" w:eastAsia="zh-CN"/>
        </w:rPr>
        <w:t>人工监测的相关要求。</w:t>
      </w:r>
    </w:p>
    <w:p w14:paraId="7E84D59A">
      <w:pPr>
        <w:rPr>
          <w:rFonts w:hint="eastAsia" w:ascii="Times New Roman" w:hAnsi="Times New Roman" w:cs="Times New Roman"/>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28</w:t>
      </w:r>
      <w:r>
        <w:rPr>
          <w:rFonts w:ascii="Times New Roman" w:hAnsi="Times New Roman" w:cs="Times New Roman"/>
          <w:highlight w:val="none"/>
        </w:rPr>
        <w:t xml:space="preserve"> </w:t>
      </w:r>
      <w:r>
        <w:rPr>
          <w:rFonts w:hint="eastAsia" w:ascii="Times New Roman" w:hAnsi="Times New Roman" w:cs="Times New Roman"/>
          <w:highlight w:val="none"/>
        </w:rPr>
        <w:t xml:space="preserve"> </w:t>
      </w:r>
      <w:r>
        <w:rPr>
          <w:rFonts w:hint="eastAsia" w:ascii="Times New Roman" w:hAnsi="Times New Roman" w:cs="Times New Roman"/>
          <w:highlight w:val="none"/>
          <w:lang w:val="en-US" w:eastAsia="zh-CN"/>
        </w:rPr>
        <w:t>数据采集可采用单点和集中采集方式。</w:t>
      </w:r>
    </w:p>
    <w:p w14:paraId="58FDB88B">
      <w:pPr>
        <w:rPr>
          <w:rFonts w:hint="eastAsia" w:ascii="Times New Roman" w:hAnsi="Times New Roman" w:cs="Times New Roman"/>
          <w:highlight w:val="none"/>
          <w:lang w:val="en-US" w:eastAsia="zh-CN"/>
        </w:rPr>
      </w:pPr>
      <w:r>
        <w:rPr>
          <w:rFonts w:hint="eastAsia" w:ascii="Times New Roman" w:hAnsi="Times New Roman" w:cs="Times New Roman"/>
          <w:b/>
          <w:bCs/>
          <w:color w:val="000000" w:themeColor="text1"/>
          <w:highlight w:val="none"/>
          <w:lang w:val="en-US" w:eastAsia="zh-CN"/>
          <w14:textFill>
            <w14:solidFill>
              <w14:schemeClr w14:val="tx1"/>
            </w14:solidFill>
          </w14:textFill>
        </w:rPr>
        <w:t>6. 3. 29</w:t>
      </w:r>
      <w:r>
        <w:rPr>
          <w:rFonts w:hint="eastAsia" w:ascii="Times New Roman" w:hAnsi="Times New Roman" w:cs="Times New Roman"/>
          <w:highlight w:val="none"/>
          <w:lang w:val="en-US" w:eastAsia="zh-CN"/>
        </w:rPr>
        <w:t xml:space="preserve">  数据采集装置应符合下列要求：</w:t>
      </w:r>
    </w:p>
    <w:p w14:paraId="5B35E3F3">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精度不应低于0.1Hz，分辨率不应低于0.01Hz；</w:t>
      </w:r>
    </w:p>
    <w:p w14:paraId="54078B16">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量程应包含500Hz~6000Hz；</w:t>
      </w:r>
    </w:p>
    <w:p w14:paraId="01AC090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防水、防尘等级不宜低于IP65。</w:t>
      </w:r>
    </w:p>
    <w:p w14:paraId="0CC460DD">
      <w:pPr>
        <w:rPr>
          <w:rFonts w:hint="eastAsia" w:ascii="Times New Roman" w:hAnsi="Times New Roman" w:cs="Times New Roman"/>
          <w:b/>
          <w:bCs/>
          <w:color w:val="0000FF"/>
          <w:highlight w:val="none"/>
          <w:lang w:val="en-US" w:eastAsia="zh-CN"/>
        </w:rPr>
      </w:pPr>
    </w:p>
    <w:p w14:paraId="7744C409">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48E0D6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1 </w:t>
      </w:r>
      <w:r>
        <w:rPr>
          <w:rFonts w:hint="eastAsia" w:ascii="Times New Roman" w:hAnsi="Times New Roman" w:cs="Times New Roman"/>
          <w:color w:val="0000FF"/>
          <w:highlight w:val="none"/>
          <w:lang w:val="en-US" w:eastAsia="zh-CN"/>
        </w:rPr>
        <w:t>精度和分辨率：精度为0.1Hz，分辨率为0.01Hz，这两个参数主要保证了数据采集的准确性。精度越高，数据误差越小，分辨率越高，数据的细节捕捉越完整。这两个参数对于高精度的数据分析和处理至关重要。</w:t>
      </w:r>
    </w:p>
    <w:p w14:paraId="5D503E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2 </w:t>
      </w:r>
      <w:r>
        <w:rPr>
          <w:rFonts w:hint="eastAsia" w:ascii="Times New Roman" w:hAnsi="Times New Roman" w:cs="Times New Roman"/>
          <w:color w:val="0000FF"/>
          <w:highlight w:val="none"/>
          <w:lang w:val="en-US" w:eastAsia="zh-CN"/>
        </w:rPr>
        <w:t>振弦量程：500Hz-6000Hz，这个参数设定是根据振弦数据采集装置的应用场景和需求确定的。这个范围内的频率覆盖了大部分的振动频率，能够满足大部分的数据采集需求。</w:t>
      </w:r>
    </w:p>
    <w:p w14:paraId="1B353B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3 </w:t>
      </w:r>
      <w:r>
        <w:rPr>
          <w:rFonts w:hint="eastAsia" w:ascii="Times New Roman" w:hAnsi="Times New Roman" w:cs="Times New Roman"/>
          <w:color w:val="0000FF"/>
          <w:highlight w:val="none"/>
          <w:lang w:val="en-US" w:eastAsia="zh-CN"/>
        </w:rPr>
        <w:t>防护等级：IP65，这个参数主要保证了设备的稳定性和耐用性。IP65等级的防护可以防止尘土和水分对设备内部元件造成的损害，使得设备可以在恶劣的环境中正常工作，延长设备的使用寿命。</w:t>
      </w:r>
    </w:p>
    <w:p w14:paraId="2C7478AE">
      <w:pPr>
        <w:rPr>
          <w:rFonts w:hint="eastAsia" w:ascii="Times New Roman" w:hAnsi="Times New Roman" w:cs="Times New Roman"/>
          <w:color w:val="0000FF"/>
          <w:highlight w:val="none"/>
          <w:lang w:val="en-US" w:eastAsia="zh-CN"/>
        </w:rPr>
      </w:pPr>
    </w:p>
    <w:p w14:paraId="428E8BA7">
      <w:pP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30</w:t>
      </w:r>
      <w:r>
        <w:rPr>
          <w:rFonts w:ascii="Times New Roman" w:hAnsi="Times New Roman" w:cs="Times New Roman"/>
          <w:b/>
          <w:bCs/>
          <w:highlight w:val="none"/>
        </w:rPr>
        <w:t xml:space="preserve"> </w:t>
      </w:r>
      <w:r>
        <w:rPr>
          <w:rFonts w:hint="eastAsia" w:ascii="Times New Roman" w:hAnsi="Times New Roman" w:cs="Times New Roman"/>
          <w:b/>
          <w:bCs/>
          <w:highlight w:val="none"/>
        </w:rPr>
        <w:t xml:space="preserve"> </w:t>
      </w:r>
      <w:r>
        <w:rPr>
          <w:rFonts w:hint="eastAsia" w:ascii="Times New Roman" w:hAnsi="Times New Roman" w:cs="Times New Roman"/>
          <w:b w:val="0"/>
          <w:bCs w:val="0"/>
          <w:highlight w:val="none"/>
          <w:lang w:val="en-US" w:eastAsia="zh-CN"/>
        </w:rPr>
        <w:t>数据采集装置现场安装工艺应符合下列要求：</w:t>
      </w:r>
    </w:p>
    <w:p w14:paraId="2B57D26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传感器线缆应固定后再接入数据采集装置，保证设备防护箱，太阳能板固定牢固；</w:t>
      </w:r>
    </w:p>
    <w:p w14:paraId="3A7E1782">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太阳能面板应保证充足阳光照射；</w:t>
      </w:r>
    </w:p>
    <w:p w14:paraId="2215103B">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设备防护盒应有监测点名，安装日期，紧急联系人等相关信息。</w:t>
      </w:r>
    </w:p>
    <w:p w14:paraId="370578B5">
      <w:pPr>
        <w:jc w:val="center"/>
        <w:rPr>
          <w:rFonts w:ascii="Times New Roman" w:hAnsi="Times New Roman" w:cs="Times New Roman"/>
          <w:highlight w:val="none"/>
        </w:rPr>
      </w:pPr>
      <w:r>
        <w:rPr>
          <w:rFonts w:hint="default" w:ascii="Times New Roman" w:hAnsi="Times New Roman" w:cs="Times New Roman"/>
          <w:highlight w:val="none"/>
        </w:rPr>
        <w:t>Ⅶ</w:t>
      </w:r>
      <w:r>
        <w:rPr>
          <w:rFonts w:hint="eastAsia" w:ascii="Times New Roman" w:hAnsi="Times New Roman" w:cs="Times New Roman"/>
          <w:highlight w:val="none"/>
        </w:rPr>
        <w:t xml:space="preserve">  深层水平位移</w:t>
      </w:r>
      <w:r>
        <w:rPr>
          <w:rFonts w:ascii="Times New Roman" w:hAnsi="Times New Roman" w:cs="Times New Roman"/>
          <w:highlight w:val="none"/>
        </w:rPr>
        <w:t>监测</w:t>
      </w:r>
    </w:p>
    <w:p w14:paraId="07642225">
      <w:pPr>
        <w:rPr>
          <w:rFonts w:hint="eastAsia" w:ascii="Times New Roman" w:hAnsi="Times New Roman" w:cs="Times New Roman"/>
          <w:b/>
          <w:bCs/>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31</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深层水平位移自动化</w:t>
      </w:r>
      <w:r>
        <w:rPr>
          <w:rFonts w:hint="eastAsia" w:ascii="Times New Roman" w:hAnsi="Times New Roman" w:cs="Times New Roman"/>
          <w:highlight w:val="none"/>
        </w:rPr>
        <w:t>监测</w:t>
      </w:r>
      <w:r>
        <w:rPr>
          <w:rFonts w:ascii="Times New Roman" w:hAnsi="Times New Roman" w:cs="Times New Roman"/>
          <w:highlight w:val="none"/>
        </w:rPr>
        <w:t>可</w:t>
      </w:r>
      <w:r>
        <w:rPr>
          <w:rFonts w:hint="eastAsia" w:ascii="Times New Roman" w:hAnsi="Times New Roman" w:cs="Times New Roman"/>
          <w:highlight w:val="none"/>
        </w:rPr>
        <w:t>采用柔性测斜仪</w:t>
      </w:r>
      <w:r>
        <w:rPr>
          <w:rFonts w:ascii="Times New Roman" w:hAnsi="Times New Roman" w:cs="Times New Roman"/>
          <w:highlight w:val="none"/>
        </w:rPr>
        <w:t>或绞盘式自动测斜仪等设备</w:t>
      </w:r>
      <w:r>
        <w:rPr>
          <w:rFonts w:hint="eastAsia" w:ascii="Times New Roman" w:hAnsi="Times New Roman" w:cs="Times New Roman"/>
          <w:highlight w:val="none"/>
        </w:rPr>
        <w:t>进行</w:t>
      </w:r>
      <w:r>
        <w:rPr>
          <w:rFonts w:ascii="Times New Roman" w:hAnsi="Times New Roman" w:cs="Times New Roman"/>
          <w:highlight w:val="none"/>
        </w:rPr>
        <w:t>量测。</w:t>
      </w:r>
    </w:p>
    <w:p w14:paraId="5DC91BB9">
      <w:pPr>
        <w:ind w:firstLine="482" w:firstLineChars="200"/>
        <w:rPr>
          <w:rFonts w:hint="eastAsia" w:ascii="Times New Roman" w:hAnsi="Times New Roman" w:cs="Times New Roman"/>
          <w:b/>
          <w:bCs/>
          <w:color w:val="0000FF"/>
          <w:highlight w:val="none"/>
          <w:lang w:val="en-US" w:eastAsia="zh-CN"/>
        </w:rPr>
      </w:pPr>
    </w:p>
    <w:p w14:paraId="6BEBEEBA">
      <w:pPr>
        <w:ind w:firstLine="482" w:firstLineChars="20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7986A4D2">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本条推荐性给出了</w:t>
      </w:r>
      <w:r>
        <w:rPr>
          <w:rFonts w:hint="eastAsia" w:ascii="Times New Roman" w:hAnsi="Times New Roman" w:cs="Times New Roman"/>
          <w:color w:val="0000FF"/>
          <w:highlight w:val="none"/>
        </w:rPr>
        <w:t>深层水平位移</w:t>
      </w:r>
      <w:r>
        <w:rPr>
          <w:rFonts w:ascii="Times New Roman" w:hAnsi="Times New Roman" w:cs="Times New Roman"/>
          <w:color w:val="0000FF"/>
          <w:highlight w:val="none"/>
        </w:rPr>
        <w:t>监测</w:t>
      </w:r>
      <w:r>
        <w:rPr>
          <w:rFonts w:hint="eastAsia" w:ascii="Times New Roman" w:hAnsi="Times New Roman" w:cs="Times New Roman"/>
          <w:color w:val="0000FF"/>
          <w:highlight w:val="none"/>
          <w:lang w:val="en-US" w:eastAsia="zh-CN"/>
        </w:rPr>
        <w:t>的系列设备，但是并不限于推荐列表设备，对于其他能满足本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及其他现行规范性文件的设备，亦可采用。</w:t>
      </w:r>
    </w:p>
    <w:p w14:paraId="104F0C20">
      <w:pPr>
        <w:ind w:firstLine="480" w:firstLineChars="200"/>
        <w:rPr>
          <w:rFonts w:hint="eastAsia" w:ascii="Times New Roman" w:hAnsi="Times New Roman" w:cs="Times New Roman"/>
          <w:color w:val="0000FF"/>
          <w:highlight w:val="none"/>
          <w:lang w:val="en-US" w:eastAsia="zh-CN"/>
        </w:rPr>
      </w:pPr>
    </w:p>
    <w:p w14:paraId="72EABF1A">
      <w:pPr>
        <w:rPr>
          <w:rFonts w:ascii="Times New Roman" w:hAnsi="Times New Roman" w:cs="Times New Roman"/>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32</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深层水平位移以上部管口作为深层水平位移的起算点</w:t>
      </w:r>
      <w:r>
        <w:rPr>
          <w:rFonts w:hint="eastAsia" w:ascii="Times New Roman" w:hAnsi="Times New Roman" w:cs="Times New Roman"/>
          <w:highlight w:val="none"/>
        </w:rPr>
        <w:t>时</w:t>
      </w:r>
      <w:r>
        <w:rPr>
          <w:rFonts w:ascii="Times New Roman" w:hAnsi="Times New Roman" w:cs="Times New Roman"/>
          <w:highlight w:val="none"/>
        </w:rPr>
        <w:t>，每次监测均应测定起算位置的坐标变化并修正。</w:t>
      </w:r>
    </w:p>
    <w:p w14:paraId="4B9BDDC8">
      <w:pPr>
        <w:rPr>
          <w:rFonts w:hint="eastAsia" w:ascii="Times New Roman" w:hAnsi="Times New Roman" w:cs="Times New Roman"/>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33</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深层水平位移监测</w:t>
      </w:r>
      <w:r>
        <w:rPr>
          <w:rFonts w:hint="eastAsia" w:ascii="Times New Roman" w:hAnsi="Times New Roman" w:cs="Times New Roman"/>
          <w:highlight w:val="none"/>
        </w:rPr>
        <w:t>设备</w:t>
      </w:r>
      <w:r>
        <w:rPr>
          <w:rFonts w:ascii="Times New Roman" w:hAnsi="Times New Roman" w:cs="Times New Roman"/>
          <w:highlight w:val="none"/>
        </w:rPr>
        <w:t>的更换、检查等工作导致测斜传感器位置发生变化的，应重新校正。</w:t>
      </w:r>
    </w:p>
    <w:p w14:paraId="0120A922">
      <w:pPr>
        <w:rPr>
          <w:rFonts w:hint="eastAsia" w:ascii="Times New Roman" w:hAnsi="Times New Roman" w:cs="Times New Roman"/>
          <w:b/>
          <w:bCs/>
          <w:color w:val="0000FF"/>
          <w:highlight w:val="none"/>
          <w:lang w:val="en-US" w:eastAsia="zh-CN"/>
        </w:rPr>
      </w:pPr>
    </w:p>
    <w:p w14:paraId="437F88E9">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2E6E772D">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采用固定式测斜仪方式进行深层水平位移监测的，传感器安装位置都是固定不变的且经过数据初始化。因检修更换工作造成位置变化的，传感器是无法完全吻合到原定位置的。需要安装后应重新校正并结合原数据累计值进行数据分析。</w:t>
      </w:r>
    </w:p>
    <w:p w14:paraId="60A45BD1">
      <w:pPr>
        <w:ind w:firstLine="480" w:firstLineChars="200"/>
        <w:rPr>
          <w:rFonts w:hint="eastAsia" w:ascii="Times New Roman" w:hAnsi="Times New Roman" w:cs="Times New Roman"/>
          <w:color w:val="0000FF"/>
          <w:highlight w:val="none"/>
          <w:lang w:val="en-US" w:eastAsia="zh-CN"/>
        </w:rPr>
      </w:pPr>
    </w:p>
    <w:p w14:paraId="7658B5A7">
      <w:pPr>
        <w:rPr>
          <w:rFonts w:hint="eastAsia" w:ascii="Times New Roman" w:hAnsi="Times New Roman" w:cs="Times New Roman"/>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34</w:t>
      </w:r>
      <w:r>
        <w:rPr>
          <w:rFonts w:ascii="Times New Roman" w:hAnsi="Times New Roman" w:cs="Times New Roman"/>
          <w:b/>
          <w:bCs/>
          <w:highlight w:val="none"/>
        </w:rPr>
        <w:t xml:space="preserve"> </w:t>
      </w:r>
      <w:r>
        <w:rPr>
          <w:rFonts w:hint="eastAsia" w:ascii="Times New Roman" w:hAnsi="Times New Roman" w:cs="Times New Roman"/>
          <w:b/>
          <w:bCs/>
          <w:highlight w:val="none"/>
        </w:rPr>
        <w:t xml:space="preserve"> </w:t>
      </w:r>
      <w:r>
        <w:rPr>
          <w:rFonts w:ascii="Times New Roman" w:hAnsi="Times New Roman" w:cs="Times New Roman"/>
          <w:highlight w:val="none"/>
        </w:rPr>
        <w:t>采用</w:t>
      </w:r>
      <w:r>
        <w:rPr>
          <w:rFonts w:hint="eastAsia" w:ascii="Times New Roman" w:hAnsi="Times New Roman" w:cs="Times New Roman"/>
          <w:highlight w:val="none"/>
          <w:lang w:val="en-US" w:eastAsia="zh-CN"/>
        </w:rPr>
        <w:t>柔性</w:t>
      </w:r>
      <w:r>
        <w:rPr>
          <w:rFonts w:ascii="Times New Roman" w:hAnsi="Times New Roman" w:cs="Times New Roman"/>
          <w:highlight w:val="none"/>
        </w:rPr>
        <w:t>测斜仪</w:t>
      </w:r>
      <w:r>
        <w:rPr>
          <w:rFonts w:hint="eastAsia" w:ascii="Times New Roman" w:hAnsi="Times New Roman" w:cs="Times New Roman"/>
          <w:highlight w:val="none"/>
        </w:rPr>
        <w:t>进行</w:t>
      </w:r>
      <w:r>
        <w:rPr>
          <w:rFonts w:ascii="Times New Roman" w:hAnsi="Times New Roman" w:cs="Times New Roman"/>
          <w:highlight w:val="none"/>
        </w:rPr>
        <w:t>监测时</w:t>
      </w:r>
      <w:r>
        <w:rPr>
          <w:rFonts w:hint="eastAsia" w:ascii="Times New Roman" w:hAnsi="Times New Roman" w:cs="Times New Roman"/>
          <w:highlight w:val="none"/>
          <w:lang w:val="en-US" w:eastAsia="zh-CN"/>
        </w:rPr>
        <w:t>应符合下列要求：</w:t>
      </w:r>
    </w:p>
    <w:p w14:paraId="33AF855D">
      <w:pPr>
        <w:ind w:firstLine="482" w:firstLineChars="200"/>
        <w:rPr>
          <w:rFonts w:hint="eastAsia" w:ascii="Times New Roman" w:hAnsi="Times New Roman" w:cs="Times New Roman" w:eastAsiaTheme="minorEastAsia"/>
          <w:highlight w:val="none"/>
          <w:lang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rPr>
        <w:t>监测间距不宜大于1m，</w:t>
      </w:r>
      <w:r>
        <w:rPr>
          <w:rFonts w:ascii="Times New Roman" w:hAnsi="Times New Roman" w:cs="Times New Roman"/>
          <w:highlight w:val="none"/>
        </w:rPr>
        <w:t>监测数据能够反映监测深度范围内管形变化要求</w:t>
      </w:r>
      <w:r>
        <w:rPr>
          <w:rFonts w:hint="eastAsia" w:ascii="Times New Roman" w:hAnsi="Times New Roman" w:cs="Times New Roman"/>
          <w:highlight w:val="none"/>
          <w:lang w:eastAsia="zh-CN"/>
        </w:rPr>
        <w:t>；</w:t>
      </w:r>
    </w:p>
    <w:p w14:paraId="000EAE42">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系统精度不宜低于0.25mm/m；</w:t>
      </w:r>
    </w:p>
    <w:p w14:paraId="14D8FD92">
      <w:pPr>
        <w:ind w:firstLine="482" w:firstLineChars="20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数据采集装置机箱防护等级不低于IP56。</w:t>
      </w:r>
    </w:p>
    <w:p w14:paraId="3CF54229">
      <w:pPr>
        <w:rPr>
          <w:rFonts w:hint="eastAsia" w:ascii="Times New Roman" w:hAnsi="Times New Roman" w:cs="Times New Roman"/>
          <w:b/>
          <w:bCs/>
          <w:color w:val="0000FF"/>
          <w:highlight w:val="none"/>
          <w:lang w:val="en-US" w:eastAsia="zh-CN"/>
        </w:rPr>
      </w:pPr>
    </w:p>
    <w:p w14:paraId="2909C894">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2D5509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数据采集装置的要求参考了《大坝安全监测数据自动采集装置》</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DL/T 1134。</w:t>
      </w:r>
    </w:p>
    <w:p w14:paraId="57DDC0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p>
    <w:p w14:paraId="4F219A46">
      <w:pPr>
        <w:rPr>
          <w:rFonts w:hint="eastAsia" w:ascii="Times New Roman" w:hAnsi="Times New Roman" w:cs="Times New Roman"/>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35</w:t>
      </w:r>
      <w:r>
        <w:rPr>
          <w:rFonts w:ascii="Times New Roman" w:hAnsi="Times New Roman" w:cs="Times New Roman"/>
          <w:b/>
          <w:bCs/>
          <w:highlight w:val="none"/>
        </w:rPr>
        <w:t xml:space="preserve"> </w:t>
      </w:r>
      <w:r>
        <w:rPr>
          <w:rFonts w:hint="eastAsia" w:ascii="Times New Roman" w:hAnsi="Times New Roman" w:cs="Times New Roman"/>
          <w:b/>
          <w:bCs/>
          <w:highlight w:val="none"/>
        </w:rPr>
        <w:t xml:space="preserve"> </w:t>
      </w:r>
      <w:r>
        <w:rPr>
          <w:rFonts w:hint="eastAsia" w:ascii="Times New Roman" w:hAnsi="Times New Roman" w:cs="Times New Roman"/>
          <w:highlight w:val="none"/>
          <w:lang w:val="en-US" w:eastAsia="zh-CN"/>
        </w:rPr>
        <w:t>柔性</w:t>
      </w:r>
      <w:r>
        <w:rPr>
          <w:rFonts w:ascii="Times New Roman" w:hAnsi="Times New Roman" w:cs="Times New Roman"/>
          <w:highlight w:val="none"/>
        </w:rPr>
        <w:t>测斜仪</w:t>
      </w:r>
      <w:r>
        <w:rPr>
          <w:rFonts w:hint="eastAsia" w:ascii="Times New Roman" w:hAnsi="Times New Roman" w:cs="Times New Roman"/>
          <w:highlight w:val="none"/>
          <w:lang w:val="en-US" w:eastAsia="zh-CN"/>
        </w:rPr>
        <w:t>安装应符合下列要求：</w:t>
      </w:r>
    </w:p>
    <w:p w14:paraId="4776399D">
      <w:pPr>
        <w:ind w:firstLine="482" w:firstLineChars="20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测斜仪各节点应紧贴测斜管管壁；</w:t>
      </w:r>
    </w:p>
    <w:p w14:paraId="5D6CDD93">
      <w:pPr>
        <w:ind w:firstLine="482" w:firstLineChars="200"/>
        <w:rPr>
          <w:rFonts w:hint="default"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b w:val="0"/>
          <w:bCs w:val="0"/>
          <w:highlight w:val="none"/>
          <w:lang w:val="en-US" w:eastAsia="zh-CN"/>
        </w:rPr>
        <w:t xml:space="preserve">  测斜管较深时，应考虑柔性测斜仪本身的抗拉强度及防水性能，防水深度需达水下两百米以上；</w:t>
      </w:r>
    </w:p>
    <w:p w14:paraId="11096D91">
      <w:pPr>
        <w:ind w:firstLine="482" w:firstLineChars="20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 xml:space="preserve">3  </w:t>
      </w:r>
      <w:r>
        <w:rPr>
          <w:rFonts w:hint="eastAsia" w:ascii="Times New Roman" w:hAnsi="Times New Roman" w:cs="Times New Roman"/>
          <w:b w:val="0"/>
          <w:bCs w:val="0"/>
          <w:highlight w:val="none"/>
          <w:lang w:val="en-US" w:eastAsia="zh-CN"/>
        </w:rPr>
        <w:t>安装完成后，在孔口建造合适尺寸的保护装置；</w:t>
      </w:r>
    </w:p>
    <w:p w14:paraId="4E55F99B">
      <w:pPr>
        <w:ind w:firstLine="482" w:firstLineChars="200"/>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4</w:t>
      </w:r>
      <w:r>
        <w:rPr>
          <w:rFonts w:hint="eastAsia" w:ascii="Times New Roman" w:hAnsi="Times New Roman" w:cs="Times New Roman"/>
          <w:b w:val="0"/>
          <w:bCs w:val="0"/>
          <w:highlight w:val="none"/>
          <w:lang w:val="en-US" w:eastAsia="zh-CN"/>
        </w:rPr>
        <w:t xml:space="preserve">  数据采集装置安装在显眼易维护位置，确保安装牢固。</w:t>
      </w:r>
    </w:p>
    <w:p w14:paraId="5B5F898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36</w:t>
      </w:r>
      <w:r>
        <w:rPr>
          <w:rFonts w:ascii="Times New Roman" w:hAnsi="Times New Roman" w:cs="Times New Roman"/>
          <w:b/>
          <w:bCs/>
          <w:highlight w:val="none"/>
        </w:rPr>
        <w:t xml:space="preserve"> </w:t>
      </w:r>
      <w:r>
        <w:rPr>
          <w:rFonts w:hint="eastAsia" w:ascii="Times New Roman" w:hAnsi="Times New Roman" w:cs="Times New Roman"/>
          <w:b/>
          <w:bCs/>
          <w:highlight w:val="none"/>
        </w:rPr>
        <w:t xml:space="preserve"> </w:t>
      </w:r>
      <w:r>
        <w:rPr>
          <w:rFonts w:ascii="Times New Roman" w:hAnsi="Times New Roman" w:cs="Times New Roman"/>
          <w:highlight w:val="none"/>
        </w:rPr>
        <w:t>采用绞盘式自动测斜仪</w:t>
      </w:r>
      <w:r>
        <w:rPr>
          <w:rFonts w:hint="eastAsia" w:ascii="Times New Roman" w:hAnsi="Times New Roman" w:cs="Times New Roman"/>
          <w:highlight w:val="none"/>
        </w:rPr>
        <w:t>监测间距不宜</w:t>
      </w:r>
      <w:r>
        <w:rPr>
          <w:rFonts w:hint="eastAsia" w:ascii="Times New Roman" w:hAnsi="Times New Roman" w:cs="Times New Roman"/>
          <w:highlight w:val="none"/>
          <w:lang w:val="en-US" w:eastAsia="zh-CN"/>
        </w:rPr>
        <w:t>大于0.5m。</w:t>
      </w:r>
    </w:p>
    <w:p w14:paraId="62A49DB5">
      <w:pPr>
        <w:rPr>
          <w:rFonts w:hint="eastAsia" w:ascii="Times New Roman" w:hAnsi="Times New Roman" w:cs="Times New Roman"/>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37</w:t>
      </w:r>
      <w:r>
        <w:rPr>
          <w:rFonts w:ascii="Times New Roman" w:hAnsi="Times New Roman" w:cs="Times New Roman"/>
          <w:b/>
          <w:bCs/>
          <w:highlight w:val="none"/>
        </w:rPr>
        <w:t xml:space="preserve"> </w:t>
      </w:r>
      <w:r>
        <w:rPr>
          <w:rFonts w:hint="eastAsia" w:ascii="Times New Roman" w:hAnsi="Times New Roman" w:cs="Times New Roman"/>
          <w:b/>
          <w:bCs/>
          <w:highlight w:val="none"/>
        </w:rPr>
        <w:t xml:space="preserve"> </w:t>
      </w:r>
      <w:r>
        <w:rPr>
          <w:rFonts w:ascii="Times New Roman" w:hAnsi="Times New Roman" w:cs="Times New Roman"/>
          <w:highlight w:val="none"/>
        </w:rPr>
        <w:t>绞盘式自动测斜仪</w:t>
      </w:r>
      <w:r>
        <w:rPr>
          <w:rFonts w:hint="eastAsia" w:ascii="Times New Roman" w:hAnsi="Times New Roman" w:cs="Times New Roman"/>
          <w:highlight w:val="none"/>
          <w:lang w:val="en-US" w:eastAsia="zh-CN"/>
        </w:rPr>
        <w:t>安装应符合下列要求：</w:t>
      </w:r>
    </w:p>
    <w:p w14:paraId="7EF487B8">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1</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安装完成后应保证主机牢固锁定到地面；</w:t>
      </w:r>
    </w:p>
    <w:p w14:paraId="3B792AE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设备外部应安装保护罩。</w:t>
      </w:r>
    </w:p>
    <w:p w14:paraId="302A2DA6">
      <w:pPr>
        <w:jc w:val="center"/>
        <w:rPr>
          <w:rFonts w:ascii="Times New Roman" w:hAnsi="Times New Roman" w:cs="Times New Roman"/>
          <w:highlight w:val="none"/>
        </w:rPr>
      </w:pPr>
      <w:r>
        <w:rPr>
          <w:rFonts w:hint="default" w:ascii="Times New Roman" w:hAnsi="Times New Roman" w:cs="Times New Roman"/>
          <w:highlight w:val="none"/>
        </w:rPr>
        <w:t>Ⅷ</w:t>
      </w:r>
      <w:r>
        <w:rPr>
          <w:rFonts w:hint="eastAsia" w:ascii="Times New Roman" w:hAnsi="Times New Roman" w:cs="Times New Roman"/>
          <w:highlight w:val="none"/>
        </w:rPr>
        <w:t xml:space="preserve">  </w:t>
      </w:r>
      <w:r>
        <w:rPr>
          <w:rFonts w:ascii="Times New Roman" w:hAnsi="Times New Roman" w:cs="Times New Roman"/>
          <w:highlight w:val="none"/>
        </w:rPr>
        <w:t>其他监测</w:t>
      </w:r>
    </w:p>
    <w:p w14:paraId="5922119B">
      <w:pPr>
        <w:rPr>
          <w:rFonts w:hint="eastAsia" w:ascii="Times New Roman" w:hAnsi="Times New Roman" w:cs="Times New Roman"/>
          <w:color w:val="0000FF"/>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38</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孔隙水压力自动化监测宜采用孔隙水压力计结合</w:t>
      </w:r>
      <w:r>
        <w:rPr>
          <w:rFonts w:hint="eastAsia" w:ascii="Times New Roman" w:hAnsi="Times New Roman" w:cs="Times New Roman"/>
          <w:highlight w:val="none"/>
          <w:lang w:val="en-US" w:eastAsia="zh-CN"/>
        </w:rPr>
        <w:t>数据采集装置</w:t>
      </w:r>
      <w:r>
        <w:rPr>
          <w:rFonts w:ascii="Times New Roman" w:hAnsi="Times New Roman" w:cs="Times New Roman"/>
          <w:highlight w:val="none"/>
        </w:rPr>
        <w:t xml:space="preserve">进行量测。 </w:t>
      </w:r>
    </w:p>
    <w:p w14:paraId="0A930D55">
      <w:pPr>
        <w:rPr>
          <w:rFonts w:hint="eastAsia" w:ascii="Times New Roman" w:hAnsi="Times New Roman" w:cs="Times New Roman"/>
          <w:color w:val="0000FF"/>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39</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地下水位监测宜采用渗压计结合</w:t>
      </w:r>
      <w:r>
        <w:rPr>
          <w:rFonts w:hint="eastAsia" w:ascii="Times New Roman" w:hAnsi="Times New Roman" w:cs="Times New Roman"/>
          <w:highlight w:val="none"/>
          <w:lang w:val="en-US" w:eastAsia="zh-CN"/>
        </w:rPr>
        <w:t>数据采集装置</w:t>
      </w:r>
      <w:r>
        <w:rPr>
          <w:rFonts w:hint="eastAsia" w:ascii="Times New Roman" w:hAnsi="Times New Roman" w:cs="Times New Roman"/>
          <w:highlight w:val="none"/>
        </w:rPr>
        <w:t>进行量测。</w:t>
      </w:r>
    </w:p>
    <w:p w14:paraId="6AD98011">
      <w:pPr>
        <w:rPr>
          <w:rFonts w:ascii="Times New Roman" w:hAnsi="Times New Roman" w:cs="Times New Roman"/>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40</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传感器安装埋设应结合现场环境及监测对象特征，确定安装工艺，保证测量结果的可靠性。</w:t>
      </w:r>
    </w:p>
    <w:p w14:paraId="0E57A1A5">
      <w:pPr>
        <w:rPr>
          <w:rFonts w:hint="default" w:ascii="Times New Roman" w:hAnsi="Times New Roman" w:cs="Times New Roman" w:eastAsiaTheme="minorEastAsia"/>
          <w:highlight w:val="none"/>
          <w:lang w:val="en-US" w:eastAsia="zh-CN"/>
        </w:rPr>
      </w:pPr>
      <w:r>
        <w:rPr>
          <w:rFonts w:hint="eastAsia" w:ascii="Times New Roman" w:hAnsi="Times New Roman" w:cs="Times New Roman"/>
          <w:b/>
          <w:bCs/>
          <w:highlight w:val="none"/>
          <w:lang w:val="en-US" w:eastAsia="zh-CN"/>
        </w:rPr>
        <w:t>6. 3. 41</w:t>
      </w:r>
      <w:r>
        <w:rPr>
          <w:rFonts w:hint="eastAsia" w:ascii="Times New Roman" w:hAnsi="Times New Roman" w:cs="Times New Roman"/>
          <w:highlight w:val="none"/>
          <w:lang w:val="en-US" w:eastAsia="zh-CN"/>
        </w:rPr>
        <w:t xml:space="preserve">  降雨量监测要求。</w:t>
      </w:r>
    </w:p>
    <w:p w14:paraId="60A34F7F">
      <w:pPr>
        <w:jc w:val="both"/>
        <w:rPr>
          <w:rFonts w:hint="eastAsia" w:ascii="Times New Roman" w:hAnsi="Times New Roman" w:cs="Times New Roman"/>
          <w:b/>
          <w:bCs/>
          <w:color w:val="0000FF"/>
          <w:highlight w:val="none"/>
        </w:rPr>
      </w:pPr>
    </w:p>
    <w:p w14:paraId="33687B4C">
      <w:pPr>
        <w:jc w:val="both"/>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14:paraId="21A67CF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color w:val="0000FF"/>
          <w:highlight w:val="none"/>
        </w:rPr>
      </w:pPr>
      <w:r>
        <w:rPr>
          <w:rFonts w:hint="eastAsia" w:ascii="Times New Roman" w:hAnsi="Times New Roman" w:cs="Times New Roman"/>
          <w:color w:val="0000FF"/>
          <w:highlight w:val="none"/>
        </w:rPr>
        <w:t>结合监测点的基本概念，即监测点的布置应能反映监测对象的实际状态及其变化趋势，监测点应布置在监测对象受力及变形关键点和特征点上并应满足对监测对象的监控要求。传统人工监测时，由测量人员手持仪器对测点进行测量。而自动化监测方式，将测量仪器前置于现场，实时取得测量所需原始数据并上传</w:t>
      </w:r>
      <w:r>
        <w:rPr>
          <w:rFonts w:hint="eastAsia" w:ascii="Times New Roman" w:hAnsi="Times New Roman" w:cs="Times New Roman"/>
          <w:color w:val="0000FF"/>
          <w:highlight w:val="none"/>
          <w:lang w:val="en-US" w:eastAsia="zh-CN"/>
        </w:rPr>
        <w:t>至</w:t>
      </w:r>
      <w:r>
        <w:rPr>
          <w:rFonts w:hint="eastAsia" w:ascii="Times New Roman" w:hAnsi="Times New Roman" w:cs="Times New Roman"/>
          <w:color w:val="0000FF"/>
          <w:highlight w:val="none"/>
        </w:rPr>
        <w:t>软件平台在线解算并实时呈现和报表输出。</w:t>
      </w:r>
    </w:p>
    <w:p w14:paraId="4377DAE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color w:val="0000FF"/>
          <w:highlight w:val="none"/>
        </w:rPr>
      </w:pPr>
      <w:r>
        <w:rPr>
          <w:rFonts w:hint="eastAsia" w:ascii="Times New Roman" w:hAnsi="Times New Roman" w:cs="Times New Roman"/>
          <w:color w:val="0000FF"/>
          <w:highlight w:val="none"/>
        </w:rPr>
        <w:t>因此，传感器的安装首先应满足监测的基本概念要求，才能保证监测结果的可靠性。</w:t>
      </w:r>
    </w:p>
    <w:p w14:paraId="1BDCBE3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color w:val="0000FF"/>
          <w:highlight w:val="none"/>
        </w:rPr>
      </w:pPr>
    </w:p>
    <w:p w14:paraId="1EDA5DBE">
      <w:pPr>
        <w:jc w:val="center"/>
        <w:rPr>
          <w:rFonts w:ascii="Times New Roman" w:hAnsi="Times New Roman" w:cs="Times New Roman"/>
          <w:highlight w:val="none"/>
        </w:rPr>
      </w:pPr>
      <w:r>
        <w:rPr>
          <w:rFonts w:hint="default" w:ascii="Times New Roman" w:hAnsi="Times New Roman" w:cs="Times New Roman"/>
          <w:highlight w:val="none"/>
        </w:rPr>
        <w:t>Ⅸ</w:t>
      </w:r>
      <w:r>
        <w:rPr>
          <w:rFonts w:hint="eastAsia" w:ascii="Times New Roman" w:hAnsi="Times New Roman" w:cs="Times New Roman"/>
          <w:highlight w:val="none"/>
        </w:rPr>
        <w:t xml:space="preserve">  </w:t>
      </w:r>
      <w:r>
        <w:rPr>
          <w:rFonts w:ascii="Times New Roman" w:hAnsi="Times New Roman" w:cs="Times New Roman"/>
          <w:highlight w:val="none"/>
        </w:rPr>
        <w:t>比对测量</w:t>
      </w:r>
    </w:p>
    <w:p w14:paraId="178B297F">
      <w:pPr>
        <w:rPr>
          <w:rFonts w:hint="eastAsia" w:ascii="Times New Roman" w:hAnsi="Times New Roman" w:cs="Times New Roman"/>
          <w:b/>
          <w:bCs/>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41</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比对测量的方法、设备、精度应满足现行规范相关要求。</w:t>
      </w:r>
    </w:p>
    <w:p w14:paraId="4E365997">
      <w:pPr>
        <w:rPr>
          <w:rFonts w:hint="eastAsia" w:ascii="Times New Roman" w:hAnsi="Times New Roman" w:cs="Times New Roman"/>
          <w:b/>
          <w:bCs/>
          <w:color w:val="0000FF"/>
          <w:highlight w:val="none"/>
          <w:lang w:val="en-US" w:eastAsia="zh-CN"/>
        </w:rPr>
      </w:pPr>
    </w:p>
    <w:p w14:paraId="0596B8AF">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08B65ED5">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比对测量的方法，一般是采用成熟可靠的、满足现行规范要求的方法进行。</w:t>
      </w:r>
    </w:p>
    <w:p w14:paraId="579F8BEC">
      <w:pPr>
        <w:ind w:firstLine="480" w:firstLineChars="200"/>
        <w:rPr>
          <w:rFonts w:hint="eastAsia" w:ascii="Times New Roman" w:hAnsi="Times New Roman" w:cs="Times New Roman"/>
          <w:color w:val="0000FF"/>
          <w:highlight w:val="none"/>
          <w:lang w:val="en-US" w:eastAsia="zh-CN"/>
        </w:rPr>
      </w:pPr>
    </w:p>
    <w:p w14:paraId="20EC7BF3">
      <w:pPr>
        <w:rPr>
          <w:rFonts w:hint="eastAsia" w:ascii="Times New Roman" w:hAnsi="Times New Roman" w:cs="Times New Roman"/>
          <w:b/>
          <w:bCs/>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42</w:t>
      </w:r>
      <w:r>
        <w:rPr>
          <w:rFonts w:hint="eastAsia" w:ascii="Times New Roman" w:hAnsi="Times New Roman" w:cs="Times New Roman"/>
          <w:highlight w:val="none"/>
        </w:rPr>
        <w:t xml:space="preserve">  </w:t>
      </w:r>
      <w:r>
        <w:rPr>
          <w:rFonts w:hint="eastAsia" w:ascii="Times New Roman" w:hAnsi="Times New Roman" w:cs="Times New Roman"/>
          <w:highlight w:val="none"/>
          <w:lang w:val="en-US" w:eastAsia="zh-CN"/>
        </w:rPr>
        <w:t>比对测量可采用设备比对、方法比对及复测等方式进行。</w:t>
      </w:r>
    </w:p>
    <w:p w14:paraId="665692A0">
      <w:pPr>
        <w:rPr>
          <w:rFonts w:hint="eastAsia" w:ascii="Times New Roman" w:hAnsi="Times New Roman" w:cs="Times New Roman"/>
          <w:b/>
          <w:bCs/>
          <w:color w:val="0000FF"/>
          <w:highlight w:val="none"/>
          <w:lang w:val="en-US" w:eastAsia="zh-CN"/>
        </w:rPr>
      </w:pPr>
    </w:p>
    <w:p w14:paraId="6CB4703C">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7F2A7BAC">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设备比对、方法比对及复测都是比对测量的常用方法。</w:t>
      </w:r>
    </w:p>
    <w:p w14:paraId="62BAF494">
      <w:pPr>
        <w:ind w:firstLine="480" w:firstLineChars="200"/>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设备比对是指在相同的环境、相同的方法由相同的人员采用不同的仪器设备对同一参数进行的检测。</w:t>
      </w:r>
    </w:p>
    <w:p w14:paraId="08058B5C">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在实验室常用的比对方法中，方法比对是常用比对方法之一，是指在环境条件相同、相同的人员采用不同的检测方法对同一参数进行的检测。</w:t>
      </w:r>
    </w:p>
    <w:p w14:paraId="16741E88">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采用方法比对可以进行内部质量控制，判断检测所遵循的标准或者方法是否被严格的理解和执行，用以评价检测方法对试验检测结果准确性、稳定性和可靠性的影响。</w:t>
      </w:r>
    </w:p>
    <w:p w14:paraId="7035B8E4">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方法比对优先适用于以下情况：</w:t>
      </w:r>
    </w:p>
    <w:p w14:paraId="44A61E19">
      <w:pPr>
        <w:ind w:firstLine="480" w:firstLineChars="200"/>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1 </w:t>
      </w:r>
      <w:r>
        <w:rPr>
          <w:rFonts w:hint="eastAsia" w:ascii="Times New Roman" w:hAnsi="Times New Roman" w:cs="Times New Roman"/>
          <w:color w:val="0000FF"/>
          <w:highlight w:val="none"/>
          <w:lang w:val="en-US" w:eastAsia="zh-CN"/>
        </w:rPr>
        <w:t>刚实施的新标准或者新方法；</w:t>
      </w:r>
    </w:p>
    <w:p w14:paraId="7DE7BA80">
      <w:pPr>
        <w:ind w:firstLine="480" w:firstLineChars="200"/>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2 </w:t>
      </w:r>
      <w:r>
        <w:rPr>
          <w:rFonts w:hint="eastAsia" w:ascii="Times New Roman" w:hAnsi="Times New Roman" w:cs="Times New Roman"/>
          <w:color w:val="0000FF"/>
          <w:highlight w:val="none"/>
          <w:lang w:val="en-US" w:eastAsia="zh-CN"/>
        </w:rPr>
        <w:t>引进的新技术、新方法和研制的新方法；</w:t>
      </w:r>
    </w:p>
    <w:p w14:paraId="4CB434F2">
      <w:pPr>
        <w:ind w:firstLine="480" w:firstLineChars="200"/>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3 </w:t>
      </w:r>
      <w:r>
        <w:rPr>
          <w:rFonts w:hint="eastAsia" w:ascii="Times New Roman" w:hAnsi="Times New Roman" w:cs="Times New Roman"/>
          <w:color w:val="0000FF"/>
          <w:highlight w:val="none"/>
          <w:lang w:val="en-US" w:eastAsia="zh-CN"/>
        </w:rPr>
        <w:t>已有的具有多个检验标准或方法的项目。</w:t>
      </w:r>
    </w:p>
    <w:p w14:paraId="37B645CE">
      <w:pPr>
        <w:ind w:firstLine="480" w:firstLineChars="200"/>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复测是指在尽可能相同的环境条件下，采用相同的方法、相同的设备、由相同的人员对同一参数进行的重复测量。</w:t>
      </w:r>
    </w:p>
    <w:p w14:paraId="0EA3ED6B">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自动化监测方法作为近年来新监测手段，应预留传统可验证的人工方式进行比对的条件。以评价自动化监测方法对试验检测结果准确性、稳定性和可靠性。</w:t>
      </w:r>
    </w:p>
    <w:p w14:paraId="4265EBF5">
      <w:pPr>
        <w:ind w:firstLine="480" w:firstLineChars="200"/>
        <w:rPr>
          <w:rFonts w:hint="eastAsia" w:ascii="Times New Roman" w:hAnsi="Times New Roman" w:cs="Times New Roman"/>
          <w:color w:val="0000FF"/>
          <w:highlight w:val="none"/>
          <w:lang w:val="en-US" w:eastAsia="zh-CN"/>
        </w:rPr>
      </w:pPr>
    </w:p>
    <w:p w14:paraId="46301CC9">
      <w:pPr>
        <w:rPr>
          <w:rFonts w:hint="eastAsia" w:ascii="Times New Roman" w:hAnsi="Times New Roman" w:cs="Times New Roman" w:eastAsiaTheme="minorEastAsia"/>
          <w:highlight w:val="none"/>
          <w:lang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43</w:t>
      </w:r>
      <w:r>
        <w:rPr>
          <w:rFonts w:ascii="Times New Roman" w:hAnsi="Times New Roman" w:cs="Times New Roman"/>
          <w:b/>
          <w:bCs/>
          <w:highlight w:val="none"/>
        </w:rPr>
        <w:t xml:space="preserve"> </w:t>
      </w:r>
      <w:r>
        <w:rPr>
          <w:rFonts w:hint="eastAsia" w:ascii="Times New Roman" w:hAnsi="Times New Roman" w:cs="Times New Roman"/>
          <w:b/>
          <w:bCs/>
          <w:highlight w:val="none"/>
        </w:rPr>
        <w:t xml:space="preserve"> </w:t>
      </w:r>
      <w:r>
        <w:rPr>
          <w:rFonts w:ascii="Times New Roman" w:hAnsi="Times New Roman" w:cs="Times New Roman"/>
          <w:highlight w:val="none"/>
        </w:rPr>
        <w:t>采用比对测量的各监测项目宜符合下列规定</w:t>
      </w:r>
      <w:r>
        <w:rPr>
          <w:rFonts w:hint="eastAsia" w:ascii="Times New Roman" w:hAnsi="Times New Roman" w:cs="Times New Roman"/>
          <w:highlight w:val="none"/>
          <w:lang w:eastAsia="zh-CN"/>
        </w:rPr>
        <w:t>：</w:t>
      </w:r>
    </w:p>
    <w:p w14:paraId="79703F0A">
      <w:pPr>
        <w:ind w:firstLine="482" w:firstLineChars="200"/>
        <w:rPr>
          <w:rFonts w:ascii="Times New Roman" w:hAnsi="Times New Roman" w:cs="Times New Roman"/>
          <w:highlight w:val="none"/>
        </w:rPr>
      </w:pPr>
      <w:r>
        <w:rPr>
          <w:rFonts w:ascii="Times New Roman" w:hAnsi="Times New Roman" w:cs="Times New Roman"/>
          <w:b/>
          <w:bCs/>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水平位移宜使用全站仪进行比对测量</w:t>
      </w:r>
      <w:r>
        <w:rPr>
          <w:rFonts w:hint="eastAsia" w:ascii="Times New Roman" w:hAnsi="Times New Roman" w:cs="Times New Roman"/>
          <w:highlight w:val="none"/>
        </w:rPr>
        <w:t>；</w:t>
      </w:r>
    </w:p>
    <w:p w14:paraId="7F1ED0AA">
      <w:pPr>
        <w:ind w:firstLine="482" w:firstLineChars="200"/>
        <w:rPr>
          <w:rFonts w:ascii="Times New Roman" w:hAnsi="Times New Roman" w:cs="Times New Roman"/>
          <w:highlight w:val="none"/>
        </w:rPr>
      </w:pPr>
      <w:r>
        <w:rPr>
          <w:rFonts w:ascii="Times New Roman" w:hAnsi="Times New Roman" w:cs="Times New Roman"/>
          <w:b/>
          <w:bCs/>
          <w:highlight w:val="none"/>
        </w:rPr>
        <w:t>2</w:t>
      </w:r>
      <w:r>
        <w:rPr>
          <w:rFonts w:hint="eastAsia" w:ascii="Times New Roman" w:hAnsi="Times New Roman" w:cs="Times New Roman"/>
          <w:highlight w:val="none"/>
        </w:rPr>
        <w:t xml:space="preserve">  </w:t>
      </w:r>
      <w:r>
        <w:rPr>
          <w:rFonts w:ascii="Times New Roman" w:hAnsi="Times New Roman" w:cs="Times New Roman"/>
          <w:highlight w:val="none"/>
        </w:rPr>
        <w:t>竖向位移宜使用水准仪进行比对测量</w:t>
      </w:r>
      <w:r>
        <w:rPr>
          <w:rFonts w:hint="eastAsia" w:ascii="Times New Roman" w:hAnsi="Times New Roman" w:cs="Times New Roman"/>
          <w:highlight w:val="none"/>
        </w:rPr>
        <w:t>；</w:t>
      </w:r>
    </w:p>
    <w:p w14:paraId="37A5DAB3">
      <w:pPr>
        <w:ind w:firstLine="482" w:firstLineChars="200"/>
        <w:rPr>
          <w:rFonts w:ascii="Times New Roman" w:hAnsi="Times New Roman" w:cs="Times New Roman"/>
          <w:highlight w:val="none"/>
        </w:rPr>
      </w:pPr>
      <w:r>
        <w:rPr>
          <w:rFonts w:ascii="Times New Roman" w:hAnsi="Times New Roman" w:cs="Times New Roman"/>
          <w:b/>
          <w:bCs/>
          <w:highlight w:val="none"/>
        </w:rPr>
        <w:t>3</w:t>
      </w:r>
      <w:r>
        <w:rPr>
          <w:rFonts w:hint="eastAsia" w:ascii="Times New Roman" w:hAnsi="Times New Roman" w:cs="Times New Roman"/>
          <w:highlight w:val="none"/>
        </w:rPr>
        <w:t xml:space="preserve">  </w:t>
      </w:r>
      <w:r>
        <w:rPr>
          <w:rFonts w:ascii="Times New Roman" w:hAnsi="Times New Roman" w:cs="Times New Roman"/>
          <w:highlight w:val="none"/>
        </w:rPr>
        <w:t>倾斜宜使用全站仪或水准仪进行比对测量</w:t>
      </w:r>
      <w:r>
        <w:rPr>
          <w:rFonts w:hint="eastAsia" w:ascii="Times New Roman" w:hAnsi="Times New Roman" w:cs="Times New Roman"/>
          <w:highlight w:val="none"/>
        </w:rPr>
        <w:t>；</w:t>
      </w:r>
    </w:p>
    <w:p w14:paraId="633B2104">
      <w:pPr>
        <w:ind w:firstLine="482" w:firstLineChars="200"/>
        <w:rPr>
          <w:rFonts w:ascii="Times New Roman" w:hAnsi="Times New Roman" w:cs="Times New Roman"/>
          <w:highlight w:val="none"/>
        </w:rPr>
      </w:pPr>
      <w:r>
        <w:rPr>
          <w:rFonts w:ascii="Times New Roman" w:hAnsi="Times New Roman" w:cs="Times New Roman"/>
          <w:b/>
          <w:bCs/>
          <w:highlight w:val="none"/>
        </w:rPr>
        <w:t>4</w:t>
      </w:r>
      <w:r>
        <w:rPr>
          <w:rFonts w:hint="eastAsia" w:ascii="Times New Roman" w:hAnsi="Times New Roman" w:cs="Times New Roman"/>
          <w:highlight w:val="none"/>
        </w:rPr>
        <w:t xml:space="preserve">  </w:t>
      </w:r>
      <w:r>
        <w:rPr>
          <w:rFonts w:ascii="Times New Roman" w:hAnsi="Times New Roman" w:cs="Times New Roman"/>
          <w:highlight w:val="none"/>
        </w:rPr>
        <w:t>地下水位宜使用钢尺水位计进行比对测量</w:t>
      </w:r>
      <w:r>
        <w:rPr>
          <w:rFonts w:hint="eastAsia" w:ascii="Times New Roman" w:hAnsi="Times New Roman" w:cs="Times New Roman"/>
          <w:highlight w:val="none"/>
        </w:rPr>
        <w:t>；</w:t>
      </w:r>
    </w:p>
    <w:p w14:paraId="495412CD">
      <w:pPr>
        <w:ind w:firstLine="482" w:firstLineChars="200"/>
        <w:rPr>
          <w:rFonts w:ascii="Times New Roman" w:hAnsi="Times New Roman" w:cs="Times New Roman"/>
          <w:highlight w:val="none"/>
        </w:rPr>
      </w:pPr>
      <w:r>
        <w:rPr>
          <w:rFonts w:ascii="Times New Roman" w:hAnsi="Times New Roman" w:cs="Times New Roman"/>
          <w:b/>
          <w:bCs/>
          <w:highlight w:val="none"/>
        </w:rPr>
        <w:t>5</w:t>
      </w:r>
      <w:r>
        <w:rPr>
          <w:rFonts w:hint="eastAsia" w:ascii="Times New Roman" w:hAnsi="Times New Roman" w:cs="Times New Roman"/>
          <w:highlight w:val="none"/>
        </w:rPr>
        <w:t xml:space="preserve">  </w:t>
      </w:r>
      <w:r>
        <w:rPr>
          <w:rFonts w:ascii="Times New Roman" w:hAnsi="Times New Roman" w:cs="Times New Roman"/>
          <w:highlight w:val="none"/>
        </w:rPr>
        <w:t>裂缝宜使用游标卡尺、</w:t>
      </w:r>
      <w:r>
        <w:rPr>
          <w:rFonts w:hint="eastAsia" w:ascii="Times New Roman" w:hAnsi="Times New Roman" w:cs="Times New Roman"/>
          <w:highlight w:val="none"/>
        </w:rPr>
        <w:t>裂缝测宽仪</w:t>
      </w:r>
      <w:r>
        <w:rPr>
          <w:rFonts w:ascii="Times New Roman" w:hAnsi="Times New Roman" w:cs="Times New Roman"/>
          <w:highlight w:val="none"/>
        </w:rPr>
        <w:t>进行比对测量</w:t>
      </w:r>
      <w:r>
        <w:rPr>
          <w:rFonts w:hint="eastAsia" w:ascii="Times New Roman" w:hAnsi="Times New Roman" w:cs="Times New Roman"/>
          <w:highlight w:val="none"/>
        </w:rPr>
        <w:t>；</w:t>
      </w:r>
    </w:p>
    <w:p w14:paraId="4887F75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b/>
          <w:bCs/>
          <w:highlight w:val="none"/>
        </w:rPr>
        <w:t>6</w:t>
      </w:r>
      <w:r>
        <w:rPr>
          <w:rFonts w:hint="eastAsia" w:ascii="Times New Roman" w:hAnsi="Times New Roman" w:cs="Times New Roman"/>
          <w:highlight w:val="none"/>
        </w:rPr>
        <w:t xml:space="preserve">  </w:t>
      </w:r>
      <w:r>
        <w:rPr>
          <w:rFonts w:ascii="Times New Roman" w:hAnsi="Times New Roman" w:cs="Times New Roman"/>
          <w:highlight w:val="none"/>
        </w:rPr>
        <w:t>深层水平位移宜使用</w:t>
      </w:r>
      <w:r>
        <w:rPr>
          <w:rFonts w:hint="eastAsia" w:ascii="Times New Roman" w:hAnsi="Times New Roman" w:cs="Times New Roman"/>
          <w:highlight w:val="none"/>
          <w:lang w:val="en-US" w:eastAsia="zh-CN"/>
        </w:rPr>
        <w:t>坡面水平位移监测</w:t>
      </w:r>
      <w:r>
        <w:rPr>
          <w:rFonts w:ascii="Times New Roman" w:hAnsi="Times New Roman" w:cs="Times New Roman"/>
          <w:highlight w:val="none"/>
        </w:rPr>
        <w:t>进行比对测量</w:t>
      </w:r>
      <w:r>
        <w:rPr>
          <w:rFonts w:hint="eastAsia" w:ascii="Times New Roman" w:hAnsi="Times New Roman" w:cs="Times New Roman"/>
          <w:highlight w:val="none"/>
          <w:lang w:eastAsia="zh-CN"/>
        </w:rPr>
        <w:t>。</w:t>
      </w:r>
    </w:p>
    <w:p w14:paraId="6E105C53">
      <w:pPr>
        <w:rPr>
          <w:rFonts w:hint="eastAsia" w:ascii="Times New Roman" w:hAnsi="Times New Roman" w:cs="Times New Roman"/>
          <w:color w:val="0000FF"/>
          <w:highlight w:val="none"/>
          <w:lang w:val="en-US" w:eastAsia="zh-CN"/>
        </w:rPr>
      </w:pPr>
    </w:p>
    <w:p w14:paraId="04D84C1B">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2B315AF1">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本条对各监测项目比对测量方法进行了建议，可根据实际需要进行采用，或者采用其他更为合理的方法。</w:t>
      </w:r>
    </w:p>
    <w:p w14:paraId="35A3B9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rPr>
      </w:pPr>
      <w:r>
        <w:rPr>
          <w:rFonts w:hint="eastAsia" w:ascii="Times New Roman" w:hAnsi="Times New Roman" w:cs="Times New Roman"/>
          <w:color w:val="0000FF"/>
          <w:highlight w:val="none"/>
          <w:lang w:val="en-US" w:eastAsia="zh-CN"/>
        </w:rPr>
        <w:t>其中因深层水平位移监测的特殊性，如果埋设多一条测斜管，则增加较大成本且实际工作中易受破坏，难以保证比对测量条件。建议以建筑边坡坡面水平位移情况进行比对测量，比较经济可行。</w:t>
      </w:r>
    </w:p>
    <w:p w14:paraId="26CCF920">
      <w:pPr>
        <w:rPr>
          <w:rFonts w:hint="eastAsia" w:ascii="Times New Roman" w:hAnsi="Times New Roman" w:cs="Times New Roman"/>
          <w:b/>
          <w:bCs/>
          <w:highlight w:val="none"/>
        </w:rPr>
      </w:pPr>
    </w:p>
    <w:p w14:paraId="44DA33FD">
      <w:pPr>
        <w:rPr>
          <w:rFonts w:ascii="Times New Roman" w:hAnsi="Times New Roman" w:cs="Times New Roman"/>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44</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比对测量应定期实施并应符合下列规定</w:t>
      </w:r>
      <w:r>
        <w:rPr>
          <w:rFonts w:hint="eastAsia" w:ascii="Times New Roman" w:hAnsi="Times New Roman" w:cs="Times New Roman"/>
          <w:highlight w:val="none"/>
        </w:rPr>
        <w:t>：</w:t>
      </w:r>
    </w:p>
    <w:p w14:paraId="4CE57602">
      <w:pPr>
        <w:ind w:firstLine="482" w:firstLineChars="200"/>
        <w:rPr>
          <w:rFonts w:ascii="Times New Roman" w:hAnsi="Times New Roman" w:cs="Times New Roman"/>
          <w:highlight w:val="none"/>
        </w:rPr>
      </w:pPr>
      <w:r>
        <w:rPr>
          <w:rFonts w:ascii="Times New Roman" w:hAnsi="Times New Roman" w:cs="Times New Roman"/>
          <w:b/>
          <w:bCs/>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比对测量周期应视</w:t>
      </w:r>
      <w:r>
        <w:rPr>
          <w:rFonts w:hint="eastAsia" w:ascii="Times New Roman" w:hAnsi="Times New Roman" w:cs="Times New Roman"/>
          <w:highlight w:val="none"/>
        </w:rPr>
        <w:t>建筑边坡</w:t>
      </w:r>
      <w:r>
        <w:rPr>
          <w:rFonts w:ascii="Times New Roman" w:hAnsi="Times New Roman" w:cs="Times New Roman"/>
          <w:highlight w:val="none"/>
        </w:rPr>
        <w:t>支护结构安全等级和周边环境风险等级情况确定，在监测过程中宜 1</w:t>
      </w:r>
      <w:r>
        <w:rPr>
          <w:rFonts w:hint="eastAsia" w:ascii="Times New Roman" w:hAnsi="Times New Roman" w:cs="Times New Roman"/>
          <w:highlight w:val="none"/>
        </w:rPr>
        <w:t>~</w:t>
      </w:r>
      <w:r>
        <w:rPr>
          <w:rFonts w:ascii="Times New Roman" w:hAnsi="Times New Roman" w:cs="Times New Roman"/>
          <w:highlight w:val="none"/>
        </w:rPr>
        <w:t>2月1次</w:t>
      </w:r>
      <w:r>
        <w:rPr>
          <w:rFonts w:hint="eastAsia" w:ascii="Times New Roman" w:hAnsi="Times New Roman" w:cs="Times New Roman"/>
          <w:highlight w:val="none"/>
        </w:rPr>
        <w:t>；</w:t>
      </w:r>
    </w:p>
    <w:p w14:paraId="04B5B9F0">
      <w:pPr>
        <w:ind w:firstLine="482" w:firstLineChars="200"/>
        <w:rPr>
          <w:rFonts w:ascii="Times New Roman" w:hAnsi="Times New Roman" w:cs="Times New Roman"/>
          <w:highlight w:val="none"/>
        </w:rPr>
      </w:pPr>
      <w:r>
        <w:rPr>
          <w:rFonts w:ascii="Times New Roman" w:hAnsi="Times New Roman" w:cs="Times New Roman"/>
          <w:b/>
          <w:bCs/>
          <w:highlight w:val="none"/>
        </w:rPr>
        <w:t>2</w:t>
      </w:r>
      <w:r>
        <w:rPr>
          <w:rFonts w:hint="eastAsia" w:ascii="Times New Roman" w:hAnsi="Times New Roman" w:cs="Times New Roman"/>
          <w:highlight w:val="none"/>
        </w:rPr>
        <w:t xml:space="preserve">  </w:t>
      </w:r>
      <w:r>
        <w:rPr>
          <w:rFonts w:ascii="Times New Roman" w:hAnsi="Times New Roman" w:cs="Times New Roman"/>
          <w:highlight w:val="none"/>
        </w:rPr>
        <w:t>当检查发现传感器有可能变动或监测结果异常时，应立即进行</w:t>
      </w:r>
      <w:r>
        <w:rPr>
          <w:rFonts w:hint="eastAsia" w:ascii="Times New Roman" w:hAnsi="Times New Roman" w:cs="Times New Roman"/>
          <w:highlight w:val="none"/>
        </w:rPr>
        <w:t>；</w:t>
      </w:r>
    </w:p>
    <w:p w14:paraId="2BDF9C58">
      <w:pPr>
        <w:ind w:firstLine="482" w:firstLineChars="200"/>
        <w:rPr>
          <w:rFonts w:hint="eastAsia" w:ascii="Times New Roman" w:hAnsi="Times New Roman" w:cs="Times New Roman"/>
          <w:b/>
          <w:bCs/>
          <w:highlight w:val="none"/>
        </w:rPr>
      </w:pPr>
      <w:r>
        <w:rPr>
          <w:rFonts w:ascii="Times New Roman" w:hAnsi="Times New Roman" w:cs="Times New Roman"/>
          <w:b/>
          <w:bCs/>
          <w:highlight w:val="none"/>
        </w:rPr>
        <w:t>3</w:t>
      </w:r>
      <w:r>
        <w:rPr>
          <w:rFonts w:hint="eastAsia" w:ascii="Times New Roman" w:hAnsi="Times New Roman" w:cs="Times New Roman"/>
          <w:highlight w:val="none"/>
        </w:rPr>
        <w:t xml:space="preserve">  </w:t>
      </w:r>
      <w:r>
        <w:rPr>
          <w:rFonts w:ascii="Times New Roman" w:hAnsi="Times New Roman" w:cs="Times New Roman"/>
          <w:highlight w:val="none"/>
        </w:rPr>
        <w:t>重要施工节点或特殊施工方法实施时，宜进行比对测量。</w:t>
      </w:r>
    </w:p>
    <w:p w14:paraId="7A272277">
      <w:pPr>
        <w:rPr>
          <w:rFonts w:hint="eastAsia" w:ascii="Times New Roman" w:hAnsi="Times New Roman" w:cs="Times New Roman"/>
          <w:color w:val="0000FF"/>
          <w:highlight w:val="none"/>
          <w:lang w:val="en-US" w:eastAsia="zh-CN"/>
        </w:rPr>
      </w:pPr>
    </w:p>
    <w:p w14:paraId="72505038">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4A375E67">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本条第1点规定了常规条件下的比对测量的周期；</w:t>
      </w:r>
    </w:p>
    <w:p w14:paraId="2A99D44D">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本条第2点规定了实际工作中需要立即进行比对测量的情形；</w:t>
      </w:r>
    </w:p>
    <w:p w14:paraId="1F0FEA56">
      <w:pPr>
        <w:ind w:firstLine="480" w:firstLineChars="200"/>
        <w:rPr>
          <w:rFonts w:hint="eastAsia" w:ascii="Times New Roman" w:hAnsi="Times New Roman" w:cs="Times New Roman"/>
          <w:b/>
          <w:bCs/>
          <w:highlight w:val="none"/>
        </w:rPr>
      </w:pPr>
      <w:r>
        <w:rPr>
          <w:rFonts w:hint="eastAsia" w:ascii="Times New Roman" w:hAnsi="Times New Roman" w:cs="Times New Roman"/>
          <w:color w:val="0000FF"/>
          <w:highlight w:val="none"/>
          <w:lang w:val="en-US" w:eastAsia="zh-CN"/>
        </w:rPr>
        <w:t>本条第3点建议类其他应进行比对测量的情形。重要施工节点一般指的是建筑边坡刷坡施工阶段等，特殊施工方法是指注浆、爆破等。</w:t>
      </w:r>
    </w:p>
    <w:p w14:paraId="3C180C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00" w:themeColor="text1"/>
          <w:highlight w:val="none"/>
          <w14:textFill>
            <w14:solidFill>
              <w14:schemeClr w14:val="tx1"/>
            </w14:solidFill>
          </w14:textFill>
        </w:rPr>
      </w:pPr>
    </w:p>
    <w:p w14:paraId="085DED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00" w:themeColor="text1"/>
          <w:highlight w:val="none"/>
          <w14:textFill>
            <w14:solidFill>
              <w14:schemeClr w14:val="tx1"/>
            </w14:solidFill>
          </w14:textFill>
        </w:rPr>
      </w:pPr>
    </w:p>
    <w:p w14:paraId="11F927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57489EFB">
      <w:pPr>
        <w:pStyle w:val="2"/>
        <w:bidi w:val="0"/>
        <w:rPr>
          <w:rFonts w:hint="eastAsia"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4DE6008F">
      <w:pPr>
        <w:pStyle w:val="2"/>
        <w:bidi w:val="0"/>
        <w:rPr>
          <w:rFonts w:hint="eastAsia" w:ascii="Times New Roman" w:hAnsi="Times New Roman" w:cs="Times New Roman"/>
          <w:highlight w:val="none"/>
          <w:lang w:val="en-US" w:eastAsia="zh-CN"/>
        </w:rPr>
      </w:pPr>
      <w:bookmarkStart w:id="93" w:name="_Toc23231"/>
      <w:bookmarkStart w:id="94" w:name="_Toc18463"/>
      <w:bookmarkStart w:id="95" w:name="_Toc1768"/>
      <w:bookmarkStart w:id="96" w:name="_Toc12969"/>
      <w:bookmarkStart w:id="97" w:name="_Toc17580"/>
      <w:bookmarkStart w:id="98" w:name="_Toc30222"/>
      <w:bookmarkStart w:id="99" w:name="_Toc7464"/>
      <w:r>
        <w:rPr>
          <w:rFonts w:hint="eastAsia" w:ascii="Times New Roman" w:hAnsi="Times New Roman" w:cs="Times New Roman"/>
          <w:highlight w:val="none"/>
          <w:lang w:val="en-US" w:eastAsia="zh-CN"/>
        </w:rPr>
        <w:t>7 监测期限及频率</w:t>
      </w:r>
      <w:bookmarkEnd w:id="93"/>
      <w:bookmarkEnd w:id="94"/>
      <w:bookmarkEnd w:id="95"/>
      <w:bookmarkEnd w:id="96"/>
      <w:bookmarkEnd w:id="97"/>
      <w:bookmarkEnd w:id="98"/>
      <w:bookmarkEnd w:id="99"/>
    </w:p>
    <w:p w14:paraId="28700BAD">
      <w:pPr>
        <w:pStyle w:val="3"/>
        <w:bidi w:val="0"/>
        <w:rPr>
          <w:rFonts w:hint="eastAsia" w:ascii="Times New Roman" w:hAnsi="Times New Roman" w:cs="Times New Roman"/>
          <w:highlight w:val="none"/>
          <w:lang w:val="en-US" w:eastAsia="zh-CN"/>
        </w:rPr>
      </w:pPr>
      <w:bookmarkStart w:id="100" w:name="_Toc1842"/>
      <w:bookmarkStart w:id="101" w:name="_Toc1315"/>
      <w:bookmarkStart w:id="102" w:name="_Toc30371"/>
      <w:bookmarkStart w:id="103" w:name="_Toc20346"/>
      <w:bookmarkStart w:id="104" w:name="_Toc19678"/>
      <w:bookmarkStart w:id="105" w:name="_Toc11262"/>
      <w:bookmarkStart w:id="106" w:name="_Toc9613"/>
      <w:r>
        <w:rPr>
          <w:rFonts w:hint="eastAsia" w:ascii="Times New Roman" w:hAnsi="Times New Roman" w:cs="Times New Roman"/>
          <w:highlight w:val="none"/>
          <w:lang w:val="en-US" w:eastAsia="zh-CN"/>
        </w:rPr>
        <w:t>7.1 一般规定</w:t>
      </w:r>
      <w:bookmarkEnd w:id="100"/>
      <w:bookmarkEnd w:id="101"/>
      <w:bookmarkEnd w:id="102"/>
      <w:bookmarkEnd w:id="103"/>
      <w:bookmarkEnd w:id="104"/>
      <w:bookmarkEnd w:id="105"/>
      <w:bookmarkEnd w:id="106"/>
    </w:p>
    <w:p w14:paraId="20263BCA">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7. 1. 1</w:t>
      </w:r>
      <w:r>
        <w:rPr>
          <w:rFonts w:hint="eastAsia" w:ascii="Times New Roman" w:hAnsi="Times New Roman" w:cs="Times New Roman"/>
          <w:highlight w:val="none"/>
          <w:lang w:val="en-US" w:eastAsia="zh-CN"/>
        </w:rPr>
        <w:t xml:space="preserve">  建筑边坡监测工作应贯穿边坡工程施工（修筑阶段、停工阶段）、运营阶段（稳定前、稳定后）全过程。</w:t>
      </w:r>
    </w:p>
    <w:p w14:paraId="599A09A1">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7. 1. 2</w:t>
      </w:r>
      <w:r>
        <w:rPr>
          <w:rFonts w:hint="eastAsia" w:ascii="Times New Roman" w:hAnsi="Times New Roman" w:cs="Times New Roman"/>
          <w:highlight w:val="none"/>
          <w:lang w:val="en-US" w:eastAsia="zh-CN"/>
        </w:rPr>
        <w:t xml:space="preserve">  建筑边坡监测频率应能及时、系统地反映边坡及支护结构、周边环境的动态变化过程。</w:t>
      </w:r>
    </w:p>
    <w:p w14:paraId="3275A445">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7. 1. 3  </w:t>
      </w:r>
      <w:r>
        <w:rPr>
          <w:rFonts w:hint="eastAsia" w:ascii="Times New Roman" w:hAnsi="Times New Roman" w:cs="Times New Roman"/>
          <w:highlight w:val="none"/>
          <w:lang w:val="en-US" w:eastAsia="zh-CN"/>
        </w:rPr>
        <w:t>监测频率可根据设计要求、边坡稳定性、周边环境、天气和施工进程等因素进行动态调整。</w:t>
      </w:r>
    </w:p>
    <w:p w14:paraId="07F12068">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7. 1. 4</w:t>
      </w:r>
      <w:r>
        <w:rPr>
          <w:rFonts w:hint="eastAsia" w:ascii="Times New Roman" w:hAnsi="Times New Roman" w:cs="Times New Roman"/>
          <w:highlight w:val="none"/>
          <w:lang w:val="en-US" w:eastAsia="zh-CN"/>
        </w:rPr>
        <w:t xml:space="preserve">  当最后100d的最大变形速率小于0.01mm/d~0.04mm/d或所有测点连续3期变形量都小于测量极限误差时，可认为边坡达到变形稳定状态。</w:t>
      </w:r>
    </w:p>
    <w:p w14:paraId="0E439FE3">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7. 1. 5</w:t>
      </w:r>
      <w:r>
        <w:rPr>
          <w:rFonts w:hint="eastAsia" w:ascii="Times New Roman" w:hAnsi="Times New Roman" w:cs="Times New Roman"/>
          <w:highlight w:val="none"/>
          <w:lang w:val="en-US" w:eastAsia="zh-CN"/>
        </w:rPr>
        <w:t xml:space="preserve">  自动化和人工监测协同应用的工程项目，在自动化监测数据连续、边坡监测数据稳定情况下，可适当降低人工监测频率。</w:t>
      </w:r>
    </w:p>
    <w:p w14:paraId="3AD6E931">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6B236BFC">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若深层水平位移、水位、内力监测项目自动化测点数量分别达到该监测项目总测点数的30%、70%、70%以上且自动化监测数据连续、边坡监测数据稳定情况下，可将人工监测频率降低至常规监测频率的60%~80%。</w:t>
      </w:r>
    </w:p>
    <w:p w14:paraId="311B0B82">
      <w:pPr>
        <w:pStyle w:val="3"/>
        <w:shd w:val="clear"/>
        <w:bidi w:val="0"/>
        <w:rPr>
          <w:rFonts w:hint="default" w:ascii="Times New Roman" w:hAnsi="Times New Roman" w:cs="Times New Roman"/>
          <w:highlight w:val="none"/>
          <w:lang w:val="en-US" w:eastAsia="zh-CN"/>
        </w:rPr>
      </w:pPr>
      <w:bookmarkStart w:id="107" w:name="_Toc3567"/>
      <w:bookmarkStart w:id="108" w:name="_Toc8848"/>
      <w:bookmarkStart w:id="109" w:name="_Toc16828"/>
      <w:bookmarkStart w:id="110" w:name="_Toc16501"/>
      <w:bookmarkStart w:id="111" w:name="_Toc1548"/>
      <w:bookmarkStart w:id="112" w:name="_Toc18898"/>
      <w:bookmarkStart w:id="113" w:name="_Toc2118"/>
      <w:r>
        <w:rPr>
          <w:rFonts w:hint="eastAsia" w:ascii="Times New Roman" w:hAnsi="Times New Roman" w:cs="Times New Roman"/>
          <w:highlight w:val="none"/>
          <w:shd w:val="clear"/>
          <w:lang w:val="en-US" w:eastAsia="zh-CN"/>
        </w:rPr>
        <w:t>7.2 监测期限</w:t>
      </w:r>
      <w:bookmarkEnd w:id="107"/>
      <w:bookmarkEnd w:id="108"/>
      <w:bookmarkEnd w:id="109"/>
      <w:bookmarkEnd w:id="110"/>
      <w:bookmarkEnd w:id="111"/>
      <w:bookmarkEnd w:id="112"/>
      <w:bookmarkEnd w:id="113"/>
    </w:p>
    <w:p w14:paraId="4D95AC9A">
      <w:pPr>
        <w:rPr>
          <w:rFonts w:hint="eastAsia" w:ascii="Times New Roman" w:hAnsi="Times New Roman" w:cs="Times New Roman" w:eastAsiaTheme="minorEastAsia"/>
          <w:highlight w:val="none"/>
          <w:lang w:val="en-US" w:eastAsia="zh-CN"/>
        </w:rPr>
      </w:pPr>
      <w:r>
        <w:rPr>
          <w:rFonts w:hint="eastAsia" w:ascii="Times New Roman" w:hAnsi="Times New Roman" w:cs="Times New Roman"/>
          <w:b/>
          <w:bCs/>
          <w:highlight w:val="none"/>
          <w:lang w:val="en-US" w:eastAsia="zh-CN"/>
        </w:rPr>
        <w:t>7. 2. 1</w:t>
      </w:r>
      <w:r>
        <w:rPr>
          <w:rFonts w:hint="eastAsia" w:ascii="Times New Roman" w:hAnsi="Times New Roman" w:cs="Times New Roman"/>
          <w:highlight w:val="none"/>
          <w:lang w:val="en-US" w:eastAsia="zh-CN"/>
        </w:rPr>
        <w:t xml:space="preserve">  施工阶段边坡监测应贯穿施工全过程，运营阶段不应</w:t>
      </w:r>
      <w:r>
        <w:rPr>
          <w:rFonts w:hint="eastAsia" w:ascii="Times New Roman" w:hAnsi="Times New Roman" w:cs="Times New Roman"/>
          <w:highlight w:val="none"/>
        </w:rPr>
        <w:t>少于边坡使用年限</w:t>
      </w:r>
      <w:r>
        <w:rPr>
          <w:rFonts w:hint="eastAsia" w:ascii="Times New Roman" w:hAnsi="Times New Roman" w:cs="Times New Roman"/>
          <w:highlight w:val="none"/>
          <w:lang w:eastAsia="zh-CN"/>
        </w:rPr>
        <w:t>。</w:t>
      </w:r>
    </w:p>
    <w:p w14:paraId="6B635D76">
      <w:pPr>
        <w:rPr>
          <w:rFonts w:hint="eastAsia" w:ascii="Times New Roman" w:hAnsi="Times New Roman" w:cs="Times New Roman"/>
          <w:b/>
          <w:bCs/>
          <w:highlight w:val="none"/>
          <w:lang w:val="en-US" w:eastAsia="zh-CN"/>
        </w:rPr>
      </w:pPr>
    </w:p>
    <w:p w14:paraId="7A95E50C">
      <w:pPr>
        <w:pStyle w:val="3"/>
        <w:bidi w:val="0"/>
        <w:rPr>
          <w:rFonts w:hint="eastAsia" w:ascii="Times New Roman" w:hAnsi="Times New Roman" w:cs="Times New Roman"/>
          <w:highlight w:val="none"/>
          <w:lang w:val="en-US" w:eastAsia="zh-CN"/>
        </w:rPr>
      </w:pPr>
      <w:bookmarkStart w:id="114" w:name="_Toc2207"/>
      <w:bookmarkStart w:id="115" w:name="_Toc13252"/>
      <w:bookmarkStart w:id="116" w:name="_Toc2316"/>
      <w:bookmarkStart w:id="117" w:name="_Toc29241"/>
      <w:bookmarkStart w:id="118" w:name="_Toc6114"/>
      <w:bookmarkStart w:id="119" w:name="_Toc15949"/>
      <w:bookmarkStart w:id="120" w:name="_Toc28961"/>
      <w:r>
        <w:rPr>
          <w:rFonts w:hint="eastAsia" w:ascii="Times New Roman" w:hAnsi="Times New Roman" w:cs="Times New Roman"/>
          <w:highlight w:val="none"/>
          <w:lang w:val="en-US" w:eastAsia="zh-CN"/>
        </w:rPr>
        <w:t>7.3 监测频率</w:t>
      </w:r>
      <w:bookmarkEnd w:id="114"/>
      <w:bookmarkEnd w:id="115"/>
      <w:bookmarkEnd w:id="116"/>
      <w:bookmarkEnd w:id="117"/>
      <w:bookmarkEnd w:id="118"/>
      <w:bookmarkEnd w:id="119"/>
      <w:bookmarkEnd w:id="120"/>
    </w:p>
    <w:p w14:paraId="39C16411">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7. 3. 1</w:t>
      </w:r>
      <w:r>
        <w:rPr>
          <w:rFonts w:hint="eastAsia" w:ascii="Times New Roman" w:hAnsi="Times New Roman" w:cs="Times New Roman"/>
          <w:highlight w:val="none"/>
          <w:lang w:val="en-US" w:eastAsia="zh-CN"/>
        </w:rPr>
        <w:t xml:space="preserve">  建筑边坡监测频率：</w:t>
      </w:r>
    </w:p>
    <w:p w14:paraId="5E1C467A">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应综合考虑监测等级、施工阶段、周边环境、自然条件变化和当地经验确定；</w:t>
      </w:r>
    </w:p>
    <w:p w14:paraId="072C83E9">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在无数据异常和事故征兆的情况下，一级边坡应测项目监测频率可按表7.3.1确定。</w:t>
      </w:r>
    </w:p>
    <w:p w14:paraId="61A76E42">
      <w:pPr>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表7.3.1 一级边坡监测频率</w:t>
      </w:r>
    </w:p>
    <w:tbl>
      <w:tblPr>
        <w:tblStyle w:val="11"/>
        <w:tblW w:w="8239"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891"/>
        <w:gridCol w:w="4458"/>
      </w:tblGrid>
      <w:tr w14:paraId="7BFD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781" w:type="dxa"/>
            <w:gridSpan w:val="2"/>
            <w:noWrap w:val="0"/>
            <w:vAlign w:val="center"/>
          </w:tcPr>
          <w:p w14:paraId="7528481A">
            <w:pPr>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阶段</w:t>
            </w:r>
          </w:p>
        </w:tc>
        <w:tc>
          <w:tcPr>
            <w:tcW w:w="4458" w:type="dxa"/>
            <w:noWrap w:val="0"/>
            <w:vAlign w:val="center"/>
          </w:tcPr>
          <w:p w14:paraId="1549B683">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监测频率</w:t>
            </w:r>
          </w:p>
        </w:tc>
      </w:tr>
      <w:tr w14:paraId="153E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90" w:type="dxa"/>
            <w:vMerge w:val="restart"/>
            <w:noWrap w:val="0"/>
            <w:vAlign w:val="center"/>
          </w:tcPr>
          <w:p w14:paraId="3ED501FF">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施工期</w:t>
            </w:r>
          </w:p>
        </w:tc>
        <w:tc>
          <w:tcPr>
            <w:tcW w:w="1891" w:type="dxa"/>
            <w:noWrap w:val="0"/>
            <w:vAlign w:val="center"/>
          </w:tcPr>
          <w:p w14:paraId="0F7C8351">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边坡施工阶段</w:t>
            </w:r>
          </w:p>
        </w:tc>
        <w:tc>
          <w:tcPr>
            <w:tcW w:w="4458" w:type="dxa"/>
            <w:noWrap w:val="0"/>
            <w:vAlign w:val="center"/>
          </w:tcPr>
          <w:p w14:paraId="64E09052">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1次/1-3d</w:t>
            </w:r>
          </w:p>
        </w:tc>
      </w:tr>
      <w:tr w14:paraId="537D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90" w:type="dxa"/>
            <w:vMerge w:val="continue"/>
            <w:noWrap w:val="0"/>
            <w:vAlign w:val="center"/>
          </w:tcPr>
          <w:p w14:paraId="3E8DFA5F">
            <w:pPr>
              <w:jc w:val="center"/>
              <w:rPr>
                <w:rFonts w:hint="default" w:ascii="Times New Roman" w:hAnsi="Times New Roman" w:cs="Times New Roman"/>
                <w:sz w:val="21"/>
                <w:szCs w:val="21"/>
                <w:highlight w:val="none"/>
                <w:lang w:val="en-US" w:eastAsia="zh-CN"/>
              </w:rPr>
            </w:pPr>
          </w:p>
        </w:tc>
        <w:tc>
          <w:tcPr>
            <w:tcW w:w="1891" w:type="dxa"/>
            <w:noWrap w:val="0"/>
            <w:vAlign w:val="center"/>
          </w:tcPr>
          <w:p w14:paraId="78A584F3">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施工停工阶段</w:t>
            </w:r>
          </w:p>
        </w:tc>
        <w:tc>
          <w:tcPr>
            <w:tcW w:w="4458" w:type="dxa"/>
            <w:noWrap w:val="0"/>
            <w:vAlign w:val="center"/>
          </w:tcPr>
          <w:p w14:paraId="4EC48581">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1次/7d</w:t>
            </w:r>
          </w:p>
        </w:tc>
      </w:tr>
      <w:tr w14:paraId="1AC4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90" w:type="dxa"/>
            <w:vMerge w:val="restart"/>
            <w:noWrap w:val="0"/>
            <w:vAlign w:val="center"/>
          </w:tcPr>
          <w:p w14:paraId="36CE972E">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运营期</w:t>
            </w:r>
          </w:p>
        </w:tc>
        <w:tc>
          <w:tcPr>
            <w:tcW w:w="1891" w:type="dxa"/>
            <w:noWrap w:val="0"/>
            <w:vAlign w:val="center"/>
          </w:tcPr>
          <w:p w14:paraId="3B53B848">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边坡变形稳定前</w:t>
            </w:r>
          </w:p>
        </w:tc>
        <w:tc>
          <w:tcPr>
            <w:tcW w:w="4458" w:type="dxa"/>
            <w:noWrap w:val="0"/>
            <w:vAlign w:val="center"/>
          </w:tcPr>
          <w:p w14:paraId="2FD43374">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1次/1月</w:t>
            </w:r>
          </w:p>
        </w:tc>
      </w:tr>
      <w:tr w14:paraId="7791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90" w:type="dxa"/>
            <w:vMerge w:val="continue"/>
            <w:noWrap w:val="0"/>
            <w:vAlign w:val="center"/>
          </w:tcPr>
          <w:p w14:paraId="09C71097">
            <w:pPr>
              <w:jc w:val="center"/>
              <w:rPr>
                <w:rFonts w:hint="default" w:ascii="Times New Roman" w:hAnsi="Times New Roman" w:cs="Times New Roman"/>
                <w:sz w:val="21"/>
                <w:szCs w:val="21"/>
                <w:highlight w:val="none"/>
                <w:lang w:val="en-US" w:eastAsia="zh-CN"/>
              </w:rPr>
            </w:pPr>
          </w:p>
        </w:tc>
        <w:tc>
          <w:tcPr>
            <w:tcW w:w="1891" w:type="dxa"/>
            <w:noWrap w:val="0"/>
            <w:vAlign w:val="center"/>
          </w:tcPr>
          <w:p w14:paraId="25CD9223">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边坡变形稳定后</w:t>
            </w:r>
          </w:p>
        </w:tc>
        <w:tc>
          <w:tcPr>
            <w:tcW w:w="4458" w:type="dxa"/>
            <w:noWrap w:val="0"/>
            <w:vAlign w:val="center"/>
          </w:tcPr>
          <w:p w14:paraId="77C384C3">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1次/3月</w:t>
            </w:r>
          </w:p>
        </w:tc>
      </w:tr>
    </w:tbl>
    <w:p w14:paraId="468A24EC">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注：1 二、三级边坡监测频率可根据实际工程特点进行适当调整；</w:t>
      </w:r>
    </w:p>
    <w:p w14:paraId="0FE5A599">
      <w:pPr>
        <w:ind w:firstLine="480"/>
        <w:rPr>
          <w:rFonts w:hint="eastAsia" w:ascii="Times New Roman" w:hAnsi="Times New Roman" w:cs="Times New Roman" w:eastAsiaTheme="minorEastAsia"/>
          <w:color w:val="000000"/>
          <w:spacing w:val="0"/>
          <w:w w:val="100"/>
          <w:position w:val="0"/>
          <w:sz w:val="24"/>
          <w:szCs w:val="24"/>
          <w:highlight w:val="none"/>
          <w:lang w:eastAsia="zh-CN"/>
        </w:rPr>
      </w:pPr>
      <w:r>
        <w:rPr>
          <w:rFonts w:hint="eastAsia" w:ascii="Times New Roman" w:hAnsi="Times New Roman" w:cs="Times New Roman"/>
          <w:highlight w:val="none"/>
          <w:lang w:val="en-US" w:eastAsia="zh-CN"/>
        </w:rPr>
        <w:t xml:space="preserve">2 </w:t>
      </w:r>
      <w:r>
        <w:rPr>
          <w:rFonts w:ascii="Times New Roman" w:hAnsi="Times New Roman" w:cs="Times New Roman"/>
          <w:color w:val="000000"/>
          <w:spacing w:val="0"/>
          <w:w w:val="100"/>
          <w:position w:val="0"/>
          <w:sz w:val="24"/>
          <w:szCs w:val="24"/>
          <w:highlight w:val="none"/>
        </w:rPr>
        <w:t>施工前的</w:t>
      </w:r>
      <w:r>
        <w:rPr>
          <w:rFonts w:hint="eastAsia" w:ascii="Times New Roman" w:hAnsi="Times New Roman" w:cs="Times New Roman"/>
          <w:color w:val="000000"/>
          <w:spacing w:val="0"/>
          <w:w w:val="100"/>
          <w:position w:val="0"/>
          <w:sz w:val="24"/>
          <w:szCs w:val="24"/>
          <w:highlight w:val="none"/>
          <w:lang w:val="en-US" w:eastAsia="zh-CN"/>
        </w:rPr>
        <w:t>监测</w:t>
      </w:r>
      <w:r>
        <w:rPr>
          <w:rFonts w:ascii="Times New Roman" w:hAnsi="Times New Roman" w:cs="Times New Roman"/>
          <w:color w:val="000000"/>
          <w:spacing w:val="0"/>
          <w:w w:val="100"/>
          <w:position w:val="0"/>
          <w:sz w:val="24"/>
          <w:szCs w:val="24"/>
          <w:highlight w:val="none"/>
        </w:rPr>
        <w:t>频率视情况而定</w:t>
      </w:r>
      <w:r>
        <w:rPr>
          <w:rFonts w:hint="eastAsia" w:ascii="Times New Roman" w:hAnsi="Times New Roman" w:cs="Times New Roman"/>
          <w:color w:val="000000"/>
          <w:spacing w:val="0"/>
          <w:w w:val="100"/>
          <w:position w:val="0"/>
          <w:sz w:val="24"/>
          <w:szCs w:val="24"/>
          <w:highlight w:val="none"/>
          <w:lang w:eastAsia="zh-CN"/>
        </w:rPr>
        <w:t>；</w:t>
      </w:r>
    </w:p>
    <w:p w14:paraId="36BCD234">
      <w:pPr>
        <w:ind w:firstLine="480"/>
        <w:rPr>
          <w:rFonts w:hint="eastAsia" w:ascii="Times New Roman" w:hAnsi="Times New Roman" w:cs="Times New Roman"/>
          <w:color w:val="000000"/>
          <w:spacing w:val="0"/>
          <w:w w:val="100"/>
          <w:position w:val="0"/>
          <w:sz w:val="24"/>
          <w:szCs w:val="24"/>
          <w:highlight w:val="none"/>
          <w:lang w:eastAsia="zh-CN"/>
        </w:rPr>
      </w:pPr>
      <w:r>
        <w:rPr>
          <w:rFonts w:hint="eastAsia" w:ascii="Times New Roman" w:hAnsi="Times New Roman" w:cs="Times New Roman"/>
          <w:color w:val="000000"/>
          <w:spacing w:val="0"/>
          <w:w w:val="100"/>
          <w:position w:val="0"/>
          <w:sz w:val="24"/>
          <w:szCs w:val="24"/>
          <w:highlight w:val="none"/>
          <w:lang w:val="en-US" w:eastAsia="zh-CN"/>
        </w:rPr>
        <w:t xml:space="preserve">3 </w:t>
      </w:r>
      <w:r>
        <w:rPr>
          <w:rFonts w:ascii="Times New Roman" w:hAnsi="Times New Roman" w:cs="Times New Roman"/>
          <w:color w:val="000000"/>
          <w:spacing w:val="0"/>
          <w:w w:val="100"/>
          <w:position w:val="0"/>
          <w:sz w:val="24"/>
          <w:szCs w:val="24"/>
          <w:highlight w:val="none"/>
        </w:rPr>
        <w:t>宜测、可测项</w:t>
      </w:r>
      <w:r>
        <w:rPr>
          <w:rFonts w:ascii="Times New Roman" w:hAnsi="Times New Roman" w:cs="Times New Roman"/>
          <w:color w:val="000000"/>
          <w:spacing w:val="0"/>
          <w:w w:val="100"/>
          <w:position w:val="0"/>
          <w:sz w:val="24"/>
          <w:szCs w:val="24"/>
          <w:highlight w:val="none"/>
          <w:lang w:val="zh-CN" w:eastAsia="zh-CN" w:bidi="zh-CN"/>
        </w:rPr>
        <w:t>目的</w:t>
      </w:r>
      <w:r>
        <w:rPr>
          <w:rFonts w:ascii="Times New Roman" w:hAnsi="Times New Roman" w:cs="Times New Roman"/>
          <w:color w:val="000000"/>
          <w:spacing w:val="0"/>
          <w:w w:val="100"/>
          <w:position w:val="0"/>
          <w:sz w:val="24"/>
          <w:szCs w:val="24"/>
          <w:highlight w:val="none"/>
        </w:rPr>
        <w:t>监测频率可视具体情况适当降低</w:t>
      </w:r>
      <w:r>
        <w:rPr>
          <w:rFonts w:hint="eastAsia" w:ascii="Times New Roman" w:hAnsi="Times New Roman" w:cs="Times New Roman"/>
          <w:color w:val="000000"/>
          <w:spacing w:val="0"/>
          <w:w w:val="100"/>
          <w:position w:val="0"/>
          <w:sz w:val="24"/>
          <w:szCs w:val="24"/>
          <w:highlight w:val="none"/>
          <w:lang w:eastAsia="zh-CN"/>
        </w:rPr>
        <w:t>；</w:t>
      </w:r>
    </w:p>
    <w:p w14:paraId="6CE40D38">
      <w:pPr>
        <w:ind w:firstLine="480"/>
        <w:rPr>
          <w:rFonts w:hint="eastAsia" w:ascii="Times New Roman" w:hAnsi="Times New Roman" w:cs="Times New Roman"/>
          <w:color w:val="000000"/>
          <w:spacing w:val="0"/>
          <w:w w:val="100"/>
          <w:position w:val="0"/>
          <w:sz w:val="24"/>
          <w:szCs w:val="24"/>
          <w:highlight w:val="none"/>
          <w:lang w:eastAsia="zh-CN"/>
        </w:rPr>
      </w:pPr>
      <w:r>
        <w:rPr>
          <w:rFonts w:hint="eastAsia" w:ascii="Times New Roman" w:hAnsi="Times New Roman" w:cs="Times New Roman"/>
          <w:color w:val="000000"/>
          <w:spacing w:val="0"/>
          <w:w w:val="100"/>
          <w:position w:val="0"/>
          <w:sz w:val="24"/>
          <w:szCs w:val="24"/>
          <w:highlight w:val="none"/>
          <w:lang w:val="en-US" w:eastAsia="zh-CN"/>
        </w:rPr>
        <w:t xml:space="preserve">4 </w:t>
      </w:r>
      <w:r>
        <w:rPr>
          <w:rFonts w:ascii="Times New Roman" w:hAnsi="Times New Roman" w:cs="Times New Roman"/>
          <w:color w:val="000000"/>
          <w:spacing w:val="0"/>
          <w:w w:val="100"/>
          <w:position w:val="0"/>
          <w:sz w:val="24"/>
          <w:szCs w:val="24"/>
          <w:highlight w:val="none"/>
        </w:rPr>
        <w:t>刚建成的边坡适当加密监测</w:t>
      </w:r>
      <w:r>
        <w:rPr>
          <w:rFonts w:hint="eastAsia" w:ascii="Times New Roman" w:hAnsi="Times New Roman" w:cs="Times New Roman"/>
          <w:color w:val="000000"/>
          <w:spacing w:val="0"/>
          <w:w w:val="100"/>
          <w:position w:val="0"/>
          <w:sz w:val="24"/>
          <w:szCs w:val="24"/>
          <w:highlight w:val="none"/>
          <w:lang w:eastAsia="zh-CN"/>
        </w:rPr>
        <w:t>；</w:t>
      </w:r>
    </w:p>
    <w:p w14:paraId="4826455E">
      <w:pPr>
        <w:ind w:firstLine="480" w:firstLineChars="200"/>
        <w:rPr>
          <w:rFonts w:hint="eastAsia" w:ascii="Times New Roman" w:hAnsi="Times New Roman" w:cs="Times New Roman"/>
          <w:highlight w:val="none"/>
          <w:lang w:val="en-US" w:eastAsia="zh-CN"/>
        </w:rPr>
      </w:pPr>
      <w:r>
        <w:rPr>
          <w:rFonts w:hint="eastAsia" w:ascii="Times New Roman" w:hAnsi="Times New Roman" w:cs="Times New Roman"/>
          <w:b w:val="0"/>
          <w:bCs w:val="0"/>
          <w:highlight w:val="none"/>
          <w:lang w:val="en-US" w:eastAsia="zh-CN"/>
        </w:rPr>
        <w:t>5</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highlight w:val="none"/>
          <w:lang w:val="en-US" w:eastAsia="zh-CN"/>
        </w:rPr>
        <w:t>当监测数据异常、天气异常、施工工况改变等可能导致边坡险情的情况出现时，应加强监测；</w:t>
      </w:r>
    </w:p>
    <w:p w14:paraId="024DCF86">
      <w:pPr>
        <w:ind w:firstLine="48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6 当监测对象相对稳定时，可适当降低监测频率；</w:t>
      </w:r>
    </w:p>
    <w:p w14:paraId="5CD593AC">
      <w:pPr>
        <w:ind w:firstLine="480" w:firstLineChars="2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7 对于需要监测的孤石、危岩等对象，监测频率应加强。</w:t>
      </w:r>
    </w:p>
    <w:p w14:paraId="3F8FC217">
      <w:pPr>
        <w:shd w:val="clear"/>
        <w:rPr>
          <w:rFonts w:hint="default" w:ascii="Times New Roman" w:hAnsi="Times New Roman" w:cs="Times New Roman"/>
          <w:color w:val="0000FF"/>
          <w:spacing w:val="0"/>
          <w:w w:val="100"/>
          <w:position w:val="0"/>
          <w:sz w:val="24"/>
          <w:szCs w:val="24"/>
          <w:highlight w:val="none"/>
          <w:lang w:val="en-US" w:eastAsia="zh-CN"/>
        </w:rPr>
      </w:pPr>
      <w:r>
        <w:rPr>
          <w:rFonts w:hint="eastAsia" w:ascii="Times New Roman" w:hAnsi="Times New Roman" w:cs="Times New Roman"/>
          <w:b/>
          <w:bCs/>
          <w:color w:val="auto"/>
          <w:spacing w:val="0"/>
          <w:w w:val="100"/>
          <w:position w:val="0"/>
          <w:sz w:val="24"/>
          <w:szCs w:val="24"/>
          <w:highlight w:val="none"/>
          <w:lang w:val="en-US" w:eastAsia="zh-CN"/>
        </w:rPr>
        <w:t>7. 3. 2</w:t>
      </w:r>
      <w:r>
        <w:rPr>
          <w:rFonts w:hint="eastAsia" w:ascii="Times New Roman" w:hAnsi="Times New Roman" w:cs="Times New Roman"/>
          <w:color w:val="0000FF"/>
          <w:spacing w:val="0"/>
          <w:w w:val="100"/>
          <w:position w:val="0"/>
          <w:sz w:val="24"/>
          <w:szCs w:val="24"/>
          <w:highlight w:val="none"/>
          <w:lang w:val="en-US" w:eastAsia="zh-CN"/>
        </w:rPr>
        <w:t xml:space="preserve">  </w:t>
      </w:r>
      <w:r>
        <w:rPr>
          <w:rFonts w:hint="eastAsia" w:ascii="Times New Roman" w:hAnsi="Times New Roman" w:cs="Times New Roman"/>
          <w:color w:val="auto"/>
          <w:spacing w:val="0"/>
          <w:w w:val="100"/>
          <w:position w:val="0"/>
          <w:sz w:val="24"/>
          <w:szCs w:val="24"/>
          <w:highlight w:val="none"/>
          <w:lang w:val="en-US" w:eastAsia="zh-CN"/>
        </w:rPr>
        <w:t>自动化监测频率不宜低于一天两次。</w:t>
      </w:r>
    </w:p>
    <w:p w14:paraId="478F5E08">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7. 3. 3 </w:t>
      </w:r>
      <w:r>
        <w:rPr>
          <w:rFonts w:hint="eastAsia" w:ascii="Times New Roman" w:hAnsi="Times New Roman" w:cs="Times New Roman"/>
          <w:highlight w:val="none"/>
          <w:lang w:val="en-US" w:eastAsia="zh-CN"/>
        </w:rPr>
        <w:t xml:space="preserve"> 当出现下列情况之一时，应提高监测频率并立即进行连续监测，直至监测数据趋于稳定。</w:t>
      </w:r>
    </w:p>
    <w:p w14:paraId="50F1C941">
      <w:pPr>
        <w:ind w:firstLine="482" w:firstLineChars="200"/>
        <w:rPr>
          <w:rFonts w:hint="eastAsia" w:ascii="Times New Roman" w:hAnsi="Times New Roman" w:cs="Times New Roman"/>
          <w:highlight w:val="none"/>
          <w:lang w:val="en-US" w:eastAsia="zh-CN"/>
        </w:rPr>
      </w:pPr>
      <w:r>
        <w:rPr>
          <w:rFonts w:hint="default" w:ascii="Times New Roman" w:hAnsi="Times New Roman" w:cs="Times New Roman"/>
          <w:b/>
          <w:bCs/>
          <w:highlight w:val="none"/>
          <w:lang w:val="en-US" w:eastAsia="zh-CN"/>
        </w:rPr>
        <w:t>1</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val="0"/>
          <w:bCs w:val="0"/>
          <w:highlight w:val="none"/>
          <w:lang w:val="en-US" w:eastAsia="zh-CN"/>
        </w:rPr>
        <w:t>监测</w:t>
      </w:r>
      <w:r>
        <w:rPr>
          <w:rFonts w:hint="default" w:ascii="Times New Roman" w:hAnsi="Times New Roman" w:cs="Times New Roman"/>
          <w:highlight w:val="none"/>
          <w:lang w:val="en-US" w:eastAsia="zh-CN"/>
        </w:rPr>
        <w:t>数据累计变化量或变化速率达到预警</w:t>
      </w:r>
      <w:r>
        <w:rPr>
          <w:rFonts w:hint="eastAsia" w:ascii="Times New Roman" w:hAnsi="Times New Roman" w:cs="Times New Roman"/>
          <w:highlight w:val="none"/>
          <w:lang w:val="en-US" w:eastAsia="zh-CN"/>
        </w:rPr>
        <w:t>值；</w:t>
      </w:r>
    </w:p>
    <w:p w14:paraId="4CB970EB">
      <w:pPr>
        <w:ind w:firstLine="482" w:firstLineChars="20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b w:val="0"/>
          <w:bCs w:val="0"/>
          <w:highlight w:val="none"/>
          <w:lang w:val="en-US" w:eastAsia="zh-CN"/>
        </w:rPr>
        <w:t xml:space="preserve">  监测数据变化较快或者速率加快；</w:t>
      </w:r>
    </w:p>
    <w:p w14:paraId="577F0440">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b w:val="0"/>
          <w:bCs w:val="0"/>
          <w:highlight w:val="none"/>
          <w:lang w:val="en-US" w:eastAsia="zh-CN"/>
        </w:rPr>
        <w:t xml:space="preserve">  存在勘察未查明的不良地质条件，可能影响工程安全；</w:t>
      </w:r>
    </w:p>
    <w:p w14:paraId="623F765F">
      <w:pPr>
        <w:ind w:firstLine="482" w:firstLineChars="20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4</w:t>
      </w:r>
      <w:r>
        <w:rPr>
          <w:rFonts w:hint="eastAsia" w:ascii="Times New Roman" w:hAnsi="Times New Roman" w:cs="Times New Roman"/>
          <w:b w:val="0"/>
          <w:bCs w:val="0"/>
          <w:highlight w:val="none"/>
          <w:lang w:val="en-US" w:eastAsia="zh-CN"/>
        </w:rPr>
        <w:t xml:space="preserve">  支挡结构出现开裂；</w:t>
      </w:r>
    </w:p>
    <w:p w14:paraId="317B25EC">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b w:val="0"/>
          <w:bCs w:val="0"/>
          <w:highlight w:val="none"/>
          <w:lang w:val="en-US" w:eastAsia="zh-CN"/>
        </w:rPr>
        <w:t xml:space="preserve">  周边地面突发较大沉降、隆起、滑移或出现严重开裂；</w:t>
      </w:r>
    </w:p>
    <w:p w14:paraId="21BF5C4D">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w:t>
      </w:r>
      <w:r>
        <w:rPr>
          <w:rFonts w:hint="eastAsia" w:ascii="Times New Roman" w:hAnsi="Times New Roman" w:cs="Times New Roman"/>
          <w:b w:val="0"/>
          <w:bCs w:val="0"/>
          <w:highlight w:val="none"/>
          <w:lang w:val="en-US" w:eastAsia="zh-CN"/>
        </w:rPr>
        <w:t xml:space="preserve">  邻近建筑出现突发较大沉降、不均匀沉降或出现严重开裂；</w:t>
      </w:r>
    </w:p>
    <w:p w14:paraId="1466BE62">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7</w:t>
      </w:r>
      <w:r>
        <w:rPr>
          <w:rFonts w:hint="eastAsia" w:ascii="Times New Roman" w:hAnsi="Times New Roman" w:cs="Times New Roman"/>
          <w:b w:val="0"/>
          <w:bCs w:val="0"/>
          <w:highlight w:val="none"/>
          <w:lang w:val="en-US" w:eastAsia="zh-CN"/>
        </w:rPr>
        <w:t xml:space="preserve">  边坡面出现管涌、渗漏或流沙等现象；</w:t>
      </w:r>
    </w:p>
    <w:p w14:paraId="6858DBBC">
      <w:pPr>
        <w:ind w:firstLine="482" w:firstLineChars="20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8</w:t>
      </w:r>
      <w:r>
        <w:rPr>
          <w:rFonts w:hint="eastAsia" w:ascii="Times New Roman" w:hAnsi="Times New Roman" w:cs="Times New Roman"/>
          <w:b w:val="0"/>
          <w:bCs w:val="0"/>
          <w:highlight w:val="none"/>
          <w:lang w:val="en-US" w:eastAsia="zh-CN"/>
        </w:rPr>
        <w:t xml:space="preserve">  边坡工程发生事故后重新组织施工；</w:t>
      </w:r>
    </w:p>
    <w:p w14:paraId="5ED8E3A3">
      <w:pPr>
        <w:ind w:firstLine="482" w:firstLineChars="20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9</w:t>
      </w:r>
      <w:r>
        <w:rPr>
          <w:rFonts w:hint="eastAsia" w:ascii="Times New Roman" w:hAnsi="Times New Roman" w:cs="Times New Roman"/>
          <w:b w:val="0"/>
          <w:bCs w:val="0"/>
          <w:highlight w:val="none"/>
          <w:lang w:val="en-US" w:eastAsia="zh-CN"/>
        </w:rPr>
        <w:t xml:space="preserve">  出现其他影响边坡及周边环境安全的异常情况。</w:t>
      </w:r>
    </w:p>
    <w:p w14:paraId="5372439A">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7. 3. 4</w:t>
      </w:r>
      <w:r>
        <w:rPr>
          <w:rFonts w:hint="eastAsia" w:ascii="Times New Roman" w:hAnsi="Times New Roman" w:cs="Times New Roman"/>
          <w:highlight w:val="none"/>
          <w:lang w:val="en-US" w:eastAsia="zh-CN"/>
        </w:rPr>
        <w:t xml:space="preserve">  当出现可能危及工程和周边环境安全征兆时，应实时跟踪监测。</w:t>
      </w:r>
    </w:p>
    <w:p w14:paraId="183D9269">
      <w:pPr>
        <w:rPr>
          <w:rFonts w:hint="eastAsia"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1245DF48">
      <w:pPr>
        <w:pStyle w:val="2"/>
        <w:bidi w:val="0"/>
        <w:rPr>
          <w:rFonts w:hint="default" w:ascii="Times New Roman" w:hAnsi="Times New Roman" w:cs="Times New Roman"/>
          <w:highlight w:val="none"/>
          <w:lang w:val="en-US" w:eastAsia="zh-CN"/>
        </w:rPr>
      </w:pPr>
      <w:bookmarkStart w:id="121" w:name="_Toc21475"/>
      <w:bookmarkStart w:id="122" w:name="_Toc31718"/>
      <w:bookmarkStart w:id="123" w:name="_Toc12547"/>
      <w:bookmarkStart w:id="124" w:name="_Toc6221"/>
      <w:bookmarkStart w:id="125" w:name="_Toc1607"/>
      <w:bookmarkStart w:id="126" w:name="_Toc12341"/>
      <w:bookmarkStart w:id="127" w:name="_Toc14938"/>
      <w:r>
        <w:rPr>
          <w:rFonts w:hint="eastAsia" w:ascii="Times New Roman" w:hAnsi="Times New Roman" w:cs="Times New Roman"/>
          <w:highlight w:val="none"/>
          <w:lang w:val="en-US" w:eastAsia="zh-CN"/>
        </w:rPr>
        <w:t>8 监测预警值</w:t>
      </w:r>
      <w:bookmarkEnd w:id="121"/>
      <w:bookmarkEnd w:id="122"/>
      <w:bookmarkEnd w:id="123"/>
      <w:bookmarkEnd w:id="124"/>
      <w:bookmarkEnd w:id="125"/>
      <w:bookmarkEnd w:id="126"/>
      <w:bookmarkEnd w:id="127"/>
    </w:p>
    <w:p w14:paraId="28702164">
      <w:pPr>
        <w:numPr>
          <w:ilvl w:val="0"/>
          <w:numId w:val="0"/>
        </w:num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8. 0. 1</w:t>
      </w:r>
      <w:r>
        <w:rPr>
          <w:rFonts w:hint="eastAsia" w:ascii="Times New Roman" w:hAnsi="Times New Roman" w:cs="Times New Roman"/>
          <w:highlight w:val="none"/>
          <w:lang w:val="en-US" w:eastAsia="zh-CN"/>
        </w:rPr>
        <w:t xml:space="preserve">  建筑边坡工程监测必须确定监测预警值，监测预警值应满足设计以及周边环境中被保护对象的控制要求。监测预警值应由设计单位确定。</w:t>
      </w:r>
    </w:p>
    <w:p w14:paraId="391C4850">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6BB3F1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 w:val="0"/>
          <w:bCs w:val="0"/>
          <w:color w:val="0000FF"/>
          <w:highlight w:val="none"/>
          <w:lang w:val="en-US" w:eastAsia="zh-CN"/>
        </w:rPr>
      </w:pPr>
      <w:r>
        <w:rPr>
          <w:rFonts w:hint="eastAsia" w:ascii="Times New Roman" w:hAnsi="Times New Roman" w:cs="Times New Roman"/>
          <w:b w:val="0"/>
          <w:bCs w:val="0"/>
          <w:color w:val="0000FF"/>
          <w:highlight w:val="none"/>
          <w:lang w:val="en-US" w:eastAsia="zh-CN"/>
        </w:rPr>
        <w:t>边坡监测保证边坡安全的最后一道防线，通过监测数据对预期数据的对比，可对可能出现的危险提前预警，采取相应预防措施。但设计单位并不会时刻关注监测数据的变化情况，为通过监测数据实现对边坡安全状态的初步预判，设计单位应根据设计计算结果、周边环境中被保护对象的控制要求确定监测预警值，在施工开始前提供给监测方。</w:t>
      </w:r>
    </w:p>
    <w:p w14:paraId="7D4CBB9E">
      <w:pPr>
        <w:widowControl w:val="0"/>
        <w:numPr>
          <w:ilvl w:val="0"/>
          <w:numId w:val="0"/>
        </w:numPr>
        <w:spacing w:line="360" w:lineRule="auto"/>
        <w:jc w:val="both"/>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8. 0. 2</w:t>
      </w:r>
      <w:r>
        <w:rPr>
          <w:rFonts w:hint="eastAsia" w:ascii="Times New Roman" w:hAnsi="Times New Roman" w:cs="Times New Roman"/>
          <w:highlight w:val="none"/>
          <w:lang w:val="en-US" w:eastAsia="zh-CN"/>
        </w:rPr>
        <w:t xml:space="preserve">  预警值应由累计变化量和变化速率共同控制。</w:t>
      </w:r>
    </w:p>
    <w:p w14:paraId="2BBC9CB6">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2C3B73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0000FF"/>
          <w:highlight w:val="none"/>
          <w:lang w:val="en-US" w:eastAsia="zh-CN"/>
        </w:rPr>
      </w:pPr>
      <w:r>
        <w:rPr>
          <w:rFonts w:hint="eastAsia" w:ascii="Times New Roman" w:hAnsi="Times New Roman" w:cs="Times New Roman"/>
          <w:b w:val="0"/>
          <w:bCs w:val="0"/>
          <w:color w:val="0000FF"/>
          <w:highlight w:val="none"/>
          <w:lang w:val="en-US" w:eastAsia="zh-CN"/>
        </w:rPr>
        <w:t>边坡工程监测预警不但要控制监测项目的累计变化量，还要注意控制其变化速率。边坡工程工作状态一般分为正常、异常和危险三种情况。异常是指监测对象受力或变形呈现出不符合一般规律的状态。危险是指监测对象的受力或变形呈现出低于结构安全储备、可能发生破坏的状态。累计变化量反映的是监测对象即时状态与危险状态的关系，而变化速率反映的是监测对象发展变化的快慢。过大的变化速率往往是突发事故的先兆。例如，对支护结构变形的监测数据进行分析时，应把位移的大小和位移速率结合起来分析，考察其发展趋势，如果累计变化量不大，但发展很快，说明情况异常，边坡的安全正受到严重威胁。因此在确定监测预警值时应同时给出变化速率和累计变化量，当监测数据超过其中之一时，监测人员应及时预警。有关各方应及时分析原因，判断监测对象的工作状态并采取相应措施。</w:t>
      </w:r>
    </w:p>
    <w:p w14:paraId="002DBB03">
      <w:pPr>
        <w:widowControl w:val="0"/>
        <w:numPr>
          <w:ilvl w:val="0"/>
          <w:numId w:val="0"/>
        </w:numPr>
        <w:spacing w:line="360" w:lineRule="auto"/>
        <w:jc w:val="both"/>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8. 0. 3</w:t>
      </w:r>
      <w:r>
        <w:rPr>
          <w:rFonts w:hint="eastAsia" w:ascii="Times New Roman" w:hAnsi="Times New Roman" w:cs="Times New Roman"/>
          <w:highlight w:val="none"/>
          <w:lang w:val="en-US" w:eastAsia="zh-CN"/>
        </w:rPr>
        <w:t xml:space="preserve">  预警值应根据土质特征、设计结果及当地经验等因素确定；当无当地经验时，可根据土质特征、设计结果以及表8.0.3确定。</w:t>
      </w:r>
    </w:p>
    <w:p w14:paraId="46717BDB">
      <w:pPr>
        <w:widowControl w:val="0"/>
        <w:numPr>
          <w:ilvl w:val="0"/>
          <w:numId w:val="0"/>
        </w:numPr>
        <w:spacing w:line="360" w:lineRule="auto"/>
        <w:jc w:val="both"/>
        <w:rPr>
          <w:rFonts w:hint="default"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5070439D">
      <w:pPr>
        <w:widowControl w:val="0"/>
        <w:numPr>
          <w:ilvl w:val="0"/>
          <w:numId w:val="0"/>
        </w:numPr>
        <w:spacing w:line="360" w:lineRule="auto"/>
        <w:jc w:val="center"/>
        <w:rPr>
          <w:rFonts w:hint="default" w:ascii="Times New Roman" w:hAnsi="Times New Roman" w:cs="Times New Roman"/>
          <w:highlight w:val="none"/>
          <w:shd w:val="clear"/>
          <w:lang w:val="en-US" w:eastAsia="zh-CN"/>
        </w:rPr>
      </w:pPr>
      <w:r>
        <w:rPr>
          <w:rFonts w:hint="eastAsia" w:ascii="Times New Roman" w:hAnsi="Times New Roman" w:cs="Times New Roman"/>
          <w:highlight w:val="none"/>
          <w:shd w:val="clear"/>
          <w:lang w:val="en-US" w:eastAsia="zh-CN"/>
        </w:rPr>
        <w:t>8.0.3-1 施工期边坡岩土体及支护结构监测预警值</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848"/>
        <w:gridCol w:w="2542"/>
        <w:gridCol w:w="1070"/>
        <w:gridCol w:w="956"/>
        <w:gridCol w:w="1257"/>
        <w:gridCol w:w="1070"/>
        <w:gridCol w:w="956"/>
        <w:gridCol w:w="1257"/>
        <w:gridCol w:w="1070"/>
        <w:gridCol w:w="956"/>
        <w:gridCol w:w="1265"/>
      </w:tblGrid>
      <w:tr w14:paraId="5DEE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Merge w:val="restart"/>
            <w:vAlign w:val="center"/>
          </w:tcPr>
          <w:p w14:paraId="39A42FA6">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序号</w:t>
            </w:r>
          </w:p>
        </w:tc>
        <w:tc>
          <w:tcPr>
            <w:tcW w:w="300" w:type="pct"/>
            <w:vMerge w:val="restart"/>
            <w:vAlign w:val="center"/>
          </w:tcPr>
          <w:p w14:paraId="57120975">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监测项目</w:t>
            </w:r>
          </w:p>
        </w:tc>
        <w:tc>
          <w:tcPr>
            <w:tcW w:w="898" w:type="pct"/>
            <w:vMerge w:val="restart"/>
            <w:vAlign w:val="center"/>
          </w:tcPr>
          <w:p w14:paraId="29113929">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支护类型</w:t>
            </w:r>
          </w:p>
        </w:tc>
        <w:tc>
          <w:tcPr>
            <w:tcW w:w="3476" w:type="pct"/>
            <w:gridSpan w:val="9"/>
            <w:vAlign w:val="center"/>
          </w:tcPr>
          <w:p w14:paraId="3B5438B5">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边坡工程安全等级</w:t>
            </w:r>
          </w:p>
        </w:tc>
      </w:tr>
      <w:tr w14:paraId="07D9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Merge w:val="continue"/>
            <w:vAlign w:val="center"/>
          </w:tcPr>
          <w:p w14:paraId="565EE8D4">
            <w:pPr>
              <w:jc w:val="center"/>
              <w:rPr>
                <w:rFonts w:hint="eastAsia" w:ascii="Times New Roman" w:hAnsi="Times New Roman" w:cs="Times New Roman"/>
                <w:highlight w:val="none"/>
                <w:vertAlign w:val="baseline"/>
                <w:lang w:val="en-US" w:eastAsia="zh-CN"/>
              </w:rPr>
            </w:pPr>
          </w:p>
        </w:tc>
        <w:tc>
          <w:tcPr>
            <w:tcW w:w="300" w:type="pct"/>
            <w:vMerge w:val="continue"/>
            <w:vAlign w:val="center"/>
          </w:tcPr>
          <w:p w14:paraId="6ECF1D02">
            <w:pPr>
              <w:jc w:val="center"/>
              <w:rPr>
                <w:rFonts w:hint="eastAsia" w:ascii="Times New Roman" w:hAnsi="Times New Roman" w:cs="Times New Roman"/>
                <w:highlight w:val="none"/>
                <w:vertAlign w:val="baseline"/>
                <w:lang w:val="en-US" w:eastAsia="zh-CN"/>
              </w:rPr>
            </w:pPr>
          </w:p>
        </w:tc>
        <w:tc>
          <w:tcPr>
            <w:tcW w:w="898" w:type="pct"/>
            <w:vMerge w:val="continue"/>
            <w:vAlign w:val="center"/>
          </w:tcPr>
          <w:p w14:paraId="669FEACF">
            <w:pPr>
              <w:jc w:val="center"/>
              <w:rPr>
                <w:rFonts w:hint="eastAsia" w:ascii="Times New Roman" w:hAnsi="Times New Roman" w:cs="Times New Roman"/>
                <w:highlight w:val="none"/>
                <w:vertAlign w:val="baseline"/>
                <w:lang w:val="en-US" w:eastAsia="zh-CN"/>
              </w:rPr>
            </w:pPr>
          </w:p>
        </w:tc>
        <w:tc>
          <w:tcPr>
            <w:tcW w:w="1158" w:type="pct"/>
            <w:gridSpan w:val="3"/>
            <w:vAlign w:val="center"/>
          </w:tcPr>
          <w:p w14:paraId="7F0BFCD2">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一级</w:t>
            </w:r>
          </w:p>
        </w:tc>
        <w:tc>
          <w:tcPr>
            <w:tcW w:w="1158" w:type="pct"/>
            <w:gridSpan w:val="3"/>
            <w:vAlign w:val="center"/>
          </w:tcPr>
          <w:p w14:paraId="427179E5">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二级</w:t>
            </w:r>
          </w:p>
        </w:tc>
        <w:tc>
          <w:tcPr>
            <w:tcW w:w="1158" w:type="pct"/>
            <w:gridSpan w:val="3"/>
            <w:vAlign w:val="center"/>
          </w:tcPr>
          <w:p w14:paraId="690C573B">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三级</w:t>
            </w:r>
          </w:p>
        </w:tc>
      </w:tr>
      <w:tr w14:paraId="52DC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Merge w:val="continue"/>
            <w:vAlign w:val="center"/>
          </w:tcPr>
          <w:p w14:paraId="53A4412D">
            <w:pPr>
              <w:jc w:val="center"/>
              <w:rPr>
                <w:rFonts w:hint="eastAsia" w:ascii="Times New Roman" w:hAnsi="Times New Roman" w:cs="Times New Roman"/>
                <w:highlight w:val="none"/>
                <w:vertAlign w:val="baseline"/>
                <w:lang w:val="en-US" w:eastAsia="zh-CN"/>
              </w:rPr>
            </w:pPr>
          </w:p>
        </w:tc>
        <w:tc>
          <w:tcPr>
            <w:tcW w:w="300" w:type="pct"/>
            <w:vMerge w:val="continue"/>
            <w:vAlign w:val="center"/>
          </w:tcPr>
          <w:p w14:paraId="5892BF34">
            <w:pPr>
              <w:jc w:val="center"/>
              <w:rPr>
                <w:rFonts w:hint="eastAsia" w:ascii="Times New Roman" w:hAnsi="Times New Roman" w:cs="Times New Roman"/>
                <w:highlight w:val="none"/>
                <w:vertAlign w:val="baseline"/>
                <w:lang w:val="en-US" w:eastAsia="zh-CN"/>
              </w:rPr>
            </w:pPr>
          </w:p>
        </w:tc>
        <w:tc>
          <w:tcPr>
            <w:tcW w:w="898" w:type="pct"/>
            <w:vMerge w:val="continue"/>
            <w:vAlign w:val="center"/>
          </w:tcPr>
          <w:p w14:paraId="6BBA6C15">
            <w:pPr>
              <w:jc w:val="center"/>
              <w:rPr>
                <w:rFonts w:hint="eastAsia" w:ascii="Times New Roman" w:hAnsi="Times New Roman" w:cs="Times New Roman"/>
                <w:highlight w:val="none"/>
                <w:vertAlign w:val="baseline"/>
                <w:lang w:val="en-US" w:eastAsia="zh-CN"/>
              </w:rPr>
            </w:pPr>
          </w:p>
        </w:tc>
        <w:tc>
          <w:tcPr>
            <w:tcW w:w="715" w:type="pct"/>
            <w:gridSpan w:val="2"/>
            <w:vAlign w:val="center"/>
          </w:tcPr>
          <w:p w14:paraId="57107125">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累计值</w:t>
            </w:r>
          </w:p>
        </w:tc>
        <w:tc>
          <w:tcPr>
            <w:tcW w:w="443" w:type="pct"/>
            <w:vMerge w:val="restart"/>
            <w:vAlign w:val="center"/>
          </w:tcPr>
          <w:p w14:paraId="35CD0A54">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变化速率</w:t>
            </w:r>
          </w:p>
          <w:p w14:paraId="666B57D9">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（mm/d）</w:t>
            </w:r>
          </w:p>
        </w:tc>
        <w:tc>
          <w:tcPr>
            <w:tcW w:w="715" w:type="pct"/>
            <w:gridSpan w:val="2"/>
            <w:vAlign w:val="center"/>
          </w:tcPr>
          <w:p w14:paraId="5959D187">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累计值</w:t>
            </w:r>
          </w:p>
        </w:tc>
        <w:tc>
          <w:tcPr>
            <w:tcW w:w="443" w:type="pct"/>
            <w:vMerge w:val="restart"/>
            <w:vAlign w:val="center"/>
          </w:tcPr>
          <w:p w14:paraId="31EABC19">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变化速率（mm/d）</w:t>
            </w:r>
          </w:p>
        </w:tc>
        <w:tc>
          <w:tcPr>
            <w:tcW w:w="715" w:type="pct"/>
            <w:gridSpan w:val="2"/>
            <w:vAlign w:val="center"/>
          </w:tcPr>
          <w:p w14:paraId="28D404DA">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累计值</w:t>
            </w:r>
          </w:p>
        </w:tc>
        <w:tc>
          <w:tcPr>
            <w:tcW w:w="443" w:type="pct"/>
            <w:vMerge w:val="restart"/>
            <w:vAlign w:val="center"/>
          </w:tcPr>
          <w:p w14:paraId="6491E6C9">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变化速率（mm/d）</w:t>
            </w:r>
          </w:p>
        </w:tc>
      </w:tr>
      <w:tr w14:paraId="2D74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Merge w:val="continue"/>
            <w:vAlign w:val="center"/>
          </w:tcPr>
          <w:p w14:paraId="0F2B28C7">
            <w:pPr>
              <w:jc w:val="center"/>
              <w:rPr>
                <w:rFonts w:hint="eastAsia" w:ascii="Times New Roman" w:hAnsi="Times New Roman" w:cs="Times New Roman"/>
                <w:highlight w:val="none"/>
                <w:vertAlign w:val="baseline"/>
                <w:lang w:val="en-US" w:eastAsia="zh-CN"/>
              </w:rPr>
            </w:pPr>
          </w:p>
        </w:tc>
        <w:tc>
          <w:tcPr>
            <w:tcW w:w="300" w:type="pct"/>
            <w:vMerge w:val="continue"/>
            <w:vAlign w:val="center"/>
          </w:tcPr>
          <w:p w14:paraId="11F42531">
            <w:pPr>
              <w:jc w:val="center"/>
              <w:rPr>
                <w:rFonts w:hint="eastAsia" w:ascii="Times New Roman" w:hAnsi="Times New Roman" w:cs="Times New Roman"/>
                <w:highlight w:val="none"/>
                <w:vertAlign w:val="baseline"/>
                <w:lang w:val="en-US" w:eastAsia="zh-CN"/>
              </w:rPr>
            </w:pPr>
          </w:p>
        </w:tc>
        <w:tc>
          <w:tcPr>
            <w:tcW w:w="898" w:type="pct"/>
            <w:vMerge w:val="continue"/>
            <w:vAlign w:val="center"/>
          </w:tcPr>
          <w:p w14:paraId="1BED9D5F">
            <w:pPr>
              <w:jc w:val="center"/>
              <w:rPr>
                <w:rFonts w:hint="eastAsia" w:ascii="Times New Roman" w:hAnsi="Times New Roman" w:cs="Times New Roman"/>
                <w:highlight w:val="none"/>
                <w:vertAlign w:val="baseline"/>
                <w:lang w:val="en-US" w:eastAsia="zh-CN"/>
              </w:rPr>
            </w:pPr>
          </w:p>
        </w:tc>
        <w:tc>
          <w:tcPr>
            <w:tcW w:w="377" w:type="pct"/>
            <w:vAlign w:val="center"/>
          </w:tcPr>
          <w:p w14:paraId="3ED2F7B3">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绝对值</w:t>
            </w:r>
          </w:p>
          <w:p w14:paraId="1DC2B35A">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（mm）</w:t>
            </w:r>
          </w:p>
        </w:tc>
        <w:tc>
          <w:tcPr>
            <w:tcW w:w="337" w:type="pct"/>
            <w:vAlign w:val="center"/>
          </w:tcPr>
          <w:p w14:paraId="6B2224D2">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相对边坡高度控制值</w:t>
            </w:r>
          </w:p>
        </w:tc>
        <w:tc>
          <w:tcPr>
            <w:tcW w:w="443" w:type="pct"/>
            <w:vMerge w:val="continue"/>
            <w:vAlign w:val="center"/>
          </w:tcPr>
          <w:p w14:paraId="0D4E9A53">
            <w:pPr>
              <w:jc w:val="center"/>
              <w:rPr>
                <w:rFonts w:hint="eastAsia" w:ascii="Times New Roman" w:hAnsi="Times New Roman" w:cs="Times New Roman"/>
                <w:highlight w:val="none"/>
                <w:vertAlign w:val="baseline"/>
                <w:lang w:val="en-US" w:eastAsia="zh-CN"/>
              </w:rPr>
            </w:pPr>
          </w:p>
        </w:tc>
        <w:tc>
          <w:tcPr>
            <w:tcW w:w="377" w:type="pct"/>
            <w:vAlign w:val="center"/>
          </w:tcPr>
          <w:p w14:paraId="6ABA27FE">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绝对值（mm）</w:t>
            </w:r>
          </w:p>
        </w:tc>
        <w:tc>
          <w:tcPr>
            <w:tcW w:w="337" w:type="pct"/>
            <w:vAlign w:val="center"/>
          </w:tcPr>
          <w:p w14:paraId="05657A62">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相对边坡高度控制值</w:t>
            </w:r>
          </w:p>
        </w:tc>
        <w:tc>
          <w:tcPr>
            <w:tcW w:w="443" w:type="pct"/>
            <w:vMerge w:val="continue"/>
            <w:vAlign w:val="center"/>
          </w:tcPr>
          <w:p w14:paraId="32625A87">
            <w:pPr>
              <w:jc w:val="center"/>
              <w:rPr>
                <w:rFonts w:hint="eastAsia" w:ascii="Times New Roman" w:hAnsi="Times New Roman" w:cs="Times New Roman"/>
                <w:highlight w:val="none"/>
                <w:vertAlign w:val="baseline"/>
                <w:lang w:val="en-US" w:eastAsia="zh-CN"/>
              </w:rPr>
            </w:pPr>
          </w:p>
        </w:tc>
        <w:tc>
          <w:tcPr>
            <w:tcW w:w="377" w:type="pct"/>
            <w:vAlign w:val="center"/>
          </w:tcPr>
          <w:p w14:paraId="3142BFBD">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绝对值（mm）</w:t>
            </w:r>
          </w:p>
        </w:tc>
        <w:tc>
          <w:tcPr>
            <w:tcW w:w="337" w:type="pct"/>
            <w:vAlign w:val="center"/>
          </w:tcPr>
          <w:p w14:paraId="6CA37D95">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相对边坡高度控制值</w:t>
            </w:r>
          </w:p>
        </w:tc>
        <w:tc>
          <w:tcPr>
            <w:tcW w:w="443" w:type="pct"/>
            <w:vMerge w:val="continue"/>
            <w:vAlign w:val="center"/>
          </w:tcPr>
          <w:p w14:paraId="588A6CD3">
            <w:pPr>
              <w:jc w:val="center"/>
              <w:rPr>
                <w:rFonts w:hint="eastAsia" w:ascii="Times New Roman" w:hAnsi="Times New Roman" w:cs="Times New Roman"/>
                <w:highlight w:val="none"/>
                <w:vertAlign w:val="baseline"/>
                <w:lang w:val="en-US" w:eastAsia="zh-CN"/>
              </w:rPr>
            </w:pPr>
          </w:p>
        </w:tc>
      </w:tr>
      <w:tr w14:paraId="4DDC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Merge w:val="continue"/>
            <w:vAlign w:val="center"/>
          </w:tcPr>
          <w:p w14:paraId="1239A67D">
            <w:pPr>
              <w:jc w:val="center"/>
              <w:rPr>
                <w:rFonts w:hint="eastAsia" w:ascii="Times New Roman" w:hAnsi="Times New Roman" w:cs="Times New Roman"/>
                <w:highlight w:val="none"/>
                <w:vertAlign w:val="baseline"/>
                <w:lang w:val="en-US" w:eastAsia="zh-CN"/>
              </w:rPr>
            </w:pPr>
          </w:p>
        </w:tc>
        <w:tc>
          <w:tcPr>
            <w:tcW w:w="300" w:type="pct"/>
            <w:vMerge w:val="continue"/>
            <w:vAlign w:val="center"/>
          </w:tcPr>
          <w:p w14:paraId="6DB3CA54">
            <w:pPr>
              <w:jc w:val="center"/>
              <w:rPr>
                <w:rFonts w:hint="eastAsia" w:ascii="Times New Roman" w:hAnsi="Times New Roman" w:cs="Times New Roman"/>
                <w:highlight w:val="none"/>
                <w:vertAlign w:val="baseline"/>
                <w:lang w:val="en-US" w:eastAsia="zh-CN"/>
              </w:rPr>
            </w:pPr>
          </w:p>
        </w:tc>
        <w:tc>
          <w:tcPr>
            <w:tcW w:w="898" w:type="pct"/>
            <w:vAlign w:val="center"/>
          </w:tcPr>
          <w:p w14:paraId="77A3BA0B">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坡率法、重力式挡墙、悬臂式挡墙、扶壁式挡墙</w:t>
            </w:r>
          </w:p>
        </w:tc>
        <w:tc>
          <w:tcPr>
            <w:tcW w:w="377" w:type="pct"/>
            <w:vAlign w:val="center"/>
          </w:tcPr>
          <w:p w14:paraId="19653CF5">
            <w:pPr>
              <w:jc w:val="center"/>
              <w:rPr>
                <w:rFonts w:hint="eastAsia" w:ascii="Times New Roman" w:hAnsi="Times New Roman" w:cs="Times New Roman"/>
                <w:color w:val="000000" w:themeColor="text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2"/>
                <w:sz w:val="24"/>
                <w:szCs w:val="24"/>
                <w:highlight w:val="none"/>
                <w:vertAlign w:val="baseline"/>
                <w:lang w:val="en-US" w:eastAsia="zh-CN" w:bidi="ar-SA"/>
                <w14:textFill>
                  <w14:solidFill>
                    <w14:schemeClr w14:val="tx1"/>
                  </w14:solidFill>
                </w14:textFill>
              </w:rPr>
              <w:t>30～40</w:t>
            </w:r>
          </w:p>
        </w:tc>
        <w:tc>
          <w:tcPr>
            <w:tcW w:w="337" w:type="pct"/>
            <w:vAlign w:val="center"/>
          </w:tcPr>
          <w:p w14:paraId="30904266">
            <w:pPr>
              <w:jc w:val="center"/>
              <w:rPr>
                <w:rFonts w:hint="eastAsia" w:ascii="Times New Roman" w:hAnsi="Times New Roman" w:cs="Times New Roman"/>
                <w:color w:val="000000" w:themeColor="text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2"/>
                <w:sz w:val="24"/>
                <w:szCs w:val="24"/>
                <w:highlight w:val="none"/>
                <w:vertAlign w:val="baseline"/>
                <w:lang w:val="en-US" w:eastAsia="zh-CN" w:bidi="ar-SA"/>
                <w14:textFill>
                  <w14:solidFill>
                    <w14:schemeClr w14:val="tx1"/>
                  </w14:solidFill>
                </w14:textFill>
              </w:rPr>
              <w:t>0.3%～0.4%</w:t>
            </w:r>
          </w:p>
        </w:tc>
        <w:tc>
          <w:tcPr>
            <w:tcW w:w="443" w:type="pct"/>
            <w:vAlign w:val="center"/>
          </w:tcPr>
          <w:p w14:paraId="3F7F6FED">
            <w:pPr>
              <w:jc w:val="center"/>
              <w:rPr>
                <w:rFonts w:hint="eastAsia" w:ascii="Times New Roman" w:hAnsi="Times New Roman" w:cs="Times New Roman"/>
                <w:color w:val="000000" w:themeColor="text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2"/>
                <w:sz w:val="24"/>
                <w:szCs w:val="24"/>
                <w:highlight w:val="none"/>
                <w:vertAlign w:val="baseline"/>
                <w:lang w:val="en-US" w:eastAsia="zh-CN" w:bidi="ar-SA"/>
                <w14:textFill>
                  <w14:solidFill>
                    <w14:schemeClr w14:val="tx1"/>
                  </w14:solidFill>
                </w14:textFill>
              </w:rPr>
              <w:t>3～5</w:t>
            </w:r>
          </w:p>
        </w:tc>
        <w:tc>
          <w:tcPr>
            <w:tcW w:w="377" w:type="pct"/>
            <w:vAlign w:val="center"/>
          </w:tcPr>
          <w:p w14:paraId="5AACF5F1">
            <w:pPr>
              <w:jc w:val="center"/>
              <w:rPr>
                <w:rFonts w:hint="eastAsia" w:ascii="Times New Roman" w:hAnsi="Times New Roman" w:cs="Times New Roman"/>
                <w:color w:val="000000" w:themeColor="text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2"/>
                <w:sz w:val="24"/>
                <w:szCs w:val="24"/>
                <w:highlight w:val="none"/>
                <w:vertAlign w:val="baseline"/>
                <w:lang w:val="en-US" w:eastAsia="zh-CN" w:bidi="ar-SA"/>
                <w14:textFill>
                  <w14:solidFill>
                    <w14:schemeClr w14:val="tx1"/>
                  </w14:solidFill>
                </w14:textFill>
              </w:rPr>
              <w:t>40～50</w:t>
            </w:r>
          </w:p>
        </w:tc>
        <w:tc>
          <w:tcPr>
            <w:tcW w:w="337" w:type="pct"/>
            <w:vAlign w:val="center"/>
          </w:tcPr>
          <w:p w14:paraId="4459430C">
            <w:pPr>
              <w:jc w:val="center"/>
              <w:rPr>
                <w:rFonts w:hint="eastAsia" w:ascii="Times New Roman" w:hAnsi="Times New Roman" w:cs="Times New Roman"/>
                <w:color w:val="000000" w:themeColor="text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2"/>
                <w:sz w:val="24"/>
                <w:szCs w:val="24"/>
                <w:highlight w:val="none"/>
                <w:vertAlign w:val="baseline"/>
                <w:lang w:val="en-US" w:eastAsia="zh-CN" w:bidi="ar-SA"/>
                <w14:textFill>
                  <w14:solidFill>
                    <w14:schemeClr w14:val="tx1"/>
                  </w14:solidFill>
                </w14:textFill>
              </w:rPr>
              <w:t>0.5%～0.8%</w:t>
            </w:r>
          </w:p>
        </w:tc>
        <w:tc>
          <w:tcPr>
            <w:tcW w:w="443" w:type="pct"/>
            <w:vAlign w:val="center"/>
          </w:tcPr>
          <w:p w14:paraId="047C571F">
            <w:pPr>
              <w:jc w:val="center"/>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kern w:val="2"/>
                <w:sz w:val="24"/>
                <w:szCs w:val="24"/>
                <w:highlight w:val="none"/>
                <w:vertAlign w:val="baseline"/>
                <w:lang w:val="en-US" w:eastAsia="zh-CN" w:bidi="ar-SA"/>
                <w14:textFill>
                  <w14:solidFill>
                    <w14:schemeClr w14:val="tx1"/>
                  </w14:solidFill>
                </w14:textFill>
              </w:rPr>
              <w:t>4～5</w:t>
            </w:r>
          </w:p>
        </w:tc>
        <w:tc>
          <w:tcPr>
            <w:tcW w:w="377" w:type="pct"/>
            <w:vAlign w:val="center"/>
          </w:tcPr>
          <w:p w14:paraId="74DF6658">
            <w:pPr>
              <w:jc w:val="center"/>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kern w:val="2"/>
                <w:sz w:val="24"/>
                <w:szCs w:val="24"/>
                <w:highlight w:val="none"/>
                <w:vertAlign w:val="baseline"/>
                <w:lang w:val="en-US" w:eastAsia="zh-CN" w:bidi="ar-SA"/>
                <w14:textFill>
                  <w14:solidFill>
                    <w14:schemeClr w14:val="tx1"/>
                  </w14:solidFill>
                </w14:textFill>
              </w:rPr>
              <w:t>40～60</w:t>
            </w:r>
          </w:p>
        </w:tc>
        <w:tc>
          <w:tcPr>
            <w:tcW w:w="337" w:type="pct"/>
            <w:vAlign w:val="center"/>
          </w:tcPr>
          <w:p w14:paraId="3D744AC1">
            <w:pPr>
              <w:jc w:val="center"/>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kern w:val="2"/>
                <w:sz w:val="24"/>
                <w:szCs w:val="24"/>
                <w:highlight w:val="none"/>
                <w:vertAlign w:val="baseline"/>
                <w:lang w:val="en-US" w:eastAsia="zh-CN" w:bidi="ar-SA"/>
                <w14:textFill>
                  <w14:solidFill>
                    <w14:schemeClr w14:val="tx1"/>
                  </w14:solidFill>
                </w14:textFill>
              </w:rPr>
              <w:t>0.7%～1%</w:t>
            </w:r>
          </w:p>
        </w:tc>
        <w:tc>
          <w:tcPr>
            <w:tcW w:w="443" w:type="pct"/>
            <w:vAlign w:val="center"/>
          </w:tcPr>
          <w:p w14:paraId="5F95BCED">
            <w:pPr>
              <w:jc w:val="center"/>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kern w:val="2"/>
                <w:sz w:val="24"/>
                <w:szCs w:val="24"/>
                <w:highlight w:val="none"/>
                <w:vertAlign w:val="baseline"/>
                <w:lang w:val="en-US" w:eastAsia="zh-CN" w:bidi="ar-SA"/>
                <w14:textFill>
                  <w14:solidFill>
                    <w14:schemeClr w14:val="tx1"/>
                  </w14:solidFill>
                </w14:textFill>
              </w:rPr>
              <w:t>5～6</w:t>
            </w:r>
          </w:p>
        </w:tc>
      </w:tr>
      <w:tr w14:paraId="468B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Merge w:val="continue"/>
            <w:vAlign w:val="center"/>
          </w:tcPr>
          <w:p w14:paraId="434E16CB">
            <w:pPr>
              <w:jc w:val="center"/>
              <w:rPr>
                <w:rFonts w:hint="eastAsia" w:ascii="Times New Roman" w:hAnsi="Times New Roman" w:cs="Times New Roman"/>
                <w:highlight w:val="none"/>
                <w:vertAlign w:val="baseline"/>
                <w:lang w:val="en-US" w:eastAsia="zh-CN"/>
              </w:rPr>
            </w:pPr>
          </w:p>
        </w:tc>
        <w:tc>
          <w:tcPr>
            <w:tcW w:w="300" w:type="pct"/>
            <w:vMerge w:val="continue"/>
            <w:vAlign w:val="center"/>
          </w:tcPr>
          <w:p w14:paraId="767C1E32">
            <w:pPr>
              <w:jc w:val="center"/>
              <w:rPr>
                <w:rFonts w:hint="eastAsia" w:ascii="Times New Roman" w:hAnsi="Times New Roman" w:cs="Times New Roman"/>
                <w:highlight w:val="none"/>
                <w:vertAlign w:val="baseline"/>
                <w:lang w:val="en-US" w:eastAsia="zh-CN"/>
              </w:rPr>
            </w:pPr>
          </w:p>
        </w:tc>
        <w:tc>
          <w:tcPr>
            <w:tcW w:w="898" w:type="pct"/>
            <w:vAlign w:val="center"/>
          </w:tcPr>
          <w:p w14:paraId="5436D72D">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锚拉式桩板式挡墙、板肋式或格构式锚杆挡墙、排桩式锚杆挡墙</w:t>
            </w:r>
          </w:p>
        </w:tc>
        <w:tc>
          <w:tcPr>
            <w:tcW w:w="377" w:type="pct"/>
            <w:vAlign w:val="center"/>
          </w:tcPr>
          <w:p w14:paraId="0508F56B">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20～30</w:t>
            </w:r>
          </w:p>
        </w:tc>
        <w:tc>
          <w:tcPr>
            <w:tcW w:w="337" w:type="pct"/>
            <w:vAlign w:val="center"/>
          </w:tcPr>
          <w:p w14:paraId="57EDA664">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0.2%～0.3%</w:t>
            </w:r>
          </w:p>
        </w:tc>
        <w:tc>
          <w:tcPr>
            <w:tcW w:w="443" w:type="pct"/>
            <w:vAlign w:val="center"/>
          </w:tcPr>
          <w:p w14:paraId="02E6231B">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2～3</w:t>
            </w:r>
          </w:p>
        </w:tc>
        <w:tc>
          <w:tcPr>
            <w:tcW w:w="377" w:type="pct"/>
            <w:vAlign w:val="center"/>
          </w:tcPr>
          <w:p w14:paraId="53B89693">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30～40</w:t>
            </w:r>
          </w:p>
        </w:tc>
        <w:tc>
          <w:tcPr>
            <w:tcW w:w="337" w:type="pct"/>
            <w:vAlign w:val="center"/>
          </w:tcPr>
          <w:p w14:paraId="77741F04">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0.3%～0.5%</w:t>
            </w:r>
          </w:p>
        </w:tc>
        <w:tc>
          <w:tcPr>
            <w:tcW w:w="443" w:type="pct"/>
            <w:vAlign w:val="center"/>
          </w:tcPr>
          <w:p w14:paraId="2292A6B4">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2～4</w:t>
            </w:r>
          </w:p>
        </w:tc>
        <w:tc>
          <w:tcPr>
            <w:tcW w:w="377" w:type="pct"/>
            <w:vAlign w:val="center"/>
          </w:tcPr>
          <w:p w14:paraId="08B6F893">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40～60</w:t>
            </w:r>
          </w:p>
        </w:tc>
        <w:tc>
          <w:tcPr>
            <w:tcW w:w="337" w:type="pct"/>
            <w:vAlign w:val="center"/>
          </w:tcPr>
          <w:p w14:paraId="198F3CB9">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0.6%～0.8%</w:t>
            </w:r>
          </w:p>
        </w:tc>
        <w:tc>
          <w:tcPr>
            <w:tcW w:w="443" w:type="pct"/>
            <w:vAlign w:val="center"/>
          </w:tcPr>
          <w:p w14:paraId="173D348F">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3～5</w:t>
            </w:r>
          </w:p>
        </w:tc>
      </w:tr>
      <w:tr w14:paraId="7249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Merge w:val="restart"/>
            <w:vAlign w:val="center"/>
          </w:tcPr>
          <w:p w14:paraId="24BB032B">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2</w:t>
            </w:r>
          </w:p>
        </w:tc>
        <w:tc>
          <w:tcPr>
            <w:tcW w:w="300" w:type="pct"/>
            <w:vMerge w:val="restart"/>
            <w:vAlign w:val="center"/>
          </w:tcPr>
          <w:p w14:paraId="17A162B0">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竖向位移</w:t>
            </w:r>
          </w:p>
        </w:tc>
        <w:tc>
          <w:tcPr>
            <w:tcW w:w="898" w:type="pct"/>
            <w:vAlign w:val="center"/>
          </w:tcPr>
          <w:p w14:paraId="2CCF633B">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坡率法</w:t>
            </w:r>
          </w:p>
        </w:tc>
        <w:tc>
          <w:tcPr>
            <w:tcW w:w="377" w:type="pct"/>
            <w:vAlign w:val="center"/>
          </w:tcPr>
          <w:p w14:paraId="438184E3">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20~30</w:t>
            </w:r>
          </w:p>
        </w:tc>
        <w:tc>
          <w:tcPr>
            <w:tcW w:w="337" w:type="pct"/>
            <w:vAlign w:val="center"/>
          </w:tcPr>
          <w:p w14:paraId="0E563602">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0.2%～0.4%</w:t>
            </w:r>
          </w:p>
        </w:tc>
        <w:tc>
          <w:tcPr>
            <w:tcW w:w="443" w:type="pct"/>
            <w:vAlign w:val="center"/>
          </w:tcPr>
          <w:p w14:paraId="53BA9C88">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2～3</w:t>
            </w:r>
          </w:p>
        </w:tc>
        <w:tc>
          <w:tcPr>
            <w:tcW w:w="377" w:type="pct"/>
            <w:vAlign w:val="center"/>
          </w:tcPr>
          <w:p w14:paraId="326051D6">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30～40</w:t>
            </w:r>
          </w:p>
        </w:tc>
        <w:tc>
          <w:tcPr>
            <w:tcW w:w="337" w:type="pct"/>
            <w:vAlign w:val="center"/>
          </w:tcPr>
          <w:p w14:paraId="2E11C82D">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0.6%～0.8%</w:t>
            </w:r>
          </w:p>
        </w:tc>
        <w:tc>
          <w:tcPr>
            <w:tcW w:w="443" w:type="pct"/>
            <w:vAlign w:val="center"/>
          </w:tcPr>
          <w:p w14:paraId="399801F6">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3～4</w:t>
            </w:r>
          </w:p>
        </w:tc>
        <w:tc>
          <w:tcPr>
            <w:tcW w:w="377" w:type="pct"/>
            <w:vAlign w:val="center"/>
          </w:tcPr>
          <w:p w14:paraId="4B754081">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40～60</w:t>
            </w:r>
          </w:p>
        </w:tc>
        <w:tc>
          <w:tcPr>
            <w:tcW w:w="337" w:type="pct"/>
            <w:vAlign w:val="center"/>
          </w:tcPr>
          <w:p w14:paraId="0DC7B09B">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0.8%～1%</w:t>
            </w:r>
          </w:p>
        </w:tc>
        <w:tc>
          <w:tcPr>
            <w:tcW w:w="443" w:type="pct"/>
            <w:vAlign w:val="center"/>
          </w:tcPr>
          <w:p w14:paraId="4784F394">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4～5</w:t>
            </w:r>
          </w:p>
        </w:tc>
      </w:tr>
      <w:tr w14:paraId="6710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Merge w:val="continue"/>
            <w:vAlign w:val="center"/>
          </w:tcPr>
          <w:p w14:paraId="27553144">
            <w:pPr>
              <w:jc w:val="center"/>
              <w:rPr>
                <w:rFonts w:hint="eastAsia" w:ascii="Times New Roman" w:hAnsi="Times New Roman" w:cs="Times New Roman"/>
                <w:highlight w:val="none"/>
                <w:vertAlign w:val="baseline"/>
                <w:lang w:val="en-US" w:eastAsia="zh-CN"/>
              </w:rPr>
            </w:pPr>
          </w:p>
        </w:tc>
        <w:tc>
          <w:tcPr>
            <w:tcW w:w="300" w:type="pct"/>
            <w:vMerge w:val="continue"/>
            <w:vAlign w:val="center"/>
          </w:tcPr>
          <w:p w14:paraId="0A28C026">
            <w:pPr>
              <w:jc w:val="center"/>
              <w:rPr>
                <w:rFonts w:hint="eastAsia" w:ascii="Times New Roman" w:hAnsi="Times New Roman" w:cs="Times New Roman"/>
                <w:highlight w:val="none"/>
                <w:vertAlign w:val="baseline"/>
                <w:lang w:val="en-US" w:eastAsia="zh-CN"/>
              </w:rPr>
            </w:pPr>
          </w:p>
        </w:tc>
        <w:tc>
          <w:tcPr>
            <w:tcW w:w="898" w:type="pct"/>
            <w:vAlign w:val="center"/>
          </w:tcPr>
          <w:p w14:paraId="4AD5A50B">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重力式挡墙、悬臂式挡墙、扶壁式挡墙</w:t>
            </w:r>
          </w:p>
        </w:tc>
        <w:tc>
          <w:tcPr>
            <w:tcW w:w="377" w:type="pct"/>
            <w:vAlign w:val="center"/>
          </w:tcPr>
          <w:p w14:paraId="6C3AABBD">
            <w:pPr>
              <w:jc w:val="center"/>
              <w:rPr>
                <w:rFonts w:hint="default" w:ascii="Times New Roman" w:hAnsi="Times New Roman" w:cs="Times New Roman"/>
                <w:color w:val="000000" w:themeColor="text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2"/>
                <w:sz w:val="24"/>
                <w:szCs w:val="24"/>
                <w:highlight w:val="none"/>
                <w:vertAlign w:val="baseline"/>
                <w:lang w:val="en-US" w:eastAsia="zh-CN" w:bidi="ar-SA"/>
                <w14:textFill>
                  <w14:solidFill>
                    <w14:schemeClr w14:val="tx1"/>
                  </w14:solidFill>
                </w14:textFill>
              </w:rPr>
              <w:t>20~30</w:t>
            </w:r>
          </w:p>
        </w:tc>
        <w:tc>
          <w:tcPr>
            <w:tcW w:w="337" w:type="pct"/>
            <w:vAlign w:val="center"/>
          </w:tcPr>
          <w:p w14:paraId="37371BBF">
            <w:pPr>
              <w:jc w:val="center"/>
              <w:rPr>
                <w:rFonts w:hint="eastAsia" w:ascii="Times New Roman" w:hAnsi="Times New Roman" w:cs="Times New Roman"/>
                <w:color w:val="000000" w:themeColor="text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2"/>
                <w:sz w:val="24"/>
                <w:szCs w:val="24"/>
                <w:highlight w:val="none"/>
                <w:vertAlign w:val="baseline"/>
                <w:lang w:val="en-US" w:eastAsia="zh-CN" w:bidi="ar-SA"/>
                <w14:textFill>
                  <w14:solidFill>
                    <w14:schemeClr w14:val="tx1"/>
                  </w14:solidFill>
                </w14:textFill>
              </w:rPr>
              <w:t>0.2%～0.4%</w:t>
            </w:r>
          </w:p>
        </w:tc>
        <w:tc>
          <w:tcPr>
            <w:tcW w:w="443" w:type="pct"/>
            <w:vAlign w:val="center"/>
          </w:tcPr>
          <w:p w14:paraId="38B31053">
            <w:pPr>
              <w:jc w:val="center"/>
              <w:rPr>
                <w:rFonts w:hint="eastAsia" w:ascii="Times New Roman" w:hAnsi="Times New Roman" w:cs="Times New Roman"/>
                <w:color w:val="000000" w:themeColor="text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highlight w:val="none"/>
                <w:vertAlign w:val="baseline"/>
                <w:lang w:val="en-US" w:eastAsia="zh-CN"/>
                <w14:textFill>
                  <w14:solidFill>
                    <w14:schemeClr w14:val="tx1"/>
                  </w14:solidFill>
                </w14:textFill>
              </w:rPr>
              <w:t>2~3</w:t>
            </w:r>
          </w:p>
        </w:tc>
        <w:tc>
          <w:tcPr>
            <w:tcW w:w="377" w:type="pct"/>
            <w:vAlign w:val="center"/>
          </w:tcPr>
          <w:p w14:paraId="1866B570">
            <w:pPr>
              <w:jc w:val="center"/>
              <w:rPr>
                <w:rFonts w:hint="default" w:ascii="Times New Roman" w:hAnsi="Times New Roman" w:cs="Times New Roman"/>
                <w:color w:val="000000" w:themeColor="text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2"/>
                <w:sz w:val="24"/>
                <w:szCs w:val="24"/>
                <w:highlight w:val="none"/>
                <w:vertAlign w:val="baseline"/>
                <w:lang w:val="en-US" w:eastAsia="zh-CN" w:bidi="ar-SA"/>
                <w14:textFill>
                  <w14:solidFill>
                    <w14:schemeClr w14:val="tx1"/>
                  </w14:solidFill>
                </w14:textFill>
              </w:rPr>
              <w:t>30~40</w:t>
            </w:r>
          </w:p>
        </w:tc>
        <w:tc>
          <w:tcPr>
            <w:tcW w:w="337" w:type="pct"/>
            <w:vAlign w:val="center"/>
          </w:tcPr>
          <w:p w14:paraId="6D43D7FF">
            <w:pPr>
              <w:jc w:val="center"/>
              <w:rPr>
                <w:rFonts w:hint="eastAsia" w:ascii="Times New Roman" w:hAnsi="Times New Roman" w:cs="Times New Roman"/>
                <w:color w:val="000000" w:themeColor="text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2"/>
                <w:sz w:val="24"/>
                <w:szCs w:val="24"/>
                <w:highlight w:val="none"/>
                <w:vertAlign w:val="baseline"/>
                <w:lang w:val="en-US" w:eastAsia="zh-CN" w:bidi="ar-SA"/>
                <w14:textFill>
                  <w14:solidFill>
                    <w14:schemeClr w14:val="tx1"/>
                  </w14:solidFill>
                </w14:textFill>
              </w:rPr>
              <w:t>0.4%～0.6%</w:t>
            </w:r>
          </w:p>
        </w:tc>
        <w:tc>
          <w:tcPr>
            <w:tcW w:w="443" w:type="pct"/>
            <w:vAlign w:val="center"/>
          </w:tcPr>
          <w:p w14:paraId="2E6CDF4C">
            <w:pPr>
              <w:jc w:val="center"/>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vertAlign w:val="baseline"/>
                <w:lang w:val="en-US" w:eastAsia="zh-CN"/>
                <w14:textFill>
                  <w14:solidFill>
                    <w14:schemeClr w14:val="tx1"/>
                  </w14:solidFill>
                </w14:textFill>
              </w:rPr>
              <w:t>3~4</w:t>
            </w:r>
          </w:p>
        </w:tc>
        <w:tc>
          <w:tcPr>
            <w:tcW w:w="377" w:type="pct"/>
            <w:vAlign w:val="center"/>
          </w:tcPr>
          <w:p w14:paraId="082590BC">
            <w:pPr>
              <w:jc w:val="center"/>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kern w:val="2"/>
                <w:sz w:val="24"/>
                <w:szCs w:val="24"/>
                <w:highlight w:val="none"/>
                <w:vertAlign w:val="baseline"/>
                <w:lang w:val="en-US" w:eastAsia="zh-CN" w:bidi="ar-SA"/>
                <w14:textFill>
                  <w14:solidFill>
                    <w14:schemeClr w14:val="tx1"/>
                  </w14:solidFill>
                </w14:textFill>
              </w:rPr>
              <w:t>35~50</w:t>
            </w:r>
          </w:p>
        </w:tc>
        <w:tc>
          <w:tcPr>
            <w:tcW w:w="337" w:type="pct"/>
            <w:vAlign w:val="center"/>
          </w:tcPr>
          <w:p w14:paraId="5CA860D5">
            <w:pPr>
              <w:jc w:val="center"/>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kern w:val="2"/>
                <w:sz w:val="24"/>
                <w:szCs w:val="24"/>
                <w:highlight w:val="none"/>
                <w:vertAlign w:val="baseline"/>
                <w:lang w:val="en-US" w:eastAsia="zh-CN" w:bidi="ar-SA"/>
                <w14:textFill>
                  <w14:solidFill>
                    <w14:schemeClr w14:val="tx1"/>
                  </w14:solidFill>
                </w14:textFill>
              </w:rPr>
              <w:t>0.6%～0.8%</w:t>
            </w:r>
          </w:p>
        </w:tc>
        <w:tc>
          <w:tcPr>
            <w:tcW w:w="443" w:type="pct"/>
            <w:vAlign w:val="center"/>
          </w:tcPr>
          <w:p w14:paraId="348874EB">
            <w:pPr>
              <w:jc w:val="center"/>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vertAlign w:val="baseline"/>
                <w:lang w:val="en-US" w:eastAsia="zh-CN"/>
                <w14:textFill>
                  <w14:solidFill>
                    <w14:schemeClr w14:val="tx1"/>
                  </w14:solidFill>
                </w14:textFill>
              </w:rPr>
              <w:t>4~5</w:t>
            </w:r>
          </w:p>
        </w:tc>
      </w:tr>
      <w:tr w14:paraId="0031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Merge w:val="continue"/>
            <w:vAlign w:val="center"/>
          </w:tcPr>
          <w:p w14:paraId="7062A57F">
            <w:pPr>
              <w:jc w:val="center"/>
              <w:rPr>
                <w:rFonts w:hint="eastAsia" w:ascii="Times New Roman" w:hAnsi="Times New Roman" w:cs="Times New Roman"/>
                <w:highlight w:val="none"/>
                <w:vertAlign w:val="baseline"/>
                <w:lang w:val="en-US" w:eastAsia="zh-CN"/>
              </w:rPr>
            </w:pPr>
          </w:p>
        </w:tc>
        <w:tc>
          <w:tcPr>
            <w:tcW w:w="300" w:type="pct"/>
            <w:vMerge w:val="continue"/>
            <w:vAlign w:val="center"/>
          </w:tcPr>
          <w:p w14:paraId="2901E5BA">
            <w:pPr>
              <w:jc w:val="center"/>
              <w:rPr>
                <w:rFonts w:hint="eastAsia" w:ascii="Times New Roman" w:hAnsi="Times New Roman" w:cs="Times New Roman"/>
                <w:highlight w:val="none"/>
                <w:vertAlign w:val="baseline"/>
                <w:lang w:val="en-US" w:eastAsia="zh-CN"/>
              </w:rPr>
            </w:pPr>
          </w:p>
        </w:tc>
        <w:tc>
          <w:tcPr>
            <w:tcW w:w="898" w:type="pct"/>
            <w:vAlign w:val="center"/>
          </w:tcPr>
          <w:p w14:paraId="67D72297">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锚拉式桩板式挡墙、板肋式或格构式锚杆挡墙、排桩式锚杆挡墙</w:t>
            </w:r>
          </w:p>
        </w:tc>
        <w:tc>
          <w:tcPr>
            <w:tcW w:w="377" w:type="pct"/>
            <w:vAlign w:val="center"/>
          </w:tcPr>
          <w:p w14:paraId="3A6354AF">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10~20</w:t>
            </w:r>
          </w:p>
        </w:tc>
        <w:tc>
          <w:tcPr>
            <w:tcW w:w="337" w:type="pct"/>
            <w:vAlign w:val="center"/>
          </w:tcPr>
          <w:p w14:paraId="19FC74F5">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0.1%～0.2%</w:t>
            </w:r>
          </w:p>
        </w:tc>
        <w:tc>
          <w:tcPr>
            <w:tcW w:w="443" w:type="pct"/>
            <w:vAlign w:val="center"/>
          </w:tcPr>
          <w:p w14:paraId="027524A3">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2～3</w:t>
            </w:r>
          </w:p>
        </w:tc>
        <w:tc>
          <w:tcPr>
            <w:tcW w:w="377" w:type="pct"/>
            <w:vAlign w:val="center"/>
          </w:tcPr>
          <w:p w14:paraId="1BF0E470">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20~30</w:t>
            </w:r>
          </w:p>
        </w:tc>
        <w:tc>
          <w:tcPr>
            <w:tcW w:w="337" w:type="pct"/>
            <w:vAlign w:val="center"/>
          </w:tcPr>
          <w:p w14:paraId="763CBECA">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0.3%～0.5%</w:t>
            </w:r>
          </w:p>
        </w:tc>
        <w:tc>
          <w:tcPr>
            <w:tcW w:w="443" w:type="pct"/>
            <w:vAlign w:val="center"/>
          </w:tcPr>
          <w:p w14:paraId="0AC3DDB3">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2～3</w:t>
            </w:r>
          </w:p>
        </w:tc>
        <w:tc>
          <w:tcPr>
            <w:tcW w:w="377" w:type="pct"/>
            <w:vAlign w:val="center"/>
          </w:tcPr>
          <w:p w14:paraId="0C02A019">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30～40</w:t>
            </w:r>
          </w:p>
        </w:tc>
        <w:tc>
          <w:tcPr>
            <w:tcW w:w="337" w:type="pct"/>
            <w:vAlign w:val="center"/>
          </w:tcPr>
          <w:p w14:paraId="4E5FE261">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0.5%～0.6%</w:t>
            </w:r>
          </w:p>
        </w:tc>
        <w:tc>
          <w:tcPr>
            <w:tcW w:w="443" w:type="pct"/>
            <w:vAlign w:val="center"/>
          </w:tcPr>
          <w:p w14:paraId="0637E5FB">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3～4</w:t>
            </w:r>
          </w:p>
        </w:tc>
      </w:tr>
      <w:tr w14:paraId="630B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Merge w:val="restart"/>
            <w:vAlign w:val="center"/>
          </w:tcPr>
          <w:p w14:paraId="32E87ECB">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3</w:t>
            </w:r>
          </w:p>
        </w:tc>
        <w:tc>
          <w:tcPr>
            <w:tcW w:w="300" w:type="pct"/>
            <w:vMerge w:val="restart"/>
            <w:vAlign w:val="center"/>
          </w:tcPr>
          <w:p w14:paraId="004BEA78">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深层水平位移</w:t>
            </w:r>
          </w:p>
        </w:tc>
        <w:tc>
          <w:tcPr>
            <w:tcW w:w="898" w:type="pct"/>
            <w:vAlign w:val="center"/>
          </w:tcPr>
          <w:p w14:paraId="0A377840">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坡率法</w:t>
            </w:r>
          </w:p>
        </w:tc>
        <w:tc>
          <w:tcPr>
            <w:tcW w:w="377" w:type="pct"/>
            <w:vAlign w:val="center"/>
          </w:tcPr>
          <w:p w14:paraId="12EDD17B">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40</w:t>
            </w:r>
            <w:r>
              <w:rPr>
                <w:rFonts w:hint="eastAsia" w:ascii="Times New Roman" w:hAnsi="Times New Roman" w:cs="Times New Roman"/>
                <w:kern w:val="2"/>
                <w:sz w:val="24"/>
                <w:szCs w:val="24"/>
                <w:highlight w:val="none"/>
                <w:vertAlign w:val="baseline"/>
                <w:lang w:val="en-US" w:eastAsia="zh-CN" w:bidi="ar-SA"/>
              </w:rPr>
              <w:t>~60</w:t>
            </w:r>
          </w:p>
        </w:tc>
        <w:tc>
          <w:tcPr>
            <w:tcW w:w="337" w:type="pct"/>
            <w:vAlign w:val="center"/>
          </w:tcPr>
          <w:p w14:paraId="46A0209C">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0.4%～0.6%</w:t>
            </w:r>
          </w:p>
        </w:tc>
        <w:tc>
          <w:tcPr>
            <w:tcW w:w="443" w:type="pct"/>
            <w:vAlign w:val="center"/>
          </w:tcPr>
          <w:p w14:paraId="19BCA8E8">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3～4</w:t>
            </w:r>
          </w:p>
        </w:tc>
        <w:tc>
          <w:tcPr>
            <w:tcW w:w="377" w:type="pct"/>
            <w:vAlign w:val="center"/>
          </w:tcPr>
          <w:p w14:paraId="1151A615">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50</w:t>
            </w:r>
            <w:r>
              <w:rPr>
                <w:rFonts w:hint="eastAsia" w:ascii="Times New Roman" w:hAnsi="Times New Roman" w:cs="Times New Roman"/>
                <w:kern w:val="2"/>
                <w:sz w:val="24"/>
                <w:szCs w:val="24"/>
                <w:highlight w:val="none"/>
                <w:vertAlign w:val="baseline"/>
                <w:lang w:val="en-US" w:eastAsia="zh-CN" w:bidi="ar-SA"/>
              </w:rPr>
              <w:t>~70</w:t>
            </w:r>
          </w:p>
        </w:tc>
        <w:tc>
          <w:tcPr>
            <w:tcW w:w="337" w:type="pct"/>
            <w:vAlign w:val="center"/>
          </w:tcPr>
          <w:p w14:paraId="63684C2D">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0.6%～0.8%</w:t>
            </w:r>
          </w:p>
        </w:tc>
        <w:tc>
          <w:tcPr>
            <w:tcW w:w="443" w:type="pct"/>
            <w:vAlign w:val="center"/>
          </w:tcPr>
          <w:p w14:paraId="78F7DD90">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4～5</w:t>
            </w:r>
          </w:p>
        </w:tc>
        <w:tc>
          <w:tcPr>
            <w:tcW w:w="377" w:type="pct"/>
            <w:vAlign w:val="center"/>
          </w:tcPr>
          <w:p w14:paraId="36E42808">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highlight w:val="none"/>
                <w:vertAlign w:val="baseline"/>
                <w:lang w:val="en-US" w:eastAsia="zh-CN"/>
              </w:rPr>
              <w:t>60</w:t>
            </w:r>
            <w:r>
              <w:rPr>
                <w:rFonts w:hint="eastAsia" w:ascii="Times New Roman" w:hAnsi="Times New Roman" w:cs="Times New Roman"/>
                <w:kern w:val="2"/>
                <w:sz w:val="24"/>
                <w:szCs w:val="24"/>
                <w:highlight w:val="none"/>
                <w:vertAlign w:val="baseline"/>
                <w:lang w:val="en-US" w:eastAsia="zh-CN" w:bidi="ar-SA"/>
              </w:rPr>
              <w:t>~80</w:t>
            </w:r>
          </w:p>
        </w:tc>
        <w:tc>
          <w:tcPr>
            <w:tcW w:w="337" w:type="pct"/>
            <w:vAlign w:val="center"/>
          </w:tcPr>
          <w:p w14:paraId="1CF0458B">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0.7%～1%</w:t>
            </w:r>
          </w:p>
        </w:tc>
        <w:tc>
          <w:tcPr>
            <w:tcW w:w="443" w:type="pct"/>
            <w:vAlign w:val="center"/>
          </w:tcPr>
          <w:p w14:paraId="3321B645">
            <w:pPr>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5～6</w:t>
            </w:r>
          </w:p>
        </w:tc>
      </w:tr>
      <w:tr w14:paraId="1464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Merge w:val="continue"/>
            <w:vAlign w:val="center"/>
          </w:tcPr>
          <w:p w14:paraId="6396764D">
            <w:pPr>
              <w:jc w:val="center"/>
              <w:rPr>
                <w:rFonts w:hint="eastAsia" w:ascii="Times New Roman" w:hAnsi="Times New Roman" w:cs="Times New Roman"/>
                <w:highlight w:val="none"/>
                <w:vertAlign w:val="baseline"/>
                <w:lang w:val="en-US" w:eastAsia="zh-CN"/>
              </w:rPr>
            </w:pPr>
          </w:p>
        </w:tc>
        <w:tc>
          <w:tcPr>
            <w:tcW w:w="300" w:type="pct"/>
            <w:vMerge w:val="continue"/>
            <w:vAlign w:val="center"/>
          </w:tcPr>
          <w:p w14:paraId="231B16FF">
            <w:pPr>
              <w:jc w:val="center"/>
              <w:rPr>
                <w:rFonts w:hint="eastAsia" w:ascii="Times New Roman" w:hAnsi="Times New Roman" w:cs="Times New Roman"/>
                <w:highlight w:val="none"/>
                <w:vertAlign w:val="baseline"/>
                <w:lang w:val="en-US" w:eastAsia="zh-CN"/>
              </w:rPr>
            </w:pPr>
          </w:p>
        </w:tc>
        <w:tc>
          <w:tcPr>
            <w:tcW w:w="898" w:type="pct"/>
            <w:vAlign w:val="center"/>
          </w:tcPr>
          <w:p w14:paraId="486C262C">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重力式挡墙、悬臂式挡墙、扶壁式挡墙</w:t>
            </w:r>
          </w:p>
        </w:tc>
        <w:tc>
          <w:tcPr>
            <w:tcW w:w="377" w:type="pct"/>
            <w:vAlign w:val="center"/>
          </w:tcPr>
          <w:p w14:paraId="39E501E2">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40</w:t>
            </w:r>
            <w:r>
              <w:rPr>
                <w:rFonts w:hint="eastAsia" w:ascii="Times New Roman" w:hAnsi="Times New Roman" w:cs="Times New Roman"/>
                <w:kern w:val="2"/>
                <w:sz w:val="24"/>
                <w:szCs w:val="24"/>
                <w:highlight w:val="none"/>
                <w:vertAlign w:val="baseline"/>
                <w:lang w:val="en-US" w:eastAsia="zh-CN" w:bidi="ar-SA"/>
              </w:rPr>
              <w:t>~60</w:t>
            </w:r>
          </w:p>
        </w:tc>
        <w:tc>
          <w:tcPr>
            <w:tcW w:w="337" w:type="pct"/>
            <w:vAlign w:val="center"/>
          </w:tcPr>
          <w:p w14:paraId="603C79D8">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0.4%～0.6%</w:t>
            </w:r>
          </w:p>
        </w:tc>
        <w:tc>
          <w:tcPr>
            <w:tcW w:w="443" w:type="pct"/>
            <w:vAlign w:val="center"/>
          </w:tcPr>
          <w:p w14:paraId="7FB3B3B9">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3～4</w:t>
            </w:r>
          </w:p>
        </w:tc>
        <w:tc>
          <w:tcPr>
            <w:tcW w:w="377" w:type="pct"/>
            <w:vAlign w:val="center"/>
          </w:tcPr>
          <w:p w14:paraId="48886BE2">
            <w:pPr>
              <w:jc w:val="center"/>
              <w:rPr>
                <w:rFonts w:hint="eastAsia" w:ascii="Times New Roman" w:hAnsi="Times New Roman" w:cs="Times New Roman" w:eastAsiaTheme="minorEastAsia"/>
                <w:kern w:val="2"/>
                <w:sz w:val="24"/>
                <w:szCs w:val="24"/>
                <w:highlight w:val="none"/>
                <w:vertAlign w:val="baseline"/>
                <w:lang w:val="en-US" w:eastAsia="zh-CN" w:bidi="ar-SA"/>
              </w:rPr>
            </w:pPr>
            <w:r>
              <w:rPr>
                <w:rFonts w:hint="eastAsia" w:ascii="Times New Roman" w:hAnsi="Times New Roman" w:cs="Times New Roman"/>
                <w:highlight w:val="none"/>
                <w:vertAlign w:val="baseline"/>
                <w:lang w:val="en-US" w:eastAsia="zh-CN"/>
              </w:rPr>
              <w:t>50</w:t>
            </w:r>
            <w:r>
              <w:rPr>
                <w:rFonts w:hint="eastAsia" w:ascii="Times New Roman" w:hAnsi="Times New Roman" w:cs="Times New Roman"/>
                <w:kern w:val="2"/>
                <w:sz w:val="24"/>
                <w:szCs w:val="24"/>
                <w:highlight w:val="none"/>
                <w:vertAlign w:val="baseline"/>
                <w:lang w:val="en-US" w:eastAsia="zh-CN" w:bidi="ar-SA"/>
              </w:rPr>
              <w:t>~60</w:t>
            </w:r>
          </w:p>
        </w:tc>
        <w:tc>
          <w:tcPr>
            <w:tcW w:w="337" w:type="pct"/>
            <w:vAlign w:val="center"/>
          </w:tcPr>
          <w:p w14:paraId="129A88CA">
            <w:pPr>
              <w:jc w:val="center"/>
              <w:rPr>
                <w:rFonts w:hint="eastAsia" w:ascii="Times New Roman" w:hAnsi="Times New Roman" w:cs="Times New Roman" w:eastAsiaTheme="minorEastAsia"/>
                <w:kern w:val="2"/>
                <w:sz w:val="24"/>
                <w:szCs w:val="24"/>
                <w:highlight w:val="none"/>
                <w:vertAlign w:val="baseline"/>
                <w:lang w:val="en-US" w:eastAsia="zh-CN" w:bidi="ar-SA"/>
              </w:rPr>
            </w:pPr>
            <w:r>
              <w:rPr>
                <w:rFonts w:hint="eastAsia" w:ascii="Times New Roman" w:hAnsi="Times New Roman" w:cs="Times New Roman"/>
                <w:kern w:val="2"/>
                <w:sz w:val="24"/>
                <w:szCs w:val="24"/>
                <w:highlight w:val="none"/>
                <w:vertAlign w:val="baseline"/>
                <w:lang w:val="en-US" w:eastAsia="zh-CN" w:bidi="ar-SA"/>
              </w:rPr>
              <w:t>0.6%～0.8%</w:t>
            </w:r>
          </w:p>
        </w:tc>
        <w:tc>
          <w:tcPr>
            <w:tcW w:w="443" w:type="pct"/>
            <w:vAlign w:val="center"/>
          </w:tcPr>
          <w:p w14:paraId="0680A2F8">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4～5</w:t>
            </w:r>
          </w:p>
        </w:tc>
        <w:tc>
          <w:tcPr>
            <w:tcW w:w="377" w:type="pct"/>
            <w:vAlign w:val="center"/>
          </w:tcPr>
          <w:p w14:paraId="3A2F427D">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highlight w:val="none"/>
                <w:vertAlign w:val="baseline"/>
                <w:lang w:val="en-US" w:eastAsia="zh-CN"/>
              </w:rPr>
              <w:t>60</w:t>
            </w:r>
            <w:r>
              <w:rPr>
                <w:rFonts w:hint="eastAsia" w:ascii="Times New Roman" w:hAnsi="Times New Roman" w:cs="Times New Roman"/>
                <w:kern w:val="2"/>
                <w:sz w:val="24"/>
                <w:szCs w:val="24"/>
                <w:highlight w:val="none"/>
                <w:vertAlign w:val="baseline"/>
                <w:lang w:val="en-US" w:eastAsia="zh-CN" w:bidi="ar-SA"/>
              </w:rPr>
              <w:t>~70</w:t>
            </w:r>
          </w:p>
        </w:tc>
        <w:tc>
          <w:tcPr>
            <w:tcW w:w="337" w:type="pct"/>
            <w:vAlign w:val="center"/>
          </w:tcPr>
          <w:p w14:paraId="0A9DCC1D">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0.7%～1%</w:t>
            </w:r>
          </w:p>
        </w:tc>
        <w:tc>
          <w:tcPr>
            <w:tcW w:w="443" w:type="pct"/>
            <w:vAlign w:val="center"/>
          </w:tcPr>
          <w:p w14:paraId="101E5FE7">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4～5</w:t>
            </w:r>
          </w:p>
        </w:tc>
      </w:tr>
      <w:tr w14:paraId="2982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Merge w:val="continue"/>
            <w:vAlign w:val="center"/>
          </w:tcPr>
          <w:p w14:paraId="69D5C971">
            <w:pPr>
              <w:jc w:val="center"/>
              <w:rPr>
                <w:rFonts w:hint="eastAsia" w:ascii="Times New Roman" w:hAnsi="Times New Roman" w:cs="Times New Roman"/>
                <w:highlight w:val="none"/>
                <w:vertAlign w:val="baseline"/>
                <w:lang w:val="en-US" w:eastAsia="zh-CN"/>
              </w:rPr>
            </w:pPr>
          </w:p>
        </w:tc>
        <w:tc>
          <w:tcPr>
            <w:tcW w:w="300" w:type="pct"/>
            <w:vMerge w:val="continue"/>
            <w:vAlign w:val="center"/>
          </w:tcPr>
          <w:p w14:paraId="6A8D9532">
            <w:pPr>
              <w:jc w:val="center"/>
              <w:rPr>
                <w:rFonts w:hint="eastAsia" w:ascii="Times New Roman" w:hAnsi="Times New Roman" w:cs="Times New Roman"/>
                <w:highlight w:val="none"/>
                <w:vertAlign w:val="baseline"/>
                <w:lang w:val="en-US" w:eastAsia="zh-CN"/>
              </w:rPr>
            </w:pPr>
          </w:p>
        </w:tc>
        <w:tc>
          <w:tcPr>
            <w:tcW w:w="898" w:type="pct"/>
            <w:vAlign w:val="center"/>
          </w:tcPr>
          <w:p w14:paraId="0F7EBD6A">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锚拉式桩板式挡墙、板肋式或格构式锚杆挡墙、排桩式锚杆挡墙</w:t>
            </w:r>
          </w:p>
        </w:tc>
        <w:tc>
          <w:tcPr>
            <w:tcW w:w="377" w:type="pct"/>
            <w:vAlign w:val="center"/>
          </w:tcPr>
          <w:p w14:paraId="267742B0">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30</w:t>
            </w:r>
            <w:r>
              <w:rPr>
                <w:rFonts w:hint="eastAsia" w:ascii="Times New Roman" w:hAnsi="Times New Roman" w:cs="Times New Roman"/>
                <w:kern w:val="2"/>
                <w:sz w:val="24"/>
                <w:szCs w:val="24"/>
                <w:highlight w:val="none"/>
                <w:vertAlign w:val="baseline"/>
                <w:lang w:val="en-US" w:eastAsia="zh-CN" w:bidi="ar-SA"/>
              </w:rPr>
              <w:t>~50</w:t>
            </w:r>
          </w:p>
        </w:tc>
        <w:tc>
          <w:tcPr>
            <w:tcW w:w="337" w:type="pct"/>
            <w:vAlign w:val="center"/>
          </w:tcPr>
          <w:p w14:paraId="5B8BFDF2">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0.3%～0.4%</w:t>
            </w:r>
          </w:p>
        </w:tc>
        <w:tc>
          <w:tcPr>
            <w:tcW w:w="443" w:type="pct"/>
            <w:vAlign w:val="center"/>
          </w:tcPr>
          <w:p w14:paraId="4D30C88D">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2～3</w:t>
            </w:r>
          </w:p>
        </w:tc>
        <w:tc>
          <w:tcPr>
            <w:tcW w:w="377" w:type="pct"/>
            <w:vAlign w:val="center"/>
          </w:tcPr>
          <w:p w14:paraId="40E82285">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40</w:t>
            </w:r>
            <w:r>
              <w:rPr>
                <w:rFonts w:hint="eastAsia" w:ascii="Times New Roman" w:hAnsi="Times New Roman" w:cs="Times New Roman"/>
                <w:kern w:val="2"/>
                <w:sz w:val="24"/>
                <w:szCs w:val="24"/>
                <w:highlight w:val="none"/>
                <w:vertAlign w:val="baseline"/>
                <w:lang w:val="en-US" w:eastAsia="zh-CN" w:bidi="ar-SA"/>
              </w:rPr>
              <w:t>~60</w:t>
            </w:r>
          </w:p>
        </w:tc>
        <w:tc>
          <w:tcPr>
            <w:tcW w:w="337" w:type="pct"/>
            <w:vAlign w:val="center"/>
          </w:tcPr>
          <w:p w14:paraId="7977CA57">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kern w:val="2"/>
                <w:sz w:val="24"/>
                <w:szCs w:val="24"/>
                <w:highlight w:val="none"/>
                <w:vertAlign w:val="baseline"/>
                <w:lang w:val="en-US" w:eastAsia="zh-CN" w:bidi="ar-SA"/>
              </w:rPr>
              <w:t>0.4%～0.6%</w:t>
            </w:r>
          </w:p>
        </w:tc>
        <w:tc>
          <w:tcPr>
            <w:tcW w:w="443" w:type="pct"/>
            <w:vAlign w:val="center"/>
          </w:tcPr>
          <w:p w14:paraId="1E1DB89A">
            <w:pPr>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3～5</w:t>
            </w:r>
          </w:p>
        </w:tc>
        <w:tc>
          <w:tcPr>
            <w:tcW w:w="377" w:type="pct"/>
            <w:vAlign w:val="center"/>
          </w:tcPr>
          <w:p w14:paraId="6EA8CB99">
            <w:pPr>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50</w:t>
            </w:r>
            <w:r>
              <w:rPr>
                <w:rFonts w:hint="eastAsia" w:ascii="Times New Roman" w:hAnsi="Times New Roman" w:cs="Times New Roman"/>
                <w:kern w:val="2"/>
                <w:sz w:val="24"/>
                <w:szCs w:val="24"/>
                <w:highlight w:val="none"/>
                <w:vertAlign w:val="baseline"/>
                <w:lang w:val="en-US" w:eastAsia="zh-CN" w:bidi="ar-SA"/>
              </w:rPr>
              <w:t>~70</w:t>
            </w:r>
          </w:p>
        </w:tc>
        <w:tc>
          <w:tcPr>
            <w:tcW w:w="337" w:type="pct"/>
            <w:vAlign w:val="center"/>
          </w:tcPr>
          <w:p w14:paraId="6BE93106">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0.6%～0.8%</w:t>
            </w:r>
          </w:p>
        </w:tc>
        <w:tc>
          <w:tcPr>
            <w:tcW w:w="443" w:type="pct"/>
            <w:vAlign w:val="center"/>
          </w:tcPr>
          <w:p w14:paraId="7E7FD003">
            <w:pPr>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kern w:val="2"/>
                <w:sz w:val="24"/>
                <w:szCs w:val="24"/>
                <w:highlight w:val="none"/>
                <w:vertAlign w:val="baseline"/>
                <w:lang w:val="en-US" w:eastAsia="zh-CN" w:bidi="ar-SA"/>
              </w:rPr>
              <w:t>4～5</w:t>
            </w:r>
          </w:p>
        </w:tc>
      </w:tr>
      <w:tr w14:paraId="6FEE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14:paraId="7BBA1E11">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4</w:t>
            </w:r>
          </w:p>
        </w:tc>
        <w:tc>
          <w:tcPr>
            <w:tcW w:w="1198" w:type="pct"/>
            <w:gridSpan w:val="2"/>
            <w:vAlign w:val="center"/>
          </w:tcPr>
          <w:p w14:paraId="64A49525">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锚杆（索）拉力</w:t>
            </w:r>
          </w:p>
        </w:tc>
        <w:tc>
          <w:tcPr>
            <w:tcW w:w="1158" w:type="pct"/>
            <w:gridSpan w:val="3"/>
            <w:vAlign w:val="center"/>
          </w:tcPr>
          <w:p w14:paraId="78BCB7CA">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最大值：（60%～80%）</w:t>
            </w:r>
            <w:r>
              <w:rPr>
                <w:rFonts w:hint="eastAsia" w:ascii="Times New Roman" w:hAnsi="Times New Roman" w:cs="Times New Roman"/>
                <w:i/>
                <w:iCs/>
                <w:highlight w:val="none"/>
                <w:lang w:val="en-US" w:eastAsia="zh-CN"/>
              </w:rPr>
              <w:t>f</w:t>
            </w:r>
          </w:p>
          <w:p w14:paraId="3031FC1D">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最小值：（80%～100%）</w:t>
            </w:r>
            <w:r>
              <w:rPr>
                <w:rFonts w:hint="eastAsia" w:ascii="Times New Roman" w:hAnsi="Times New Roman" w:cs="Times New Roman"/>
                <w:i/>
                <w:iCs/>
                <w:highlight w:val="none"/>
                <w:lang w:val="en-US" w:eastAsia="zh-CN"/>
              </w:rPr>
              <w:t>f</w:t>
            </w:r>
            <w:r>
              <w:rPr>
                <w:rFonts w:hint="eastAsia" w:ascii="Times New Roman" w:hAnsi="Times New Roman" w:cs="Times New Roman"/>
                <w:i/>
                <w:iCs/>
                <w:highlight w:val="none"/>
                <w:vertAlign w:val="subscript"/>
                <w:lang w:val="en-US" w:eastAsia="zh-CN"/>
              </w:rPr>
              <w:t>y</w:t>
            </w:r>
          </w:p>
        </w:tc>
        <w:tc>
          <w:tcPr>
            <w:tcW w:w="1158" w:type="pct"/>
            <w:gridSpan w:val="3"/>
            <w:vAlign w:val="center"/>
          </w:tcPr>
          <w:p w14:paraId="656024CA">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最大值：（70%～80%）</w:t>
            </w:r>
            <w:r>
              <w:rPr>
                <w:rFonts w:hint="eastAsia" w:ascii="Times New Roman" w:hAnsi="Times New Roman" w:cs="Times New Roman"/>
                <w:i/>
                <w:iCs/>
                <w:highlight w:val="none"/>
                <w:lang w:val="en-US" w:eastAsia="zh-CN"/>
              </w:rPr>
              <w:t>f</w:t>
            </w:r>
          </w:p>
          <w:p w14:paraId="08629C02">
            <w:pPr>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highlight w:val="none"/>
                <w:vertAlign w:val="baseline"/>
                <w:lang w:val="en-US" w:eastAsia="zh-CN"/>
              </w:rPr>
              <w:t>最小值：（80%～100%）</w:t>
            </w:r>
            <w:r>
              <w:rPr>
                <w:rFonts w:hint="eastAsia" w:ascii="Times New Roman" w:hAnsi="Times New Roman" w:cs="Times New Roman"/>
                <w:i/>
                <w:iCs/>
                <w:highlight w:val="none"/>
                <w:lang w:val="en-US" w:eastAsia="zh-CN"/>
              </w:rPr>
              <w:t>f</w:t>
            </w:r>
            <w:r>
              <w:rPr>
                <w:rFonts w:hint="eastAsia" w:ascii="Times New Roman" w:hAnsi="Times New Roman" w:cs="Times New Roman"/>
                <w:i/>
                <w:iCs/>
                <w:highlight w:val="none"/>
                <w:vertAlign w:val="subscript"/>
                <w:lang w:val="en-US" w:eastAsia="zh-CN"/>
              </w:rPr>
              <w:t>y</w:t>
            </w:r>
          </w:p>
        </w:tc>
        <w:tc>
          <w:tcPr>
            <w:tcW w:w="1158" w:type="pct"/>
            <w:gridSpan w:val="3"/>
            <w:vAlign w:val="center"/>
          </w:tcPr>
          <w:p w14:paraId="0C58181E">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最大值：（70%～80%）</w:t>
            </w:r>
            <w:r>
              <w:rPr>
                <w:rFonts w:hint="eastAsia" w:ascii="Times New Roman" w:hAnsi="Times New Roman" w:cs="Times New Roman"/>
                <w:i/>
                <w:iCs/>
                <w:highlight w:val="none"/>
                <w:lang w:val="en-US" w:eastAsia="zh-CN"/>
              </w:rPr>
              <w:t>f</w:t>
            </w:r>
          </w:p>
          <w:p w14:paraId="449B98FA">
            <w:pPr>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highlight w:val="none"/>
                <w:vertAlign w:val="baseline"/>
                <w:lang w:val="en-US" w:eastAsia="zh-CN"/>
              </w:rPr>
              <w:t>最小值：（80%～100%）</w:t>
            </w:r>
            <w:r>
              <w:rPr>
                <w:rFonts w:hint="eastAsia" w:ascii="Times New Roman" w:hAnsi="Times New Roman" w:cs="Times New Roman"/>
                <w:i/>
                <w:iCs/>
                <w:highlight w:val="none"/>
                <w:lang w:val="en-US" w:eastAsia="zh-CN"/>
              </w:rPr>
              <w:t>f</w:t>
            </w:r>
            <w:r>
              <w:rPr>
                <w:rFonts w:hint="eastAsia" w:ascii="Times New Roman" w:hAnsi="Times New Roman" w:cs="Times New Roman"/>
                <w:i/>
                <w:iCs/>
                <w:highlight w:val="none"/>
                <w:vertAlign w:val="subscript"/>
                <w:lang w:val="en-US" w:eastAsia="zh-CN"/>
              </w:rPr>
              <w:t>y</w:t>
            </w:r>
          </w:p>
        </w:tc>
      </w:tr>
      <w:tr w14:paraId="107F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14:paraId="6D2E574B">
            <w:pPr>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5</w:t>
            </w:r>
          </w:p>
        </w:tc>
        <w:tc>
          <w:tcPr>
            <w:tcW w:w="1198" w:type="pct"/>
            <w:gridSpan w:val="2"/>
            <w:vAlign w:val="center"/>
          </w:tcPr>
          <w:p w14:paraId="38038A45">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支护结构应力</w:t>
            </w:r>
          </w:p>
        </w:tc>
        <w:tc>
          <w:tcPr>
            <w:tcW w:w="1158" w:type="pct"/>
            <w:gridSpan w:val="3"/>
            <w:vAlign w:val="center"/>
          </w:tcPr>
          <w:p w14:paraId="17353BB5">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（60%～70%）</w:t>
            </w:r>
            <w:r>
              <w:rPr>
                <w:rFonts w:hint="eastAsia" w:ascii="Times New Roman" w:hAnsi="Times New Roman" w:cs="Times New Roman"/>
                <w:i/>
                <w:iCs/>
                <w:highlight w:val="none"/>
                <w:lang w:val="en-US" w:eastAsia="zh-CN"/>
              </w:rPr>
              <w:t>f</w:t>
            </w:r>
          </w:p>
        </w:tc>
        <w:tc>
          <w:tcPr>
            <w:tcW w:w="1158" w:type="pct"/>
            <w:gridSpan w:val="3"/>
            <w:vAlign w:val="center"/>
          </w:tcPr>
          <w:p w14:paraId="234ECCF4">
            <w:pPr>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highlight w:val="none"/>
                <w:vertAlign w:val="baseline"/>
                <w:lang w:val="en-US" w:eastAsia="zh-CN"/>
              </w:rPr>
              <w:t>（70%～80%）</w:t>
            </w:r>
            <w:r>
              <w:rPr>
                <w:rFonts w:hint="eastAsia" w:ascii="Times New Roman" w:hAnsi="Times New Roman" w:cs="Times New Roman"/>
                <w:i/>
                <w:iCs/>
                <w:highlight w:val="none"/>
                <w:lang w:val="en-US" w:eastAsia="zh-CN"/>
              </w:rPr>
              <w:t>f</w:t>
            </w:r>
          </w:p>
        </w:tc>
        <w:tc>
          <w:tcPr>
            <w:tcW w:w="1158" w:type="pct"/>
            <w:gridSpan w:val="3"/>
            <w:vAlign w:val="center"/>
          </w:tcPr>
          <w:p w14:paraId="3243991A">
            <w:pPr>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highlight w:val="none"/>
                <w:vertAlign w:val="baseline"/>
                <w:lang w:val="en-US" w:eastAsia="zh-CN"/>
              </w:rPr>
              <w:t>（70%～80%）</w:t>
            </w:r>
            <w:r>
              <w:rPr>
                <w:rFonts w:hint="eastAsia" w:ascii="Times New Roman" w:hAnsi="Times New Roman" w:cs="Times New Roman"/>
                <w:i/>
                <w:iCs/>
                <w:highlight w:val="none"/>
                <w:lang w:val="en-US" w:eastAsia="zh-CN"/>
              </w:rPr>
              <w:t>f</w:t>
            </w:r>
          </w:p>
        </w:tc>
      </w:tr>
    </w:tbl>
    <w:p w14:paraId="359EAE26">
      <w:pPr>
        <w:widowControl w:val="0"/>
        <w:numPr>
          <w:ilvl w:val="0"/>
          <w:numId w:val="0"/>
        </w:numPr>
        <w:spacing w:line="360" w:lineRule="auto"/>
        <w:jc w:val="both"/>
        <w:rPr>
          <w:rFonts w:hint="eastAsia" w:ascii="Times New Roman" w:hAnsi="Times New Roman" w:cs="Times New Roman"/>
          <w:highlight w:val="none"/>
          <w:lang w:val="en-US" w:eastAsia="zh-CN"/>
        </w:rPr>
      </w:pPr>
      <w:r>
        <w:rPr>
          <w:rFonts w:hint="eastAsia" w:ascii="Times New Roman" w:hAnsi="Times New Roman" w:cs="Times New Roman"/>
          <w:i w:val="0"/>
          <w:iCs w:val="0"/>
          <w:highlight w:val="none"/>
          <w:lang w:val="en-US" w:eastAsia="zh-CN"/>
        </w:rPr>
        <w:t xml:space="preserve">注：1 </w:t>
      </w:r>
      <w:r>
        <w:rPr>
          <w:rFonts w:hint="eastAsia" w:ascii="Times New Roman" w:hAnsi="Times New Roman" w:cs="Times New Roman"/>
          <w:i/>
          <w:iCs/>
          <w:highlight w:val="none"/>
          <w:lang w:val="en-US" w:eastAsia="zh-CN"/>
        </w:rPr>
        <w:t>f</w:t>
      </w:r>
      <w:r>
        <w:rPr>
          <w:rFonts w:hint="eastAsia" w:ascii="Times New Roman" w:hAnsi="Times New Roman" w:cs="Times New Roman"/>
          <w:highlight w:val="none"/>
          <w:lang w:val="en-US" w:eastAsia="zh-CN"/>
        </w:rPr>
        <w:t>--构件承载能力设计值，锚杆为极限抗拔承载力，</w:t>
      </w:r>
      <w:r>
        <w:rPr>
          <w:rFonts w:hint="eastAsia" w:ascii="Times New Roman" w:hAnsi="Times New Roman" w:cs="Times New Roman"/>
          <w:i/>
          <w:iCs/>
          <w:highlight w:val="none"/>
          <w:lang w:val="en-US" w:eastAsia="zh-CN"/>
        </w:rPr>
        <w:t>f</w:t>
      </w:r>
      <w:r>
        <w:rPr>
          <w:rFonts w:hint="eastAsia" w:ascii="Times New Roman" w:hAnsi="Times New Roman" w:cs="Times New Roman"/>
          <w:i/>
          <w:iCs/>
          <w:highlight w:val="none"/>
          <w:vertAlign w:val="subscript"/>
          <w:lang w:val="en-US" w:eastAsia="zh-CN"/>
        </w:rPr>
        <w:t>y</w:t>
      </w:r>
      <w:r>
        <w:rPr>
          <w:rFonts w:hint="eastAsia" w:ascii="Times New Roman" w:hAnsi="Times New Roman" w:cs="Times New Roman"/>
          <w:highlight w:val="none"/>
          <w:lang w:val="en-US" w:eastAsia="zh-CN"/>
        </w:rPr>
        <w:t>--锚杆预应力设计值</w:t>
      </w:r>
    </w:p>
    <w:p w14:paraId="466DEB24">
      <w:pPr>
        <w:widowControl w:val="0"/>
        <w:numPr>
          <w:ilvl w:val="0"/>
          <w:numId w:val="0"/>
        </w:numPr>
        <w:spacing w:line="360" w:lineRule="auto"/>
        <w:jc w:val="both"/>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    2 对于支护结构的水平位移、竖向位移和深层水平预警值，可采用边坡</w:t>
      </w:r>
      <w:bookmarkStart w:id="282" w:name="_GoBack"/>
      <w:bookmarkEnd w:id="282"/>
      <w:r>
        <w:rPr>
          <w:rFonts w:hint="eastAsia" w:ascii="Times New Roman" w:hAnsi="Times New Roman" w:cs="Times New Roman"/>
          <w:highlight w:val="none"/>
          <w:lang w:val="en-US" w:eastAsia="zh-CN"/>
        </w:rPr>
        <w:t>开挖高度或填埋深度代替边坡高度进行计算</w:t>
      </w:r>
    </w:p>
    <w:p w14:paraId="35472D49">
      <w:pPr>
        <w:widowControl w:val="0"/>
        <w:numPr>
          <w:ilvl w:val="0"/>
          <w:numId w:val="0"/>
        </w:numPr>
        <w:spacing w:line="360" w:lineRule="auto"/>
        <w:jc w:val="both"/>
        <w:rPr>
          <w:rFonts w:hint="default" w:ascii="Times New Roman" w:hAnsi="Times New Roman" w:cs="Times New Roman"/>
          <w:highlight w:val="none"/>
          <w:shd w:val="clear"/>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78D441A7">
      <w:pPr>
        <w:widowControl w:val="0"/>
        <w:numPr>
          <w:ilvl w:val="0"/>
          <w:numId w:val="0"/>
        </w:numPr>
        <w:spacing w:line="360" w:lineRule="auto"/>
        <w:jc w:val="center"/>
        <w:rPr>
          <w:rFonts w:hint="eastAsia" w:ascii="Times New Roman" w:hAnsi="Times New Roman" w:cs="Times New Roman"/>
          <w:highlight w:val="none"/>
          <w:lang w:val="en-US" w:eastAsia="zh-CN"/>
        </w:rPr>
      </w:pPr>
      <w:r>
        <w:rPr>
          <w:rFonts w:hint="eastAsia" w:ascii="Times New Roman" w:hAnsi="Times New Roman" w:cs="Times New Roman"/>
          <w:highlight w:val="none"/>
          <w:shd w:val="clear"/>
          <w:lang w:val="en-US" w:eastAsia="zh-CN"/>
        </w:rPr>
        <w:t>8.0.3-2 施工期周边环境及地下水位监测预警值</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862"/>
        <w:gridCol w:w="779"/>
        <w:gridCol w:w="8"/>
        <w:gridCol w:w="1426"/>
        <w:gridCol w:w="2347"/>
        <w:gridCol w:w="1257"/>
        <w:gridCol w:w="1106"/>
      </w:tblGrid>
      <w:tr w14:paraId="1C4C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5A54C77E">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序号</w:t>
            </w:r>
          </w:p>
        </w:tc>
        <w:tc>
          <w:tcPr>
            <w:tcW w:w="3103" w:type="dxa"/>
            <w:gridSpan w:val="4"/>
            <w:vAlign w:val="center"/>
          </w:tcPr>
          <w:p w14:paraId="54A62B40">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监测项目</w:t>
            </w:r>
          </w:p>
        </w:tc>
        <w:tc>
          <w:tcPr>
            <w:tcW w:w="2367" w:type="dxa"/>
            <w:vAlign w:val="center"/>
          </w:tcPr>
          <w:p w14:paraId="57226F0D">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累计值（mm）</w:t>
            </w:r>
          </w:p>
        </w:tc>
        <w:tc>
          <w:tcPr>
            <w:tcW w:w="1192" w:type="dxa"/>
            <w:vAlign w:val="center"/>
          </w:tcPr>
          <w:p w14:paraId="5024A778">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变化速率（mm/d）</w:t>
            </w:r>
          </w:p>
        </w:tc>
        <w:tc>
          <w:tcPr>
            <w:tcW w:w="1118" w:type="dxa"/>
            <w:vAlign w:val="center"/>
          </w:tcPr>
          <w:p w14:paraId="18238D77">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备注</w:t>
            </w:r>
          </w:p>
        </w:tc>
      </w:tr>
      <w:tr w14:paraId="02BD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2B35EE35">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1</w:t>
            </w:r>
          </w:p>
        </w:tc>
        <w:tc>
          <w:tcPr>
            <w:tcW w:w="3103" w:type="dxa"/>
            <w:gridSpan w:val="4"/>
            <w:vAlign w:val="center"/>
          </w:tcPr>
          <w:p w14:paraId="66DF1461">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地下水位</w:t>
            </w:r>
          </w:p>
        </w:tc>
        <w:tc>
          <w:tcPr>
            <w:tcW w:w="2367" w:type="dxa"/>
            <w:vAlign w:val="center"/>
          </w:tcPr>
          <w:p w14:paraId="6CDBC757">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1000</w:t>
            </w:r>
            <w:r>
              <w:rPr>
                <w:rFonts w:hint="eastAsia" w:ascii="Times New Roman" w:hAnsi="Times New Roman" w:cs="Times New Roman"/>
                <w:kern w:val="2"/>
                <w:sz w:val="24"/>
                <w:szCs w:val="24"/>
                <w:highlight w:val="none"/>
                <w:vertAlign w:val="baseline"/>
                <w:lang w:val="en-US" w:eastAsia="zh-CN" w:bidi="ar-SA"/>
              </w:rPr>
              <w:t>~</w:t>
            </w:r>
            <w:r>
              <w:rPr>
                <w:rFonts w:hint="eastAsia" w:ascii="Times New Roman" w:hAnsi="Times New Roman" w:cs="Times New Roman"/>
                <w:highlight w:val="none"/>
                <w:vertAlign w:val="baseline"/>
                <w:lang w:val="en-US" w:eastAsia="zh-CN"/>
              </w:rPr>
              <w:t>2000</w:t>
            </w:r>
          </w:p>
          <w:p w14:paraId="691990CD">
            <w:pPr>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（常年变幅以外）</w:t>
            </w:r>
          </w:p>
        </w:tc>
        <w:tc>
          <w:tcPr>
            <w:tcW w:w="1192" w:type="dxa"/>
            <w:vAlign w:val="center"/>
          </w:tcPr>
          <w:p w14:paraId="75086D3D">
            <w:pPr>
              <w:jc w:val="center"/>
              <w:rPr>
                <w:rFonts w:hint="eastAsia" w:ascii="Times New Roman" w:hAnsi="Times New Roman" w:cs="Times New Roman" w:eastAsiaTheme="minorEastAsia"/>
                <w:kern w:val="2"/>
                <w:sz w:val="24"/>
                <w:szCs w:val="24"/>
                <w:highlight w:val="none"/>
                <w:vertAlign w:val="baseline"/>
                <w:lang w:val="en-US" w:eastAsia="zh-CN" w:bidi="ar-SA"/>
              </w:rPr>
            </w:pPr>
            <w:r>
              <w:rPr>
                <w:rFonts w:hint="eastAsia" w:ascii="Times New Roman" w:hAnsi="Times New Roman" w:cs="Times New Roman"/>
                <w:highlight w:val="none"/>
                <w:vertAlign w:val="baseline"/>
                <w:lang w:val="en-US" w:eastAsia="zh-CN"/>
              </w:rPr>
              <w:t>500</w:t>
            </w:r>
          </w:p>
        </w:tc>
        <w:tc>
          <w:tcPr>
            <w:tcW w:w="1118" w:type="dxa"/>
            <w:vAlign w:val="center"/>
          </w:tcPr>
          <w:p w14:paraId="172FB00E">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w:t>
            </w:r>
          </w:p>
        </w:tc>
      </w:tr>
      <w:tr w14:paraId="6052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vAlign w:val="center"/>
          </w:tcPr>
          <w:p w14:paraId="36A995D6">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2</w:t>
            </w:r>
          </w:p>
        </w:tc>
        <w:tc>
          <w:tcPr>
            <w:tcW w:w="870" w:type="dxa"/>
            <w:vMerge w:val="restart"/>
            <w:vAlign w:val="center"/>
          </w:tcPr>
          <w:p w14:paraId="201A11F9">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管线竖向位移</w:t>
            </w:r>
          </w:p>
        </w:tc>
        <w:tc>
          <w:tcPr>
            <w:tcW w:w="793" w:type="dxa"/>
            <w:gridSpan w:val="2"/>
            <w:vMerge w:val="restart"/>
            <w:vAlign w:val="center"/>
          </w:tcPr>
          <w:p w14:paraId="0E85FAFB">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刚性管道</w:t>
            </w:r>
          </w:p>
        </w:tc>
        <w:tc>
          <w:tcPr>
            <w:tcW w:w="1440" w:type="dxa"/>
            <w:vAlign w:val="center"/>
          </w:tcPr>
          <w:p w14:paraId="60DA456B">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压力</w:t>
            </w:r>
          </w:p>
        </w:tc>
        <w:tc>
          <w:tcPr>
            <w:tcW w:w="2367" w:type="dxa"/>
            <w:vAlign w:val="center"/>
          </w:tcPr>
          <w:p w14:paraId="4658CDE4">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10</w:t>
            </w:r>
            <w:r>
              <w:rPr>
                <w:rFonts w:hint="eastAsia" w:ascii="Times New Roman" w:hAnsi="Times New Roman" w:cs="Times New Roman"/>
                <w:kern w:val="2"/>
                <w:sz w:val="24"/>
                <w:szCs w:val="24"/>
                <w:highlight w:val="none"/>
                <w:vertAlign w:val="baseline"/>
                <w:lang w:val="en-US" w:eastAsia="zh-CN" w:bidi="ar-SA"/>
              </w:rPr>
              <w:t>~20</w:t>
            </w:r>
          </w:p>
        </w:tc>
        <w:tc>
          <w:tcPr>
            <w:tcW w:w="1192" w:type="dxa"/>
            <w:vAlign w:val="center"/>
          </w:tcPr>
          <w:p w14:paraId="211E1376">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2</w:t>
            </w:r>
          </w:p>
        </w:tc>
        <w:tc>
          <w:tcPr>
            <w:tcW w:w="1118" w:type="dxa"/>
            <w:vMerge w:val="restart"/>
            <w:vAlign w:val="center"/>
          </w:tcPr>
          <w:p w14:paraId="2FCAD36F">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直接观察点数据</w:t>
            </w:r>
          </w:p>
        </w:tc>
      </w:tr>
      <w:tr w14:paraId="446F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6CA64202">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870" w:type="dxa"/>
            <w:vMerge w:val="continue"/>
            <w:vAlign w:val="center"/>
          </w:tcPr>
          <w:p w14:paraId="23812E1F">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793" w:type="dxa"/>
            <w:gridSpan w:val="2"/>
            <w:vMerge w:val="continue"/>
            <w:vAlign w:val="center"/>
          </w:tcPr>
          <w:p w14:paraId="0DA1D399">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1440" w:type="dxa"/>
            <w:vAlign w:val="center"/>
          </w:tcPr>
          <w:p w14:paraId="60BB0DA7">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非压力</w:t>
            </w:r>
          </w:p>
        </w:tc>
        <w:tc>
          <w:tcPr>
            <w:tcW w:w="2367" w:type="dxa"/>
            <w:vAlign w:val="center"/>
          </w:tcPr>
          <w:p w14:paraId="18632FA4">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10</w:t>
            </w:r>
            <w:r>
              <w:rPr>
                <w:rFonts w:hint="eastAsia" w:ascii="Times New Roman" w:hAnsi="Times New Roman" w:cs="Times New Roman"/>
                <w:kern w:val="2"/>
                <w:sz w:val="24"/>
                <w:szCs w:val="24"/>
                <w:highlight w:val="none"/>
                <w:vertAlign w:val="baseline"/>
                <w:lang w:val="en-US" w:eastAsia="zh-CN" w:bidi="ar-SA"/>
              </w:rPr>
              <w:t>~30</w:t>
            </w:r>
          </w:p>
        </w:tc>
        <w:tc>
          <w:tcPr>
            <w:tcW w:w="1192" w:type="dxa"/>
            <w:vAlign w:val="center"/>
          </w:tcPr>
          <w:p w14:paraId="047651E9">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2</w:t>
            </w:r>
          </w:p>
        </w:tc>
        <w:tc>
          <w:tcPr>
            <w:tcW w:w="1118" w:type="dxa"/>
            <w:vMerge w:val="continue"/>
            <w:vAlign w:val="center"/>
          </w:tcPr>
          <w:p w14:paraId="53959279">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r>
      <w:tr w14:paraId="7227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0EE263C7">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870" w:type="dxa"/>
            <w:vMerge w:val="continue"/>
            <w:vAlign w:val="center"/>
          </w:tcPr>
          <w:p w14:paraId="0990E102">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2233" w:type="dxa"/>
            <w:gridSpan w:val="3"/>
            <w:vAlign w:val="center"/>
          </w:tcPr>
          <w:p w14:paraId="216A2AE8">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柔性管线</w:t>
            </w:r>
          </w:p>
        </w:tc>
        <w:tc>
          <w:tcPr>
            <w:tcW w:w="2367" w:type="dxa"/>
            <w:vAlign w:val="center"/>
          </w:tcPr>
          <w:p w14:paraId="74E51BB4">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10</w:t>
            </w:r>
            <w:r>
              <w:rPr>
                <w:rFonts w:hint="eastAsia" w:ascii="Times New Roman" w:hAnsi="Times New Roman" w:cs="Times New Roman"/>
                <w:kern w:val="2"/>
                <w:sz w:val="24"/>
                <w:szCs w:val="24"/>
                <w:highlight w:val="none"/>
                <w:vertAlign w:val="baseline"/>
                <w:lang w:val="en-US" w:eastAsia="zh-CN" w:bidi="ar-SA"/>
              </w:rPr>
              <w:t>~40</w:t>
            </w:r>
          </w:p>
        </w:tc>
        <w:tc>
          <w:tcPr>
            <w:tcW w:w="1192" w:type="dxa"/>
            <w:vAlign w:val="center"/>
          </w:tcPr>
          <w:p w14:paraId="75BCA5D7">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3</w:t>
            </w:r>
            <w:r>
              <w:rPr>
                <w:rFonts w:hint="eastAsia" w:ascii="Times New Roman" w:hAnsi="Times New Roman" w:cs="Times New Roman"/>
                <w:kern w:val="2"/>
                <w:sz w:val="24"/>
                <w:szCs w:val="24"/>
                <w:highlight w:val="none"/>
                <w:vertAlign w:val="baseline"/>
                <w:lang w:val="en-US" w:eastAsia="zh-CN" w:bidi="ar-SA"/>
              </w:rPr>
              <w:t>~5</w:t>
            </w:r>
          </w:p>
        </w:tc>
        <w:tc>
          <w:tcPr>
            <w:tcW w:w="1118" w:type="dxa"/>
            <w:vAlign w:val="center"/>
          </w:tcPr>
          <w:p w14:paraId="2A5C8113">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w:t>
            </w:r>
          </w:p>
        </w:tc>
      </w:tr>
      <w:tr w14:paraId="1676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7CE9E3BD">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3</w:t>
            </w:r>
          </w:p>
        </w:tc>
        <w:tc>
          <w:tcPr>
            <w:tcW w:w="3103" w:type="dxa"/>
            <w:gridSpan w:val="4"/>
            <w:vAlign w:val="center"/>
          </w:tcPr>
          <w:p w14:paraId="7AAE2061">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建（构）筑物位移</w:t>
            </w:r>
          </w:p>
        </w:tc>
        <w:tc>
          <w:tcPr>
            <w:tcW w:w="2367" w:type="dxa"/>
            <w:vAlign w:val="center"/>
          </w:tcPr>
          <w:p w14:paraId="6A96068E">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小于建筑物地基变形允许值</w:t>
            </w:r>
          </w:p>
        </w:tc>
        <w:tc>
          <w:tcPr>
            <w:tcW w:w="1192" w:type="dxa"/>
            <w:vAlign w:val="center"/>
          </w:tcPr>
          <w:p w14:paraId="2AA7D725">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2</w:t>
            </w:r>
            <w:r>
              <w:rPr>
                <w:rFonts w:hint="eastAsia" w:ascii="Times New Roman" w:hAnsi="Times New Roman" w:cs="Times New Roman"/>
                <w:kern w:val="2"/>
                <w:sz w:val="24"/>
                <w:szCs w:val="24"/>
                <w:highlight w:val="none"/>
                <w:vertAlign w:val="baseline"/>
                <w:lang w:val="en-US" w:eastAsia="zh-CN" w:bidi="ar-SA"/>
              </w:rPr>
              <w:t>~3</w:t>
            </w:r>
          </w:p>
        </w:tc>
        <w:tc>
          <w:tcPr>
            <w:tcW w:w="1118" w:type="dxa"/>
            <w:vAlign w:val="center"/>
          </w:tcPr>
          <w:p w14:paraId="418EB14E">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w:t>
            </w:r>
          </w:p>
        </w:tc>
      </w:tr>
      <w:tr w14:paraId="08B1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vAlign w:val="center"/>
          </w:tcPr>
          <w:p w14:paraId="04746EDD">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4</w:t>
            </w:r>
          </w:p>
        </w:tc>
        <w:tc>
          <w:tcPr>
            <w:tcW w:w="1655" w:type="dxa"/>
            <w:gridSpan w:val="2"/>
            <w:vMerge w:val="restart"/>
            <w:vAlign w:val="center"/>
          </w:tcPr>
          <w:p w14:paraId="3A87C0C3">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道路竖向位移</w:t>
            </w:r>
          </w:p>
        </w:tc>
        <w:tc>
          <w:tcPr>
            <w:tcW w:w="1448" w:type="dxa"/>
            <w:gridSpan w:val="2"/>
            <w:vAlign w:val="center"/>
          </w:tcPr>
          <w:p w14:paraId="286EFA1C">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高速公路、道路主干</w:t>
            </w:r>
          </w:p>
        </w:tc>
        <w:tc>
          <w:tcPr>
            <w:tcW w:w="2367" w:type="dxa"/>
            <w:vAlign w:val="center"/>
          </w:tcPr>
          <w:p w14:paraId="283655F2">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10</w:t>
            </w:r>
            <w:r>
              <w:rPr>
                <w:rFonts w:hint="eastAsia" w:ascii="Times New Roman" w:hAnsi="Times New Roman" w:cs="Times New Roman"/>
                <w:kern w:val="2"/>
                <w:sz w:val="24"/>
                <w:szCs w:val="24"/>
                <w:highlight w:val="none"/>
                <w:vertAlign w:val="baseline"/>
                <w:lang w:val="en-US" w:eastAsia="zh-CN" w:bidi="ar-SA"/>
              </w:rPr>
              <w:t>~30</w:t>
            </w:r>
          </w:p>
        </w:tc>
        <w:tc>
          <w:tcPr>
            <w:tcW w:w="1192" w:type="dxa"/>
            <w:vAlign w:val="center"/>
          </w:tcPr>
          <w:p w14:paraId="5E84433C">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3</w:t>
            </w:r>
          </w:p>
        </w:tc>
        <w:tc>
          <w:tcPr>
            <w:tcW w:w="1118" w:type="dxa"/>
            <w:vAlign w:val="center"/>
          </w:tcPr>
          <w:p w14:paraId="2E335539">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w:t>
            </w:r>
          </w:p>
        </w:tc>
      </w:tr>
      <w:tr w14:paraId="01B5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08EED180">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1655" w:type="dxa"/>
            <w:gridSpan w:val="2"/>
            <w:vMerge w:val="continue"/>
            <w:vAlign w:val="center"/>
          </w:tcPr>
          <w:p w14:paraId="3C7D01C3">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1448" w:type="dxa"/>
            <w:gridSpan w:val="2"/>
            <w:vAlign w:val="center"/>
          </w:tcPr>
          <w:p w14:paraId="4E79649D">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一般城市道路</w:t>
            </w:r>
          </w:p>
        </w:tc>
        <w:tc>
          <w:tcPr>
            <w:tcW w:w="2367" w:type="dxa"/>
            <w:vAlign w:val="center"/>
          </w:tcPr>
          <w:p w14:paraId="49753D5E">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20</w:t>
            </w:r>
            <w:r>
              <w:rPr>
                <w:rFonts w:hint="eastAsia" w:ascii="Times New Roman" w:hAnsi="Times New Roman" w:cs="Times New Roman"/>
                <w:kern w:val="2"/>
                <w:sz w:val="24"/>
                <w:szCs w:val="24"/>
                <w:highlight w:val="none"/>
                <w:vertAlign w:val="baseline"/>
                <w:lang w:val="en-US" w:eastAsia="zh-CN" w:bidi="ar-SA"/>
              </w:rPr>
              <w:t>~40</w:t>
            </w:r>
          </w:p>
        </w:tc>
        <w:tc>
          <w:tcPr>
            <w:tcW w:w="1192" w:type="dxa"/>
            <w:vAlign w:val="center"/>
          </w:tcPr>
          <w:p w14:paraId="27799800">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3</w:t>
            </w:r>
          </w:p>
        </w:tc>
        <w:tc>
          <w:tcPr>
            <w:tcW w:w="1118" w:type="dxa"/>
            <w:vAlign w:val="center"/>
          </w:tcPr>
          <w:p w14:paraId="68DFFAAD">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w:t>
            </w:r>
          </w:p>
        </w:tc>
      </w:tr>
      <w:tr w14:paraId="380E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vAlign w:val="center"/>
          </w:tcPr>
          <w:p w14:paraId="42A67BEA">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5</w:t>
            </w:r>
          </w:p>
        </w:tc>
        <w:tc>
          <w:tcPr>
            <w:tcW w:w="1663" w:type="dxa"/>
            <w:gridSpan w:val="3"/>
            <w:vMerge w:val="restart"/>
            <w:vAlign w:val="center"/>
          </w:tcPr>
          <w:p w14:paraId="13C21C6D">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裂缝宽度</w:t>
            </w:r>
          </w:p>
        </w:tc>
        <w:tc>
          <w:tcPr>
            <w:tcW w:w="1440" w:type="dxa"/>
            <w:vAlign w:val="center"/>
          </w:tcPr>
          <w:p w14:paraId="090168B1">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建筑结构性裂缝</w:t>
            </w:r>
          </w:p>
        </w:tc>
        <w:tc>
          <w:tcPr>
            <w:tcW w:w="2367" w:type="dxa"/>
            <w:vAlign w:val="center"/>
          </w:tcPr>
          <w:p w14:paraId="15E59652">
            <w:pPr>
              <w:jc w:val="center"/>
              <w:rPr>
                <w:rFonts w:hint="default" w:ascii="Times New Roman" w:hAnsi="Times New Roman" w:cs="Times New Roman"/>
                <w:kern w:val="2"/>
                <w:sz w:val="24"/>
                <w:szCs w:val="24"/>
                <w:highlight w:val="none"/>
                <w:vertAlign w:val="baseline"/>
                <w:lang w:val="en-US" w:eastAsia="zh-CN" w:bidi="ar-SA"/>
              </w:rPr>
            </w:pPr>
            <w:r>
              <w:rPr>
                <w:rFonts w:hint="eastAsia" w:ascii="Times New Roman" w:hAnsi="Times New Roman" w:cs="Times New Roman"/>
                <w:kern w:val="2"/>
                <w:sz w:val="24"/>
                <w:szCs w:val="24"/>
                <w:highlight w:val="none"/>
                <w:vertAlign w:val="baseline"/>
                <w:lang w:val="en-US" w:eastAsia="zh-CN" w:bidi="ar-SA"/>
              </w:rPr>
              <w:t>1.5~3</w:t>
            </w:r>
          </w:p>
          <w:p w14:paraId="255C8DFE">
            <w:pPr>
              <w:jc w:val="center"/>
              <w:rPr>
                <w:rFonts w:hint="eastAsia" w:ascii="Times New Roman" w:hAnsi="Times New Roman" w:cs="Times New Roman"/>
                <w:kern w:val="2"/>
                <w:sz w:val="24"/>
                <w:szCs w:val="24"/>
                <w:highlight w:val="none"/>
                <w:vertAlign w:val="baseline"/>
                <w:lang w:val="en-US" w:eastAsia="zh-CN" w:bidi="ar-SA"/>
              </w:rPr>
            </w:pPr>
            <w:r>
              <w:rPr>
                <w:rFonts w:hint="eastAsia" w:ascii="Times New Roman" w:hAnsi="Times New Roman" w:cs="Times New Roman"/>
                <w:kern w:val="2"/>
                <w:sz w:val="24"/>
                <w:szCs w:val="24"/>
                <w:highlight w:val="none"/>
                <w:vertAlign w:val="baseline"/>
                <w:lang w:val="en-US" w:eastAsia="zh-CN" w:bidi="ar-SA"/>
              </w:rPr>
              <w:t>（既有裂缝）</w:t>
            </w:r>
          </w:p>
          <w:p w14:paraId="0C29D3DF">
            <w:pPr>
              <w:jc w:val="center"/>
              <w:rPr>
                <w:rFonts w:hint="default" w:ascii="Times New Roman" w:hAnsi="Times New Roman" w:cs="Times New Roman"/>
                <w:kern w:val="2"/>
                <w:sz w:val="24"/>
                <w:szCs w:val="24"/>
                <w:highlight w:val="none"/>
                <w:vertAlign w:val="baseline"/>
                <w:lang w:val="en-US" w:eastAsia="zh-CN" w:bidi="ar-SA"/>
              </w:rPr>
            </w:pPr>
            <w:r>
              <w:rPr>
                <w:rFonts w:hint="eastAsia" w:ascii="Times New Roman" w:hAnsi="Times New Roman" w:cs="Times New Roman"/>
                <w:kern w:val="2"/>
                <w:sz w:val="24"/>
                <w:szCs w:val="24"/>
                <w:highlight w:val="none"/>
                <w:vertAlign w:val="baseline"/>
                <w:lang w:val="en-US" w:eastAsia="zh-CN" w:bidi="ar-SA"/>
              </w:rPr>
              <w:t>0.2~0.25</w:t>
            </w:r>
          </w:p>
          <w:p w14:paraId="33FB9013">
            <w:pPr>
              <w:jc w:val="center"/>
              <w:rPr>
                <w:rFonts w:hint="eastAsia" w:ascii="Times New Roman" w:hAnsi="Times New Roman" w:cs="Times New Roman" w:eastAsiaTheme="minorEastAsia"/>
                <w:kern w:val="2"/>
                <w:sz w:val="24"/>
                <w:szCs w:val="24"/>
                <w:highlight w:val="none"/>
                <w:vertAlign w:val="baseline"/>
                <w:lang w:val="en-US" w:eastAsia="zh-CN" w:bidi="ar-SA"/>
              </w:rPr>
            </w:pPr>
            <w:r>
              <w:rPr>
                <w:rFonts w:hint="eastAsia" w:ascii="Times New Roman" w:hAnsi="Times New Roman" w:cs="Times New Roman"/>
                <w:kern w:val="2"/>
                <w:sz w:val="24"/>
                <w:szCs w:val="24"/>
                <w:highlight w:val="none"/>
                <w:vertAlign w:val="baseline"/>
                <w:lang w:val="en-US" w:eastAsia="zh-CN" w:bidi="ar-SA"/>
              </w:rPr>
              <w:t>（新增裂缝）</w:t>
            </w:r>
          </w:p>
        </w:tc>
        <w:tc>
          <w:tcPr>
            <w:tcW w:w="1192" w:type="dxa"/>
            <w:vAlign w:val="center"/>
          </w:tcPr>
          <w:p w14:paraId="46884A63">
            <w:pPr>
              <w:jc w:val="center"/>
              <w:rPr>
                <w:rFonts w:hint="eastAsia" w:ascii="Times New Roman" w:hAnsi="Times New Roman" w:cs="Times New Roman" w:eastAsiaTheme="minorEastAsia"/>
                <w:kern w:val="2"/>
                <w:sz w:val="24"/>
                <w:szCs w:val="24"/>
                <w:highlight w:val="none"/>
                <w:vertAlign w:val="baseline"/>
                <w:lang w:val="en-US" w:eastAsia="zh-CN" w:bidi="ar-SA"/>
              </w:rPr>
            </w:pPr>
            <w:r>
              <w:rPr>
                <w:rFonts w:hint="eastAsia" w:ascii="Times New Roman" w:hAnsi="Times New Roman" w:cs="Times New Roman"/>
                <w:highlight w:val="none"/>
                <w:vertAlign w:val="baseline"/>
                <w:lang w:val="en-US" w:eastAsia="zh-CN"/>
              </w:rPr>
              <w:t>持续发展</w:t>
            </w:r>
          </w:p>
        </w:tc>
        <w:tc>
          <w:tcPr>
            <w:tcW w:w="1118" w:type="dxa"/>
            <w:vAlign w:val="center"/>
          </w:tcPr>
          <w:p w14:paraId="7848ADD2">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w:t>
            </w:r>
          </w:p>
        </w:tc>
      </w:tr>
      <w:tr w14:paraId="2558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47B46AF3">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1663" w:type="dxa"/>
            <w:gridSpan w:val="3"/>
            <w:vMerge w:val="continue"/>
            <w:vAlign w:val="center"/>
          </w:tcPr>
          <w:p w14:paraId="4DF23EA9">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1440" w:type="dxa"/>
            <w:vAlign w:val="center"/>
          </w:tcPr>
          <w:p w14:paraId="5B6D8BD4">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地表裂缝</w:t>
            </w:r>
          </w:p>
        </w:tc>
        <w:tc>
          <w:tcPr>
            <w:tcW w:w="2367" w:type="dxa"/>
            <w:vAlign w:val="center"/>
          </w:tcPr>
          <w:p w14:paraId="753E78F5">
            <w:pPr>
              <w:jc w:val="center"/>
              <w:rPr>
                <w:rFonts w:hint="eastAsia" w:ascii="Times New Roman" w:hAnsi="Times New Roman" w:cs="Times New Roman"/>
                <w:kern w:val="2"/>
                <w:sz w:val="24"/>
                <w:szCs w:val="24"/>
                <w:highlight w:val="none"/>
                <w:vertAlign w:val="baseline"/>
                <w:lang w:val="en-US" w:eastAsia="zh-CN" w:bidi="ar-SA"/>
              </w:rPr>
            </w:pPr>
            <w:r>
              <w:rPr>
                <w:rFonts w:hint="eastAsia" w:ascii="Times New Roman" w:hAnsi="Times New Roman" w:cs="Times New Roman"/>
                <w:kern w:val="2"/>
                <w:sz w:val="24"/>
                <w:szCs w:val="24"/>
                <w:highlight w:val="none"/>
                <w:vertAlign w:val="baseline"/>
                <w:lang w:val="en-US" w:eastAsia="zh-CN" w:bidi="ar-SA"/>
              </w:rPr>
              <w:t>10~15</w:t>
            </w:r>
          </w:p>
          <w:p w14:paraId="2F01D7AD">
            <w:pPr>
              <w:jc w:val="center"/>
              <w:rPr>
                <w:rFonts w:hint="eastAsia" w:ascii="Times New Roman" w:hAnsi="Times New Roman" w:cs="Times New Roman"/>
                <w:kern w:val="2"/>
                <w:sz w:val="24"/>
                <w:szCs w:val="24"/>
                <w:highlight w:val="none"/>
                <w:vertAlign w:val="baseline"/>
                <w:lang w:val="en-US" w:eastAsia="zh-CN" w:bidi="ar-SA"/>
              </w:rPr>
            </w:pPr>
            <w:r>
              <w:rPr>
                <w:rFonts w:hint="eastAsia" w:ascii="Times New Roman" w:hAnsi="Times New Roman" w:cs="Times New Roman"/>
                <w:kern w:val="2"/>
                <w:sz w:val="24"/>
                <w:szCs w:val="24"/>
                <w:highlight w:val="none"/>
                <w:vertAlign w:val="baseline"/>
                <w:lang w:val="en-US" w:eastAsia="zh-CN" w:bidi="ar-SA"/>
              </w:rPr>
              <w:t>（既有裂缝）</w:t>
            </w:r>
          </w:p>
          <w:p w14:paraId="6539F0A1">
            <w:pPr>
              <w:jc w:val="center"/>
              <w:rPr>
                <w:rFonts w:hint="eastAsia" w:ascii="Times New Roman" w:hAnsi="Times New Roman" w:cs="Times New Roman"/>
                <w:kern w:val="2"/>
                <w:sz w:val="24"/>
                <w:szCs w:val="24"/>
                <w:highlight w:val="none"/>
                <w:vertAlign w:val="baseline"/>
                <w:lang w:val="en-US" w:eastAsia="zh-CN" w:bidi="ar-SA"/>
              </w:rPr>
            </w:pPr>
            <w:r>
              <w:rPr>
                <w:rFonts w:hint="eastAsia" w:ascii="Times New Roman" w:hAnsi="Times New Roman" w:cs="Times New Roman"/>
                <w:kern w:val="2"/>
                <w:sz w:val="24"/>
                <w:szCs w:val="24"/>
                <w:highlight w:val="none"/>
                <w:vertAlign w:val="baseline"/>
                <w:lang w:val="en-US" w:eastAsia="zh-CN" w:bidi="ar-SA"/>
              </w:rPr>
              <w:t>1~3</w:t>
            </w:r>
          </w:p>
          <w:p w14:paraId="182BA69C">
            <w:pPr>
              <w:jc w:val="center"/>
              <w:rPr>
                <w:rFonts w:hint="eastAsia" w:ascii="Times New Roman" w:hAnsi="Times New Roman" w:cs="Times New Roman" w:eastAsiaTheme="minorEastAsia"/>
                <w:kern w:val="2"/>
                <w:sz w:val="24"/>
                <w:szCs w:val="24"/>
                <w:highlight w:val="none"/>
                <w:vertAlign w:val="baseline"/>
                <w:lang w:val="en-US" w:eastAsia="zh-CN" w:bidi="ar-SA"/>
              </w:rPr>
            </w:pPr>
            <w:r>
              <w:rPr>
                <w:rFonts w:hint="eastAsia" w:ascii="Times New Roman" w:hAnsi="Times New Roman" w:cs="Times New Roman"/>
                <w:kern w:val="2"/>
                <w:sz w:val="24"/>
                <w:szCs w:val="24"/>
                <w:highlight w:val="none"/>
                <w:vertAlign w:val="baseline"/>
                <w:lang w:val="en-US" w:eastAsia="zh-CN" w:bidi="ar-SA"/>
              </w:rPr>
              <w:t>（新增裂缝）</w:t>
            </w:r>
          </w:p>
        </w:tc>
        <w:tc>
          <w:tcPr>
            <w:tcW w:w="1192" w:type="dxa"/>
            <w:vAlign w:val="center"/>
          </w:tcPr>
          <w:p w14:paraId="6DD9E8E4">
            <w:pPr>
              <w:jc w:val="center"/>
              <w:rPr>
                <w:rFonts w:hint="eastAsia" w:ascii="Times New Roman" w:hAnsi="Times New Roman" w:cs="Times New Roman" w:eastAsiaTheme="minorEastAsia"/>
                <w:kern w:val="2"/>
                <w:sz w:val="24"/>
                <w:szCs w:val="24"/>
                <w:highlight w:val="none"/>
                <w:vertAlign w:val="baseline"/>
                <w:lang w:val="en-US" w:eastAsia="zh-CN" w:bidi="ar-SA"/>
              </w:rPr>
            </w:pPr>
            <w:r>
              <w:rPr>
                <w:rFonts w:hint="eastAsia" w:ascii="Times New Roman" w:hAnsi="Times New Roman" w:cs="Times New Roman"/>
                <w:highlight w:val="none"/>
                <w:vertAlign w:val="baseline"/>
                <w:lang w:val="en-US" w:eastAsia="zh-CN"/>
              </w:rPr>
              <w:t>持续发展</w:t>
            </w:r>
          </w:p>
        </w:tc>
        <w:tc>
          <w:tcPr>
            <w:tcW w:w="1118" w:type="dxa"/>
            <w:vAlign w:val="center"/>
          </w:tcPr>
          <w:p w14:paraId="7A4A14EF">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w:t>
            </w:r>
          </w:p>
        </w:tc>
      </w:tr>
    </w:tbl>
    <w:p w14:paraId="491A3636">
      <w:pPr>
        <w:widowControl w:val="0"/>
        <w:numPr>
          <w:ilvl w:val="0"/>
          <w:numId w:val="0"/>
        </w:numPr>
        <w:spacing w:line="360" w:lineRule="auto"/>
        <w:jc w:val="both"/>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14:paraId="2272FA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对于风化程度较低的岩质边坡若需进行监测，其预警值应专门进行论证。</w:t>
      </w:r>
    </w:p>
    <w:p w14:paraId="08153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0000FF"/>
          <w:highlight w:val="none"/>
          <w:lang w:val="en-US" w:eastAsia="zh-CN"/>
        </w:rPr>
      </w:pPr>
    </w:p>
    <w:p w14:paraId="71ADFD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FF"/>
          <w:highlight w:val="none"/>
          <w:lang w:val="en-US" w:eastAsia="zh-CN"/>
        </w:rPr>
      </w:pPr>
    </w:p>
    <w:p w14:paraId="4F987492">
      <w:pPr>
        <w:widowControl w:val="0"/>
        <w:numPr>
          <w:ilvl w:val="0"/>
          <w:numId w:val="0"/>
        </w:numPr>
        <w:spacing w:line="360" w:lineRule="auto"/>
        <w:jc w:val="both"/>
        <w:rPr>
          <w:rFonts w:hint="eastAsia" w:ascii="Times New Roman" w:hAnsi="Times New Roman" w:cs="Times New Roman"/>
          <w:highlight w:val="none"/>
          <w:lang w:val="en-US" w:eastAsia="zh-CN"/>
        </w:rPr>
      </w:pPr>
    </w:p>
    <w:p w14:paraId="76988DA2">
      <w:pPr>
        <w:widowControl w:val="0"/>
        <w:numPr>
          <w:ilvl w:val="0"/>
          <w:numId w:val="0"/>
        </w:numPr>
        <w:spacing w:line="360" w:lineRule="auto"/>
        <w:jc w:val="both"/>
        <w:rPr>
          <w:rFonts w:hint="default"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1C18E386">
      <w:pPr>
        <w:pStyle w:val="2"/>
        <w:bidi w:val="0"/>
        <w:rPr>
          <w:rFonts w:hint="default" w:ascii="Times New Roman" w:hAnsi="Times New Roman" w:cs="Times New Roman"/>
          <w:highlight w:val="none"/>
          <w:lang w:val="en-US" w:eastAsia="zh-CN"/>
        </w:rPr>
      </w:pPr>
      <w:bookmarkStart w:id="128" w:name="_Toc11078"/>
      <w:bookmarkStart w:id="129" w:name="_Toc4443"/>
      <w:bookmarkStart w:id="130" w:name="_Toc5106"/>
      <w:bookmarkStart w:id="131" w:name="_Toc26727"/>
      <w:bookmarkStart w:id="132" w:name="_Toc957"/>
      <w:bookmarkStart w:id="133" w:name="_Toc14363"/>
      <w:bookmarkStart w:id="134" w:name="_Toc468"/>
      <w:r>
        <w:rPr>
          <w:rFonts w:hint="eastAsia" w:ascii="Times New Roman" w:hAnsi="Times New Roman" w:cs="Times New Roman"/>
          <w:highlight w:val="none"/>
          <w:lang w:val="en-US" w:eastAsia="zh-CN"/>
        </w:rPr>
        <w:t>9 数据处理及信息反馈</w:t>
      </w:r>
      <w:bookmarkEnd w:id="128"/>
      <w:bookmarkEnd w:id="129"/>
      <w:bookmarkEnd w:id="130"/>
      <w:bookmarkEnd w:id="131"/>
      <w:bookmarkEnd w:id="132"/>
      <w:bookmarkEnd w:id="133"/>
      <w:bookmarkEnd w:id="134"/>
    </w:p>
    <w:p w14:paraId="02891BA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1</w:t>
      </w:r>
      <w:r>
        <w:rPr>
          <w:rFonts w:hint="eastAsia" w:ascii="Times New Roman" w:hAnsi="Times New Roman" w:cs="Times New Roman"/>
          <w:b/>
          <w:bCs/>
          <w:highlight w:val="none"/>
          <w:lang w:val="en-US" w:eastAsia="zh-CN"/>
        </w:rPr>
        <w:t xml:space="preserve">  </w:t>
      </w:r>
      <w:bookmarkStart w:id="135" w:name="bookmark57"/>
      <w:bookmarkEnd w:id="135"/>
      <w:r>
        <w:rPr>
          <w:rFonts w:hint="default" w:ascii="Times New Roman" w:hAnsi="Times New Roman" w:cs="Times New Roman"/>
          <w:highlight w:val="none"/>
          <w:lang w:val="en-US" w:eastAsia="zh-CN"/>
        </w:rPr>
        <w:t>现场</w:t>
      </w:r>
      <w:r>
        <w:rPr>
          <w:rFonts w:hint="eastAsia" w:ascii="Times New Roman" w:hAnsi="Times New Roman" w:cs="Times New Roman"/>
          <w:highlight w:val="none"/>
          <w:lang w:val="en-US" w:eastAsia="zh-CN"/>
        </w:rPr>
        <w:t>监测</w:t>
      </w:r>
      <w:r>
        <w:rPr>
          <w:rFonts w:hint="default" w:ascii="Times New Roman" w:hAnsi="Times New Roman" w:cs="Times New Roman"/>
          <w:highlight w:val="none"/>
          <w:lang w:val="en-US" w:eastAsia="zh-CN"/>
        </w:rPr>
        <w:t>人员应对监测数据的真实性负责，监测分析人员应对监测报告的可靠性负责，监测单位应对整个</w:t>
      </w:r>
      <w:r>
        <w:rPr>
          <w:rFonts w:hint="eastAsia" w:ascii="Times New Roman" w:hAnsi="Times New Roman" w:cs="Times New Roman"/>
          <w:highlight w:val="none"/>
          <w:lang w:val="en-US" w:eastAsia="zh-CN"/>
        </w:rPr>
        <w:t>项目</w:t>
      </w:r>
      <w:r>
        <w:rPr>
          <w:rFonts w:hint="default" w:ascii="Times New Roman" w:hAnsi="Times New Roman" w:cs="Times New Roman"/>
          <w:highlight w:val="none"/>
          <w:lang w:val="en-US" w:eastAsia="zh-CN"/>
        </w:rPr>
        <w:t>监测</w:t>
      </w:r>
      <w:r>
        <w:rPr>
          <w:rFonts w:hint="eastAsia" w:ascii="Times New Roman" w:hAnsi="Times New Roman" w:cs="Times New Roman"/>
          <w:highlight w:val="none"/>
          <w:lang w:val="en-US" w:eastAsia="zh-CN"/>
        </w:rPr>
        <w:t>质量负责</w:t>
      </w:r>
      <w:r>
        <w:rPr>
          <w:rFonts w:hint="default" w:ascii="Times New Roman" w:hAnsi="Times New Roman" w:cs="Times New Roman"/>
          <w:highlight w:val="none"/>
          <w:lang w:val="en-US" w:eastAsia="zh-CN"/>
        </w:rPr>
        <w:t>。监测记录和监测技术</w:t>
      </w:r>
      <w:r>
        <w:rPr>
          <w:rFonts w:hint="eastAsia" w:ascii="Times New Roman" w:hAnsi="Times New Roman" w:cs="Times New Roman"/>
          <w:highlight w:val="none"/>
          <w:lang w:val="en-US" w:eastAsia="zh-CN"/>
        </w:rPr>
        <w:t>成果</w:t>
      </w:r>
      <w:r>
        <w:rPr>
          <w:rFonts w:hint="default" w:ascii="Times New Roman" w:hAnsi="Times New Roman" w:cs="Times New Roman"/>
          <w:highlight w:val="none"/>
          <w:lang w:val="en-US" w:eastAsia="zh-CN"/>
        </w:rPr>
        <w:t>均应有责任人签字</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监测技术成果应加盖成果章。</w:t>
      </w:r>
    </w:p>
    <w:p w14:paraId="7E0234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2  </w:t>
      </w:r>
      <w:r>
        <w:rPr>
          <w:rFonts w:hint="default" w:ascii="Times New Roman" w:hAnsi="Times New Roman" w:cs="Times New Roman"/>
          <w:highlight w:val="none"/>
          <w:lang w:val="en-US" w:eastAsia="zh-CN"/>
        </w:rPr>
        <w:t>数据的</w:t>
      </w:r>
      <w:r>
        <w:rPr>
          <w:rFonts w:hint="eastAsia" w:cs="Times New Roman"/>
          <w:highlight w:val="none"/>
          <w:lang w:val="en-US" w:eastAsia="zh-CN"/>
        </w:rPr>
        <w:t>采集</w:t>
      </w:r>
      <w:r>
        <w:rPr>
          <w:rFonts w:hint="default" w:ascii="Times New Roman" w:hAnsi="Times New Roman" w:cs="Times New Roman"/>
          <w:highlight w:val="none"/>
          <w:lang w:val="en-US" w:eastAsia="zh-CN"/>
        </w:rPr>
        <w:t>、预处理由系统自动进行，数据的分析应由具有岩土工程、结构工程、工程测量综合知识</w:t>
      </w:r>
      <w:r>
        <w:rPr>
          <w:rFonts w:hint="eastAsia" w:cs="Times New Roman"/>
          <w:highlight w:val="none"/>
          <w:lang w:val="en-US" w:eastAsia="zh-CN"/>
        </w:rPr>
        <w:t>、</w:t>
      </w:r>
      <w:r>
        <w:rPr>
          <w:rFonts w:hint="default" w:ascii="Times New Roman" w:hAnsi="Times New Roman" w:cs="Times New Roman"/>
          <w:highlight w:val="none"/>
          <w:lang w:val="en-US" w:eastAsia="zh-CN"/>
        </w:rPr>
        <w:t>工程实践经验</w:t>
      </w:r>
      <w:r>
        <w:rPr>
          <w:rFonts w:hint="eastAsia" w:cs="Times New Roman"/>
          <w:highlight w:val="none"/>
          <w:lang w:val="en-US" w:eastAsia="zh-CN"/>
        </w:rPr>
        <w:t>、</w:t>
      </w:r>
      <w:r>
        <w:rPr>
          <w:rFonts w:hint="default" w:ascii="Times New Roman" w:hAnsi="Times New Roman" w:cs="Times New Roman"/>
          <w:highlight w:val="none"/>
          <w:lang w:val="en-US" w:eastAsia="zh-CN"/>
        </w:rPr>
        <w:t>较强综合分析能力的人员承担。</w:t>
      </w:r>
    </w:p>
    <w:p w14:paraId="313455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bookmarkStart w:id="136" w:name="bookmark58"/>
      <w:bookmarkEnd w:id="136"/>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3  </w:t>
      </w:r>
      <w:r>
        <w:rPr>
          <w:rFonts w:hint="default" w:ascii="Times New Roman" w:hAnsi="Times New Roman" w:cs="Times New Roman"/>
          <w:highlight w:val="none"/>
          <w:lang w:val="en-US" w:eastAsia="zh-CN"/>
        </w:rPr>
        <w:t>现场的监测资料应符合下列要求：</w:t>
      </w:r>
    </w:p>
    <w:p w14:paraId="3596E5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1</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highlight w:val="none"/>
          <w:lang w:val="en-US" w:eastAsia="zh-CN"/>
        </w:rPr>
        <w:t>使用正式的监测记录表格</w:t>
      </w:r>
      <w:r>
        <w:rPr>
          <w:rFonts w:hint="eastAsia" w:ascii="Times New Roman" w:hAnsi="Times New Roman" w:cs="Times New Roman"/>
          <w:highlight w:val="none"/>
          <w:lang w:val="en-US" w:eastAsia="zh-CN"/>
        </w:rPr>
        <w:t>；</w:t>
      </w:r>
    </w:p>
    <w:p w14:paraId="6993F2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2</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highlight w:val="none"/>
          <w:lang w:val="en-US" w:eastAsia="zh-CN"/>
        </w:rPr>
        <w:t>监测记录应有相应的工况描述</w:t>
      </w:r>
      <w:r>
        <w:rPr>
          <w:rFonts w:hint="eastAsia" w:ascii="Times New Roman" w:hAnsi="Times New Roman" w:cs="Times New Roman"/>
          <w:highlight w:val="none"/>
          <w:lang w:val="en-US" w:eastAsia="zh-CN"/>
        </w:rPr>
        <w:t>；</w:t>
      </w:r>
    </w:p>
    <w:p w14:paraId="569B59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3</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highlight w:val="none"/>
          <w:lang w:val="en-US" w:eastAsia="zh-CN"/>
        </w:rPr>
        <w:t>监测数据的</w:t>
      </w:r>
      <w:r>
        <w:rPr>
          <w:rFonts w:hint="eastAsia" w:ascii="Times New Roman" w:hAnsi="Times New Roman" w:cs="Times New Roman"/>
          <w:highlight w:val="none"/>
          <w:lang w:val="en-US" w:eastAsia="zh-CN"/>
        </w:rPr>
        <w:t>整理</w:t>
      </w:r>
      <w:r>
        <w:rPr>
          <w:rFonts w:hint="default" w:ascii="Times New Roman" w:hAnsi="Times New Roman" w:cs="Times New Roman"/>
          <w:highlight w:val="none"/>
          <w:lang w:val="en-US" w:eastAsia="zh-CN"/>
        </w:rPr>
        <w:t>应及时</w:t>
      </w:r>
      <w:r>
        <w:rPr>
          <w:rFonts w:hint="eastAsia" w:ascii="Times New Roman" w:hAnsi="Times New Roman" w:cs="Times New Roman"/>
          <w:highlight w:val="none"/>
          <w:lang w:val="en-US" w:eastAsia="zh-CN"/>
        </w:rPr>
        <w:t>；</w:t>
      </w:r>
    </w:p>
    <w:p w14:paraId="45CA770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4</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highlight w:val="none"/>
          <w:lang w:val="en-US" w:eastAsia="zh-CN"/>
        </w:rPr>
        <w:t>对监测数据的变化及发展情况的分析和评述应及时。</w:t>
      </w:r>
    </w:p>
    <w:p w14:paraId="3B50A4E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bookmarkStart w:id="137" w:name="bookmark59"/>
      <w:bookmarkEnd w:id="137"/>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4  </w:t>
      </w:r>
      <w:bookmarkStart w:id="138" w:name="bookmark60"/>
      <w:bookmarkEnd w:id="138"/>
      <w:r>
        <w:rPr>
          <w:rFonts w:hint="default" w:ascii="Times New Roman" w:hAnsi="Times New Roman" w:cs="Times New Roman"/>
          <w:highlight w:val="none"/>
          <w:lang w:val="en-US" w:eastAsia="zh-CN"/>
        </w:rPr>
        <w:t>外业观测值和记事项目应在现场直接记录于观测</w:t>
      </w:r>
      <w:r>
        <w:rPr>
          <w:rFonts w:hint="eastAsia" w:ascii="Times New Roman" w:hAnsi="Times New Roman" w:cs="Times New Roman"/>
          <w:highlight w:val="none"/>
          <w:lang w:val="en-US" w:eastAsia="zh-CN"/>
        </w:rPr>
        <w:t>记录表</w:t>
      </w:r>
      <w:r>
        <w:rPr>
          <w:rFonts w:hint="default" w:ascii="Times New Roman" w:hAnsi="Times New Roman" w:cs="Times New Roman"/>
          <w:highlight w:val="none"/>
          <w:lang w:val="en-US" w:eastAsia="zh-CN"/>
        </w:rPr>
        <w:t>中。任何原始记录不得涂改、伪造和转抄。</w:t>
      </w:r>
      <w:r>
        <w:rPr>
          <w:rFonts w:hint="eastAsia" w:ascii="Times New Roman" w:hAnsi="Times New Roman" w:cs="Times New Roman"/>
          <w:highlight w:val="none"/>
          <w:lang w:val="en-US" w:eastAsia="zh-CN"/>
        </w:rPr>
        <w:t>采用电子方式记录的数据，应完整储存在可靠的介质上。</w:t>
      </w:r>
    </w:p>
    <w:p w14:paraId="4EE7DD2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5  </w:t>
      </w:r>
      <w:r>
        <w:rPr>
          <w:rFonts w:hint="default" w:ascii="Times New Roman" w:hAnsi="Times New Roman" w:cs="Times New Roman"/>
          <w:highlight w:val="none"/>
          <w:lang w:val="en-US" w:eastAsia="zh-CN"/>
        </w:rPr>
        <w:t>观测数据出现异常时，应分析原因，必要时应进行重测。</w:t>
      </w:r>
    </w:p>
    <w:p w14:paraId="41ADA63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6  </w:t>
      </w:r>
      <w:r>
        <w:rPr>
          <w:rFonts w:hint="default" w:ascii="Times New Roman" w:hAnsi="Times New Roman" w:cs="Times New Roman"/>
          <w:highlight w:val="none"/>
          <w:lang w:val="en-US" w:eastAsia="zh-CN"/>
        </w:rPr>
        <w:t>监测</w:t>
      </w:r>
      <w:r>
        <w:rPr>
          <w:rFonts w:hint="eastAsia" w:ascii="Times New Roman" w:hAnsi="Times New Roman" w:cs="Times New Roman"/>
          <w:highlight w:val="none"/>
          <w:lang w:val="en-US" w:eastAsia="zh-CN"/>
        </w:rPr>
        <w:t>项目</w:t>
      </w:r>
      <w:r>
        <w:rPr>
          <w:rFonts w:hint="default" w:ascii="Times New Roman" w:hAnsi="Times New Roman" w:cs="Times New Roman"/>
          <w:highlight w:val="none"/>
          <w:lang w:val="en-US" w:eastAsia="zh-CN"/>
        </w:rPr>
        <w:t>数据分析应结合其他相关项目的监测数据和</w:t>
      </w:r>
      <w:r>
        <w:rPr>
          <w:rFonts w:hint="eastAsia" w:ascii="Times New Roman" w:hAnsi="Times New Roman" w:cs="Times New Roman"/>
          <w:highlight w:val="none"/>
          <w:lang w:val="en-US" w:eastAsia="zh-CN"/>
        </w:rPr>
        <w:t>自然</w:t>
      </w:r>
      <w:r>
        <w:rPr>
          <w:rFonts w:hint="default" w:ascii="Times New Roman" w:hAnsi="Times New Roman" w:cs="Times New Roman"/>
          <w:highlight w:val="none"/>
          <w:lang w:val="en-US" w:eastAsia="zh-CN"/>
        </w:rPr>
        <w:t>环境条件、施工</w:t>
      </w:r>
      <w:r>
        <w:rPr>
          <w:rFonts w:hint="eastAsia" w:ascii="Times New Roman" w:hAnsi="Times New Roman" w:cs="Times New Roman"/>
          <w:highlight w:val="none"/>
          <w:lang w:val="en-US" w:eastAsia="zh-CN"/>
        </w:rPr>
        <w:t>工况</w:t>
      </w:r>
      <w:r>
        <w:rPr>
          <w:rFonts w:hint="default" w:ascii="Times New Roman" w:hAnsi="Times New Roman" w:cs="Times New Roman"/>
          <w:highlight w:val="none"/>
          <w:lang w:val="en-US" w:eastAsia="zh-CN"/>
        </w:rPr>
        <w:t>等情况及以往数据进行并对其发展</w:t>
      </w:r>
      <w:r>
        <w:rPr>
          <w:rFonts w:hint="eastAsia" w:ascii="Times New Roman" w:hAnsi="Times New Roman" w:cs="Times New Roman"/>
          <w:highlight w:val="none"/>
          <w:lang w:val="en-US" w:eastAsia="zh-CN"/>
        </w:rPr>
        <w:t>趋势</w:t>
      </w:r>
      <w:r>
        <w:rPr>
          <w:rFonts w:hint="default" w:ascii="Times New Roman" w:hAnsi="Times New Roman" w:cs="Times New Roman"/>
          <w:highlight w:val="none"/>
          <w:lang w:val="en-US" w:eastAsia="zh-CN"/>
        </w:rPr>
        <w:t>作出预测。</w:t>
      </w:r>
    </w:p>
    <w:p w14:paraId="3506C7B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7  </w:t>
      </w:r>
      <w:r>
        <w:rPr>
          <w:rFonts w:hint="default" w:ascii="Times New Roman" w:hAnsi="Times New Roman" w:cs="Times New Roman"/>
          <w:highlight w:val="none"/>
          <w:lang w:val="en-US" w:eastAsia="zh-CN"/>
        </w:rPr>
        <w:t>技术成果应包括</w:t>
      </w:r>
      <w:r>
        <w:rPr>
          <w:rFonts w:hint="eastAsia" w:ascii="Times New Roman" w:hAnsi="Times New Roman" w:cs="Times New Roman"/>
          <w:highlight w:val="none"/>
          <w:lang w:val="en-US" w:eastAsia="zh-CN"/>
        </w:rPr>
        <w:t>当日</w:t>
      </w:r>
      <w:r>
        <w:rPr>
          <w:rFonts w:hint="default" w:ascii="Times New Roman" w:hAnsi="Times New Roman" w:cs="Times New Roman"/>
          <w:highlight w:val="none"/>
          <w:lang w:val="en-US" w:eastAsia="zh-CN"/>
        </w:rPr>
        <w:t>报表、阶段性报告和总结报告。技术成果提供的内容应真实、准确、完整，宜用文字阐述与绘制变化曲线或图形相结合的形式表达。技术成果应按时报送。</w:t>
      </w:r>
    </w:p>
    <w:p w14:paraId="0E14A6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8  </w:t>
      </w:r>
      <w:r>
        <w:rPr>
          <w:rFonts w:hint="default" w:ascii="Times New Roman" w:hAnsi="Times New Roman" w:cs="Times New Roman"/>
          <w:highlight w:val="none"/>
          <w:lang w:val="en-US" w:eastAsia="zh-CN"/>
        </w:rPr>
        <w:t>监测数据的处理与信息反馈宜采用专业软件，专业软件的功能和参数应符合</w:t>
      </w:r>
      <w:r>
        <w:rPr>
          <w:rFonts w:hint="eastAsia" w:ascii="Times New Roman" w:hAnsi="Times New Roman" w:cs="Times New Roman"/>
          <w:highlight w:val="none"/>
          <w:lang w:val="en-US" w:eastAsia="zh-CN"/>
        </w:rPr>
        <w:t>本</w:t>
      </w:r>
      <w:r>
        <w:rPr>
          <w:rFonts w:hint="eastAsia" w:cs="Times New Roman"/>
          <w:highlight w:val="none"/>
          <w:lang w:val="en-US" w:eastAsia="zh-CN"/>
        </w:rPr>
        <w:t>标准</w:t>
      </w:r>
      <w:r>
        <w:rPr>
          <w:rFonts w:hint="default" w:ascii="Times New Roman" w:hAnsi="Times New Roman" w:cs="Times New Roman"/>
          <w:highlight w:val="none"/>
          <w:lang w:val="en-US" w:eastAsia="zh-CN"/>
        </w:rPr>
        <w:t>的</w:t>
      </w:r>
      <w:r>
        <w:rPr>
          <w:rFonts w:hint="eastAsia" w:ascii="Times New Roman" w:hAnsi="Times New Roman" w:cs="Times New Roman"/>
          <w:highlight w:val="none"/>
          <w:lang w:val="en-US" w:eastAsia="zh-CN"/>
        </w:rPr>
        <w:t>有关</w:t>
      </w:r>
      <w:r>
        <w:rPr>
          <w:rFonts w:hint="default" w:ascii="Times New Roman" w:hAnsi="Times New Roman" w:cs="Times New Roman"/>
          <w:highlight w:val="none"/>
          <w:lang w:val="en-US" w:eastAsia="zh-CN"/>
        </w:rPr>
        <w:t>规定，宜具备数据采集、处理、分析、</w:t>
      </w:r>
      <w:r>
        <w:rPr>
          <w:rFonts w:hint="eastAsia" w:ascii="Times New Roman" w:hAnsi="Times New Roman" w:cs="Times New Roman"/>
          <w:highlight w:val="none"/>
          <w:lang w:val="en-US" w:eastAsia="zh-CN"/>
        </w:rPr>
        <w:t>查</w:t>
      </w:r>
      <w:r>
        <w:rPr>
          <w:rFonts w:hint="default" w:ascii="Times New Roman" w:hAnsi="Times New Roman" w:cs="Times New Roman"/>
          <w:highlight w:val="none"/>
          <w:lang w:val="en-US" w:eastAsia="zh-CN"/>
        </w:rPr>
        <w:t>询和管理一体化以及监测成果可视化的功能。</w:t>
      </w:r>
    </w:p>
    <w:p w14:paraId="4848F59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9  </w:t>
      </w:r>
      <w:r>
        <w:rPr>
          <w:rFonts w:hint="eastAsia" w:ascii="Times New Roman" w:hAnsi="Times New Roman" w:cs="Times New Roman"/>
          <w:highlight w:val="none"/>
          <w:lang w:val="en-US" w:eastAsia="zh-CN"/>
        </w:rPr>
        <w:t>建筑边坡</w:t>
      </w:r>
      <w:r>
        <w:rPr>
          <w:rFonts w:hint="default" w:ascii="Times New Roman" w:hAnsi="Times New Roman" w:cs="Times New Roman"/>
          <w:highlight w:val="none"/>
          <w:lang w:val="en-US" w:eastAsia="zh-CN"/>
        </w:rPr>
        <w:t>工程监测的观测记录、计算资料和技术成果应进行组卷、归档。</w:t>
      </w:r>
    </w:p>
    <w:p w14:paraId="7D8966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10  </w:t>
      </w:r>
      <w:r>
        <w:rPr>
          <w:rFonts w:hint="eastAsia" w:ascii="Times New Roman" w:hAnsi="Times New Roman" w:cs="Times New Roman"/>
          <w:highlight w:val="none"/>
          <w:lang w:val="en-US" w:eastAsia="zh-CN"/>
        </w:rPr>
        <w:t>当日报表应包括下列内容：</w:t>
      </w:r>
    </w:p>
    <w:p w14:paraId="43B6643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当日的天气情况和施工现场的工况；</w:t>
      </w:r>
    </w:p>
    <w:p w14:paraId="7934BB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仪器监测项目各监测点的本次测试值、单次变化值、变化速率以及累计值等，必要时绘制有关曲线图；</w:t>
      </w:r>
    </w:p>
    <w:p w14:paraId="195650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巡视检查的记录；</w:t>
      </w:r>
    </w:p>
    <w:p w14:paraId="0B806A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lang w:val="en-US" w:eastAsia="zh-CN"/>
        </w:rPr>
        <w:t xml:space="preserve">  对监测项目应有正常或异常、危险的判断性结论；</w:t>
      </w:r>
    </w:p>
    <w:p w14:paraId="664DC7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highlight w:val="none"/>
          <w:lang w:val="en-US" w:eastAsia="zh-CN"/>
        </w:rPr>
        <w:t xml:space="preserve">  对达到或超过监测预警值的监测点应有预警标示并有分析和建议；</w:t>
      </w:r>
    </w:p>
    <w:p w14:paraId="69B5562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w:t>
      </w:r>
      <w:r>
        <w:rPr>
          <w:rFonts w:hint="eastAsia" w:ascii="Times New Roman" w:hAnsi="Times New Roman" w:cs="Times New Roman"/>
          <w:highlight w:val="none"/>
          <w:lang w:val="en-US" w:eastAsia="zh-CN"/>
        </w:rPr>
        <w:t xml:space="preserve">  对巡视检查发现的异常情况应有详细描述，危险情况应有预警标示并有分析和建议；</w:t>
      </w:r>
    </w:p>
    <w:p w14:paraId="676E410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7</w:t>
      </w:r>
      <w:r>
        <w:rPr>
          <w:rFonts w:hint="eastAsia" w:ascii="Times New Roman" w:hAnsi="Times New Roman" w:cs="Times New Roman"/>
          <w:highlight w:val="none"/>
          <w:lang w:val="en-US" w:eastAsia="zh-CN"/>
        </w:rPr>
        <w:t xml:space="preserve">  其他相关说明。</w:t>
      </w:r>
    </w:p>
    <w:p w14:paraId="7178A08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11  </w:t>
      </w:r>
      <w:r>
        <w:rPr>
          <w:rFonts w:hint="eastAsia" w:ascii="Times New Roman" w:hAnsi="Times New Roman" w:cs="Times New Roman"/>
          <w:highlight w:val="none"/>
          <w:lang w:val="en-US" w:eastAsia="zh-CN"/>
        </w:rPr>
        <w:t>阶段性报告应包括下列内容：</w:t>
      </w:r>
    </w:p>
    <w:p w14:paraId="4D9DEC4B">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该监测阶段相应的工程、气象及周边环境概况；</w:t>
      </w:r>
    </w:p>
    <w:p w14:paraId="5B376C40">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该监测阶段的监测项目及测点的布置图；</w:t>
      </w:r>
    </w:p>
    <w:p w14:paraId="6BE3C9A4">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各项监测数据的整理、统计及监测成果的过程曲线；</w:t>
      </w:r>
    </w:p>
    <w:p w14:paraId="7C16CA13">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lang w:val="en-US" w:eastAsia="zh-CN"/>
        </w:rPr>
        <w:t xml:space="preserve">  各监测项目监测值的变化分析、评价及发展预测；</w:t>
      </w:r>
    </w:p>
    <w:p w14:paraId="0E78133A">
      <w:pPr>
        <w:ind w:firstLine="482"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highlight w:val="none"/>
          <w:lang w:val="en-US" w:eastAsia="zh-CN"/>
        </w:rPr>
        <w:t xml:space="preserve">  相关的设计和施工建议。</w:t>
      </w:r>
    </w:p>
    <w:p w14:paraId="2AA61F68">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12  </w:t>
      </w:r>
      <w:r>
        <w:rPr>
          <w:rFonts w:hint="eastAsia" w:ascii="Times New Roman" w:hAnsi="Times New Roman" w:cs="Times New Roman"/>
          <w:highlight w:val="none"/>
          <w:lang w:val="en-US" w:eastAsia="zh-CN"/>
        </w:rPr>
        <w:t>总结报告应包括下列内容：</w:t>
      </w:r>
    </w:p>
    <w:p w14:paraId="477449F6">
      <w:pPr>
        <w:ind w:firstLine="48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工程概况；</w:t>
      </w:r>
    </w:p>
    <w:p w14:paraId="2C502184">
      <w:pPr>
        <w:ind w:firstLine="48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监测依据；</w:t>
      </w:r>
    </w:p>
    <w:p w14:paraId="1DBDAF8D">
      <w:pPr>
        <w:ind w:firstLine="48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监测项目；</w:t>
      </w:r>
    </w:p>
    <w:p w14:paraId="5ACE83B4">
      <w:pPr>
        <w:ind w:firstLine="48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lang w:val="en-US" w:eastAsia="zh-CN"/>
        </w:rPr>
        <w:t xml:space="preserve">  监测点布置；</w:t>
      </w:r>
    </w:p>
    <w:p w14:paraId="32C8A364">
      <w:pPr>
        <w:ind w:firstLine="48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highlight w:val="none"/>
          <w:lang w:val="en-US" w:eastAsia="zh-CN"/>
        </w:rPr>
        <w:t xml:space="preserve">  监测设备和监测方法；</w:t>
      </w:r>
    </w:p>
    <w:p w14:paraId="2FC15E54">
      <w:pPr>
        <w:ind w:firstLine="480"/>
        <w:rPr>
          <w:rFonts w:hint="eastAsia" w:ascii="Times New Roman" w:hAnsi="Times New Roman" w:cs="Times New Roman"/>
          <w:color w:val="000000"/>
          <w:spacing w:val="0"/>
          <w:w w:val="100"/>
          <w:position w:val="0"/>
          <w:highlight w:val="none"/>
          <w:lang w:eastAsia="zh-CN"/>
        </w:rPr>
      </w:pPr>
      <w:r>
        <w:rPr>
          <w:rFonts w:hint="eastAsia" w:ascii="Times New Roman" w:hAnsi="Times New Roman" w:cs="Times New Roman"/>
          <w:b/>
          <w:bCs/>
          <w:highlight w:val="none"/>
          <w:lang w:val="en-US" w:eastAsia="zh-CN"/>
        </w:rPr>
        <w:t>6</w:t>
      </w:r>
      <w:r>
        <w:rPr>
          <w:rFonts w:hint="eastAsia" w:ascii="Times New Roman" w:hAnsi="Times New Roman" w:cs="Times New Roman"/>
          <w:highlight w:val="none"/>
          <w:lang w:val="en-US" w:eastAsia="zh-CN"/>
        </w:rPr>
        <w:t xml:space="preserve">  </w:t>
      </w:r>
      <w:r>
        <w:rPr>
          <w:rFonts w:ascii="Times New Roman" w:hAnsi="Times New Roman" w:cs="Times New Roman"/>
          <w:color w:val="000000"/>
          <w:spacing w:val="0"/>
          <w:w w:val="100"/>
          <w:position w:val="0"/>
          <w:highlight w:val="none"/>
        </w:rPr>
        <w:t>监测频率</w:t>
      </w:r>
      <w:r>
        <w:rPr>
          <w:rFonts w:hint="eastAsia" w:ascii="Times New Roman" w:hAnsi="Times New Roman" w:cs="Times New Roman"/>
          <w:color w:val="000000"/>
          <w:spacing w:val="0"/>
          <w:w w:val="100"/>
          <w:position w:val="0"/>
          <w:highlight w:val="none"/>
          <w:lang w:eastAsia="zh-CN"/>
        </w:rPr>
        <w:t>；</w:t>
      </w:r>
    </w:p>
    <w:p w14:paraId="4A6EDFE1">
      <w:pPr>
        <w:ind w:firstLine="480"/>
        <w:rPr>
          <w:rFonts w:hint="eastAsia" w:ascii="Times New Roman" w:hAnsi="Times New Roman" w:cs="Times New Roman"/>
          <w:color w:val="000000"/>
          <w:spacing w:val="0"/>
          <w:w w:val="100"/>
          <w:position w:val="0"/>
          <w:highlight w:val="none"/>
          <w:lang w:eastAsia="zh-CN"/>
        </w:rPr>
      </w:pPr>
      <w:r>
        <w:rPr>
          <w:rFonts w:hint="eastAsia" w:ascii="Times New Roman" w:hAnsi="Times New Roman" w:cs="Times New Roman"/>
          <w:b/>
          <w:bCs/>
          <w:highlight w:val="none"/>
          <w:lang w:val="en-US" w:eastAsia="zh-CN"/>
        </w:rPr>
        <w:t>7</w:t>
      </w:r>
      <w:r>
        <w:rPr>
          <w:rFonts w:hint="eastAsia" w:ascii="Times New Roman" w:hAnsi="Times New Roman" w:cs="Times New Roman"/>
          <w:highlight w:val="none"/>
          <w:lang w:val="en-US" w:eastAsia="zh-CN"/>
        </w:rPr>
        <w:t xml:space="preserve">  </w:t>
      </w:r>
      <w:r>
        <w:rPr>
          <w:rFonts w:hint="eastAsia" w:ascii="Times New Roman" w:hAnsi="Times New Roman" w:cs="Times New Roman"/>
          <w:color w:val="000000"/>
          <w:spacing w:val="0"/>
          <w:w w:val="100"/>
          <w:position w:val="0"/>
          <w:highlight w:val="none"/>
        </w:rPr>
        <w:t>监测</w:t>
      </w:r>
      <w:r>
        <w:rPr>
          <w:rFonts w:hint="eastAsia" w:ascii="Times New Roman" w:hAnsi="Times New Roman" w:cs="Times New Roman"/>
          <w:color w:val="000000"/>
          <w:spacing w:val="0"/>
          <w:w w:val="100"/>
          <w:position w:val="0"/>
          <w:highlight w:val="none"/>
          <w:lang w:val="en-US" w:eastAsia="zh-CN"/>
        </w:rPr>
        <w:t>预警</w:t>
      </w:r>
      <w:r>
        <w:rPr>
          <w:rFonts w:hint="eastAsia" w:ascii="Times New Roman" w:hAnsi="Times New Roman" w:cs="Times New Roman"/>
          <w:color w:val="000000"/>
          <w:spacing w:val="0"/>
          <w:w w:val="100"/>
          <w:position w:val="0"/>
          <w:highlight w:val="none"/>
        </w:rPr>
        <w:t>值</w:t>
      </w:r>
      <w:r>
        <w:rPr>
          <w:rFonts w:hint="eastAsia" w:ascii="Times New Roman" w:hAnsi="Times New Roman" w:cs="Times New Roman"/>
          <w:color w:val="000000"/>
          <w:spacing w:val="0"/>
          <w:w w:val="100"/>
          <w:position w:val="0"/>
          <w:highlight w:val="none"/>
          <w:lang w:eastAsia="zh-CN"/>
        </w:rPr>
        <w:t>；</w:t>
      </w:r>
    </w:p>
    <w:p w14:paraId="5874DCAD">
      <w:pPr>
        <w:ind w:firstLine="480"/>
        <w:rPr>
          <w:rFonts w:hint="eastAsia" w:ascii="Times New Roman" w:hAnsi="Times New Roman" w:cs="Times New Roman"/>
          <w:color w:val="000000"/>
          <w:spacing w:val="0"/>
          <w:w w:val="100"/>
          <w:position w:val="0"/>
          <w:highlight w:val="none"/>
          <w:lang w:eastAsia="zh-CN"/>
        </w:rPr>
      </w:pPr>
      <w:r>
        <w:rPr>
          <w:rFonts w:hint="eastAsia" w:ascii="Times New Roman" w:hAnsi="Times New Roman" w:cs="Times New Roman"/>
          <w:b/>
          <w:bCs/>
          <w:highlight w:val="none"/>
          <w:lang w:val="en-US" w:eastAsia="zh-CN"/>
        </w:rPr>
        <w:t>8</w:t>
      </w:r>
      <w:r>
        <w:rPr>
          <w:rFonts w:hint="eastAsia" w:ascii="Times New Roman" w:hAnsi="Times New Roman" w:cs="Times New Roman"/>
          <w:highlight w:val="none"/>
          <w:lang w:val="en-US" w:eastAsia="zh-CN"/>
        </w:rPr>
        <w:t xml:space="preserve">  </w:t>
      </w:r>
      <w:r>
        <w:rPr>
          <w:rFonts w:hint="eastAsia" w:ascii="Times New Roman" w:hAnsi="Times New Roman" w:cs="Times New Roman"/>
          <w:color w:val="000000"/>
          <w:spacing w:val="0"/>
          <w:w w:val="100"/>
          <w:position w:val="0"/>
          <w:highlight w:val="none"/>
        </w:rPr>
        <w:t>各监测项目全过程的发展变化分析及整体评述</w:t>
      </w:r>
      <w:r>
        <w:rPr>
          <w:rFonts w:hint="eastAsia" w:ascii="Times New Roman" w:hAnsi="Times New Roman" w:cs="Times New Roman"/>
          <w:color w:val="000000"/>
          <w:spacing w:val="0"/>
          <w:w w:val="100"/>
          <w:position w:val="0"/>
          <w:highlight w:val="none"/>
          <w:lang w:eastAsia="zh-CN"/>
        </w:rPr>
        <w:t>；</w:t>
      </w:r>
    </w:p>
    <w:p w14:paraId="5BD28CF4">
      <w:pPr>
        <w:ind w:firstLine="480"/>
        <w:rPr>
          <w:rFonts w:hint="eastAsia" w:ascii="Times New Roman" w:hAnsi="Times New Roman" w:cs="Times New Roman"/>
          <w:color w:val="000000"/>
          <w:spacing w:val="0"/>
          <w:w w:val="100"/>
          <w:position w:val="0"/>
          <w:highlight w:val="none"/>
          <w:lang w:eastAsia="zh-CN"/>
        </w:rPr>
      </w:pPr>
      <w:r>
        <w:rPr>
          <w:rFonts w:hint="eastAsia" w:ascii="Times New Roman" w:hAnsi="Times New Roman" w:cs="Times New Roman"/>
          <w:b/>
          <w:bCs/>
          <w:highlight w:val="none"/>
          <w:lang w:val="en-US" w:eastAsia="zh-CN"/>
        </w:rPr>
        <w:t>9</w:t>
      </w:r>
      <w:r>
        <w:rPr>
          <w:rFonts w:hint="eastAsia" w:ascii="Times New Roman" w:hAnsi="Times New Roman" w:cs="Times New Roman"/>
          <w:highlight w:val="none"/>
          <w:lang w:val="en-US" w:eastAsia="zh-CN"/>
        </w:rPr>
        <w:t xml:space="preserve">  </w:t>
      </w:r>
      <w:r>
        <w:rPr>
          <w:rFonts w:hint="eastAsia" w:ascii="Times New Roman" w:hAnsi="Times New Roman" w:cs="Times New Roman"/>
          <w:color w:val="000000"/>
          <w:spacing w:val="0"/>
          <w:w w:val="100"/>
          <w:position w:val="0"/>
          <w:highlight w:val="none"/>
        </w:rPr>
        <w:t>监测工作结论与建议。</w:t>
      </w:r>
    </w:p>
    <w:p w14:paraId="1B0F6901">
      <w:pPr>
        <w:ind w:firstLine="480"/>
        <w:rPr>
          <w:rFonts w:hint="eastAsia" w:ascii="Times New Roman" w:hAnsi="Times New Roman" w:cs="Times New Roman"/>
          <w:color w:val="000000"/>
          <w:spacing w:val="0"/>
          <w:w w:val="100"/>
          <w:position w:val="0"/>
          <w:highlight w:val="none"/>
          <w:lang w:val="en-US" w:eastAsia="zh-CN"/>
        </w:rPr>
      </w:pPr>
    </w:p>
    <w:p w14:paraId="5812FBB5">
      <w:pPr>
        <w:rPr>
          <w:rFonts w:hint="eastAsia" w:ascii="Times New Roman" w:hAnsi="Times New Roman" w:cs="Times New Roman"/>
          <w:highlight w:val="none"/>
          <w:lang w:val="en-US" w:eastAsia="zh-CN"/>
        </w:rPr>
      </w:pPr>
    </w:p>
    <w:p w14:paraId="10EFC223">
      <w:pPr>
        <w:rPr>
          <w:rFonts w:hint="eastAsia"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2C18D094">
      <w:pPr>
        <w:pStyle w:val="3"/>
        <w:adjustRightInd w:val="0"/>
        <w:snapToGrid w:val="0"/>
        <w:spacing w:before="0" w:after="0" w:line="360" w:lineRule="auto"/>
        <w:jc w:val="center"/>
        <w:rPr>
          <w:rFonts w:ascii="Times New Roman" w:hAnsi="Times New Roman" w:cs="Times New Roman"/>
          <w:b w:val="0"/>
          <w:highlight w:val="none"/>
        </w:rPr>
      </w:pPr>
      <w:bookmarkStart w:id="139" w:name="_Toc22107"/>
      <w:bookmarkStart w:id="140" w:name="_Toc31258"/>
      <w:bookmarkStart w:id="141" w:name="_Toc6383"/>
      <w:bookmarkStart w:id="142" w:name="_Toc10966"/>
      <w:bookmarkStart w:id="143" w:name="_Toc13367"/>
      <w:bookmarkStart w:id="144" w:name="_Toc525052905"/>
      <w:bookmarkStart w:id="145" w:name="_Toc22841"/>
      <w:bookmarkStart w:id="146" w:name="_Toc17323"/>
      <w:r>
        <w:rPr>
          <w:rFonts w:ascii="Times New Roman" w:hAnsi="Times New Roman" w:cs="Times New Roman"/>
          <w:b w:val="0"/>
          <w:highlight w:val="none"/>
        </w:rPr>
        <w:t>附录</w:t>
      </w:r>
      <w:r>
        <w:rPr>
          <w:rFonts w:hint="eastAsia" w:ascii="Times New Roman" w:hAnsi="Times New Roman" w:cs="Times New Roman"/>
          <w:b w:val="0"/>
          <w:highlight w:val="none"/>
          <w:lang w:val="en-US" w:eastAsia="zh-CN"/>
        </w:rPr>
        <w:t>A</w:t>
      </w:r>
      <w:r>
        <w:rPr>
          <w:rFonts w:hint="eastAsia" w:ascii="Times New Roman" w:hAnsi="Times New Roman" w:cs="Times New Roman"/>
          <w:b w:val="0"/>
          <w:highlight w:val="none"/>
        </w:rPr>
        <w:t xml:space="preserve"> 竖向</w:t>
      </w:r>
      <w:r>
        <w:rPr>
          <w:rFonts w:ascii="Times New Roman" w:hAnsi="Times New Roman" w:cs="Times New Roman"/>
          <w:b w:val="0"/>
          <w:highlight w:val="none"/>
        </w:rPr>
        <w:t>位移监测日报表</w:t>
      </w:r>
      <w:bookmarkEnd w:id="139"/>
      <w:bookmarkEnd w:id="140"/>
      <w:bookmarkEnd w:id="141"/>
      <w:bookmarkEnd w:id="142"/>
      <w:bookmarkEnd w:id="143"/>
      <w:bookmarkEnd w:id="144"/>
      <w:bookmarkEnd w:id="145"/>
      <w:bookmarkEnd w:id="146"/>
    </w:p>
    <w:tbl>
      <w:tblPr>
        <w:tblStyle w:val="10"/>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848"/>
        <w:gridCol w:w="604"/>
        <w:gridCol w:w="604"/>
        <w:gridCol w:w="604"/>
        <w:gridCol w:w="604"/>
        <w:gridCol w:w="604"/>
        <w:gridCol w:w="604"/>
        <w:gridCol w:w="604"/>
        <w:gridCol w:w="604"/>
        <w:gridCol w:w="604"/>
        <w:gridCol w:w="604"/>
        <w:gridCol w:w="604"/>
        <w:gridCol w:w="607"/>
      </w:tblGrid>
      <w:tr w14:paraId="3DD2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34" w:type="dxa"/>
            <w:gridSpan w:val="14"/>
            <w:tcBorders>
              <w:top w:val="nil"/>
              <w:left w:val="nil"/>
              <w:bottom w:val="nil"/>
              <w:right w:val="nil"/>
            </w:tcBorders>
            <w:vAlign w:val="center"/>
          </w:tcPr>
          <w:p w14:paraId="3A1A5E1B">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委托单位：                        监测单位：                            报表编号：</w:t>
            </w:r>
          </w:p>
        </w:tc>
      </w:tr>
      <w:tr w14:paraId="5956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534" w:type="dxa"/>
            <w:gridSpan w:val="14"/>
            <w:tcBorders>
              <w:top w:val="nil"/>
              <w:left w:val="nil"/>
              <w:bottom w:val="nil"/>
              <w:right w:val="nil"/>
            </w:tcBorders>
            <w:vAlign w:val="center"/>
          </w:tcPr>
          <w:p w14:paraId="06DA866E">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工程名称：                        工程地点：                            天气：</w:t>
            </w:r>
          </w:p>
        </w:tc>
      </w:tr>
      <w:tr w14:paraId="5762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534" w:type="dxa"/>
            <w:gridSpan w:val="14"/>
            <w:tcBorders>
              <w:top w:val="nil"/>
              <w:left w:val="nil"/>
              <w:bottom w:val="nil"/>
              <w:right w:val="nil"/>
            </w:tcBorders>
            <w:vAlign w:val="center"/>
          </w:tcPr>
          <w:p w14:paraId="6E7DB2C7">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仪器名称及编号：                                观测依据：</w:t>
            </w:r>
          </w:p>
        </w:tc>
      </w:tr>
      <w:tr w14:paraId="665D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4" w:type="dxa"/>
            <w:gridSpan w:val="14"/>
            <w:tcBorders>
              <w:top w:val="single" w:color="auto" w:sz="4" w:space="0"/>
              <w:left w:val="single" w:color="000000" w:sz="4" w:space="0"/>
              <w:bottom w:val="single" w:color="000000" w:sz="4" w:space="0"/>
              <w:right w:val="single" w:color="000000" w:sz="4" w:space="0"/>
            </w:tcBorders>
            <w:shd w:val="clear" w:color="000000" w:fill="D9D9D9"/>
            <w:vAlign w:val="center"/>
          </w:tcPr>
          <w:p w14:paraId="76C96A05">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监测数据成果汇总</w:t>
            </w:r>
          </w:p>
        </w:tc>
      </w:tr>
      <w:tr w14:paraId="7866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435" w:type="dxa"/>
            <w:vMerge w:val="restart"/>
            <w:tcBorders>
              <w:top w:val="nil"/>
              <w:left w:val="single" w:color="000000" w:sz="4" w:space="0"/>
              <w:bottom w:val="single" w:color="000000" w:sz="4" w:space="0"/>
              <w:right w:val="single" w:color="000000" w:sz="4" w:space="0"/>
              <w:tl2br w:val="single" w:color="000000" w:sz="4" w:space="0"/>
            </w:tcBorders>
            <w:shd w:val="clear" w:color="auto" w:fill="auto"/>
          </w:tcPr>
          <w:p w14:paraId="6CA2F1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时间</w:t>
            </w:r>
          </w:p>
          <w:p w14:paraId="2C78D4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p>
          <w:p w14:paraId="4F075EE5">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14:paraId="320E4FCA">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14:paraId="5415DBB3">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14:paraId="351359DA">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测点</w:t>
            </w:r>
          </w:p>
        </w:tc>
        <w:tc>
          <w:tcPr>
            <w:tcW w:w="848" w:type="dxa"/>
            <w:vMerge w:val="restart"/>
            <w:tcBorders>
              <w:top w:val="nil"/>
              <w:left w:val="single" w:color="000000" w:sz="4" w:space="0"/>
              <w:bottom w:val="single" w:color="000000" w:sz="4" w:space="0"/>
              <w:right w:val="single" w:color="000000" w:sz="4" w:space="0"/>
            </w:tcBorders>
            <w:shd w:val="clear" w:color="auto" w:fill="auto"/>
            <w:vAlign w:val="center"/>
          </w:tcPr>
          <w:p w14:paraId="7DEA04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初始</w:t>
            </w:r>
          </w:p>
          <w:p w14:paraId="573209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相对</w:t>
            </w:r>
          </w:p>
          <w:p w14:paraId="048454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高程</w:t>
            </w:r>
          </w:p>
          <w:p w14:paraId="40E493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（m</w:t>
            </w:r>
            <w:r>
              <w:rPr>
                <w:rFonts w:ascii="Times New Roman" w:hAnsi="Times New Roman" w:cs="Times New Roman"/>
                <w:color w:val="000000"/>
                <w:kern w:val="0"/>
                <w:sz w:val="14"/>
                <w:szCs w:val="14"/>
                <w:highlight w:val="none"/>
              </w:rPr>
              <w:t>）</w:t>
            </w:r>
          </w:p>
        </w:tc>
        <w:tc>
          <w:tcPr>
            <w:tcW w:w="1812" w:type="dxa"/>
            <w:gridSpan w:val="3"/>
            <w:tcBorders>
              <w:top w:val="single" w:color="000000" w:sz="4" w:space="0"/>
              <w:left w:val="nil"/>
              <w:bottom w:val="single" w:color="000000" w:sz="4" w:space="0"/>
              <w:right w:val="single" w:color="000000" w:sz="4" w:space="0"/>
            </w:tcBorders>
            <w:shd w:val="clear" w:color="auto" w:fill="auto"/>
            <w:vAlign w:val="center"/>
          </w:tcPr>
          <w:p w14:paraId="44B89A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812" w:type="dxa"/>
            <w:gridSpan w:val="3"/>
            <w:tcBorders>
              <w:top w:val="nil"/>
              <w:left w:val="nil"/>
              <w:bottom w:val="single" w:color="000000" w:sz="4" w:space="0"/>
              <w:right w:val="single" w:color="000000" w:sz="4" w:space="0"/>
            </w:tcBorders>
            <w:shd w:val="clear" w:color="auto" w:fill="auto"/>
            <w:vAlign w:val="center"/>
          </w:tcPr>
          <w:p w14:paraId="42269A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812" w:type="dxa"/>
            <w:gridSpan w:val="3"/>
            <w:tcBorders>
              <w:top w:val="nil"/>
              <w:left w:val="nil"/>
              <w:bottom w:val="single" w:color="000000" w:sz="4" w:space="0"/>
              <w:right w:val="single" w:color="000000" w:sz="4" w:space="0"/>
            </w:tcBorders>
            <w:shd w:val="clear" w:color="auto" w:fill="auto"/>
            <w:vAlign w:val="center"/>
          </w:tcPr>
          <w:p w14:paraId="52E5BD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815" w:type="dxa"/>
            <w:gridSpan w:val="3"/>
            <w:tcBorders>
              <w:top w:val="nil"/>
              <w:left w:val="nil"/>
              <w:bottom w:val="single" w:color="000000" w:sz="4" w:space="0"/>
              <w:right w:val="single" w:color="000000" w:sz="4" w:space="0"/>
            </w:tcBorders>
            <w:shd w:val="clear" w:color="auto" w:fill="auto"/>
            <w:vAlign w:val="center"/>
          </w:tcPr>
          <w:p w14:paraId="19E989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r>
      <w:tr w14:paraId="0DF0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435" w:type="dxa"/>
            <w:vMerge w:val="continue"/>
            <w:tcBorders>
              <w:top w:val="nil"/>
              <w:left w:val="single" w:color="000000" w:sz="4" w:space="0"/>
              <w:bottom w:val="single" w:color="000000" w:sz="4" w:space="0"/>
              <w:right w:val="single" w:color="000000" w:sz="4" w:space="0"/>
            </w:tcBorders>
            <w:vAlign w:val="center"/>
          </w:tcPr>
          <w:p w14:paraId="3ED3CF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848" w:type="dxa"/>
            <w:vMerge w:val="continue"/>
            <w:tcBorders>
              <w:top w:val="nil"/>
              <w:left w:val="single" w:color="000000" w:sz="4" w:space="0"/>
              <w:bottom w:val="single" w:color="000000" w:sz="4" w:space="0"/>
              <w:right w:val="single" w:color="000000" w:sz="4" w:space="0"/>
            </w:tcBorders>
            <w:vAlign w:val="center"/>
          </w:tcPr>
          <w:p w14:paraId="6AA42C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1812" w:type="dxa"/>
            <w:gridSpan w:val="3"/>
            <w:tcBorders>
              <w:top w:val="single" w:color="000000" w:sz="4" w:space="0"/>
              <w:left w:val="nil"/>
              <w:bottom w:val="single" w:color="000000" w:sz="4" w:space="0"/>
              <w:right w:val="single" w:color="000000" w:sz="4" w:space="0"/>
            </w:tcBorders>
            <w:shd w:val="clear" w:color="auto" w:fill="auto"/>
            <w:vAlign w:val="center"/>
          </w:tcPr>
          <w:p w14:paraId="23E270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812" w:type="dxa"/>
            <w:gridSpan w:val="3"/>
            <w:tcBorders>
              <w:top w:val="nil"/>
              <w:left w:val="nil"/>
              <w:bottom w:val="single" w:color="000000" w:sz="4" w:space="0"/>
              <w:right w:val="single" w:color="000000" w:sz="4" w:space="0"/>
            </w:tcBorders>
            <w:shd w:val="clear" w:color="auto" w:fill="auto"/>
            <w:vAlign w:val="center"/>
          </w:tcPr>
          <w:p w14:paraId="31B58C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812" w:type="dxa"/>
            <w:gridSpan w:val="3"/>
            <w:tcBorders>
              <w:top w:val="nil"/>
              <w:left w:val="nil"/>
              <w:bottom w:val="single" w:color="000000" w:sz="4" w:space="0"/>
              <w:right w:val="single" w:color="000000" w:sz="4" w:space="0"/>
            </w:tcBorders>
            <w:shd w:val="clear" w:color="auto" w:fill="auto"/>
            <w:vAlign w:val="center"/>
          </w:tcPr>
          <w:p w14:paraId="244EFC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815" w:type="dxa"/>
            <w:gridSpan w:val="3"/>
            <w:tcBorders>
              <w:top w:val="nil"/>
              <w:left w:val="nil"/>
              <w:bottom w:val="single" w:color="000000" w:sz="4" w:space="0"/>
              <w:right w:val="single" w:color="000000" w:sz="4" w:space="0"/>
            </w:tcBorders>
            <w:shd w:val="clear" w:color="auto" w:fill="auto"/>
            <w:vAlign w:val="center"/>
          </w:tcPr>
          <w:p w14:paraId="4156BD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r>
      <w:tr w14:paraId="5BE0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435" w:type="dxa"/>
            <w:vMerge w:val="continue"/>
            <w:tcBorders>
              <w:top w:val="nil"/>
              <w:left w:val="single" w:color="000000" w:sz="4" w:space="0"/>
              <w:bottom w:val="single" w:color="000000" w:sz="4" w:space="0"/>
              <w:right w:val="single" w:color="000000" w:sz="4" w:space="0"/>
            </w:tcBorders>
            <w:vAlign w:val="center"/>
          </w:tcPr>
          <w:p w14:paraId="59E38C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848" w:type="dxa"/>
            <w:vMerge w:val="continue"/>
            <w:tcBorders>
              <w:top w:val="nil"/>
              <w:left w:val="single" w:color="000000" w:sz="4" w:space="0"/>
              <w:bottom w:val="single" w:color="000000" w:sz="4" w:space="0"/>
              <w:right w:val="single" w:color="000000" w:sz="4" w:space="0"/>
            </w:tcBorders>
            <w:vAlign w:val="center"/>
          </w:tcPr>
          <w:p w14:paraId="4A2BDD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604" w:type="dxa"/>
            <w:tcBorders>
              <w:top w:val="nil"/>
              <w:left w:val="single" w:color="000000" w:sz="4" w:space="0"/>
              <w:bottom w:val="single" w:color="000000" w:sz="4" w:space="0"/>
              <w:right w:val="single" w:color="000000" w:sz="4" w:space="0"/>
            </w:tcBorders>
            <w:shd w:val="clear" w:color="auto" w:fill="auto"/>
            <w:vAlign w:val="center"/>
          </w:tcPr>
          <w:p w14:paraId="14887B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w:t>
            </w:r>
          </w:p>
          <w:p w14:paraId="22A348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（mm</w:t>
            </w:r>
            <w:r>
              <w:rPr>
                <w:rFonts w:ascii="Times New Roman" w:hAnsi="Times New Roman" w:cs="Times New Roman"/>
                <w:color w:val="000000"/>
                <w:kern w:val="0"/>
                <w:sz w:val="14"/>
                <w:szCs w:val="14"/>
                <w:highlight w:val="none"/>
              </w:rPr>
              <w:t>）</w:t>
            </w:r>
          </w:p>
        </w:tc>
        <w:tc>
          <w:tcPr>
            <w:tcW w:w="604" w:type="dxa"/>
            <w:tcBorders>
              <w:top w:val="nil"/>
              <w:left w:val="single" w:color="000000" w:sz="4" w:space="0"/>
              <w:bottom w:val="single" w:color="000000" w:sz="4" w:space="0"/>
              <w:right w:val="single" w:color="000000" w:sz="4" w:space="0"/>
            </w:tcBorders>
            <w:shd w:val="clear" w:color="auto" w:fill="auto"/>
            <w:vAlign w:val="center"/>
          </w:tcPr>
          <w:p w14:paraId="058436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604" w:type="dxa"/>
            <w:tcBorders>
              <w:top w:val="nil"/>
              <w:left w:val="single" w:color="000000" w:sz="4" w:space="0"/>
              <w:bottom w:val="single" w:color="auto" w:sz="4" w:space="0"/>
              <w:right w:val="single" w:color="000000" w:sz="4" w:space="0"/>
            </w:tcBorders>
            <w:shd w:val="clear" w:color="auto" w:fill="auto"/>
            <w:vAlign w:val="center"/>
          </w:tcPr>
          <w:p w14:paraId="2EF658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559F9E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604" w:type="dxa"/>
            <w:tcBorders>
              <w:top w:val="nil"/>
              <w:left w:val="nil"/>
              <w:bottom w:val="single" w:color="auto" w:sz="4" w:space="0"/>
              <w:right w:val="single" w:color="000000" w:sz="4" w:space="0"/>
            </w:tcBorders>
            <w:shd w:val="clear" w:color="auto" w:fill="auto"/>
            <w:vAlign w:val="center"/>
          </w:tcPr>
          <w:p w14:paraId="17A6EB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604" w:type="dxa"/>
            <w:tcBorders>
              <w:top w:val="nil"/>
              <w:left w:val="nil"/>
              <w:bottom w:val="single" w:color="auto" w:sz="4" w:space="0"/>
              <w:right w:val="single" w:color="000000" w:sz="4" w:space="0"/>
            </w:tcBorders>
            <w:shd w:val="clear" w:color="auto" w:fill="auto"/>
            <w:vAlign w:val="center"/>
          </w:tcPr>
          <w:p w14:paraId="5FF382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604" w:type="dxa"/>
            <w:tcBorders>
              <w:top w:val="nil"/>
              <w:left w:val="nil"/>
              <w:bottom w:val="single" w:color="auto" w:sz="4" w:space="0"/>
              <w:right w:val="single" w:color="000000" w:sz="4" w:space="0"/>
            </w:tcBorders>
            <w:shd w:val="clear" w:color="auto" w:fill="auto"/>
            <w:vAlign w:val="center"/>
          </w:tcPr>
          <w:p w14:paraId="5E0D52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6F8502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604" w:type="dxa"/>
            <w:tcBorders>
              <w:top w:val="nil"/>
              <w:left w:val="nil"/>
              <w:bottom w:val="single" w:color="auto" w:sz="4" w:space="0"/>
              <w:right w:val="single" w:color="000000" w:sz="4" w:space="0"/>
            </w:tcBorders>
            <w:shd w:val="clear" w:color="auto" w:fill="auto"/>
            <w:vAlign w:val="center"/>
          </w:tcPr>
          <w:p w14:paraId="6A4828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604" w:type="dxa"/>
            <w:tcBorders>
              <w:top w:val="nil"/>
              <w:left w:val="nil"/>
              <w:bottom w:val="single" w:color="auto" w:sz="4" w:space="0"/>
              <w:right w:val="single" w:color="000000" w:sz="4" w:space="0"/>
            </w:tcBorders>
            <w:shd w:val="clear" w:color="auto" w:fill="auto"/>
            <w:vAlign w:val="center"/>
          </w:tcPr>
          <w:p w14:paraId="7EDBFB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604" w:type="dxa"/>
            <w:tcBorders>
              <w:top w:val="nil"/>
              <w:left w:val="nil"/>
              <w:bottom w:val="single" w:color="auto" w:sz="4" w:space="0"/>
              <w:right w:val="single" w:color="000000" w:sz="4" w:space="0"/>
            </w:tcBorders>
            <w:shd w:val="clear" w:color="auto" w:fill="auto"/>
            <w:vAlign w:val="center"/>
          </w:tcPr>
          <w:p w14:paraId="6EAAAF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4E5A6F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604" w:type="dxa"/>
            <w:tcBorders>
              <w:top w:val="nil"/>
              <w:left w:val="nil"/>
              <w:bottom w:val="single" w:color="auto" w:sz="4" w:space="0"/>
              <w:right w:val="single" w:color="000000" w:sz="4" w:space="0"/>
            </w:tcBorders>
            <w:shd w:val="clear" w:color="auto" w:fill="auto"/>
            <w:vAlign w:val="center"/>
          </w:tcPr>
          <w:p w14:paraId="352766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604" w:type="dxa"/>
            <w:tcBorders>
              <w:top w:val="nil"/>
              <w:left w:val="nil"/>
              <w:bottom w:val="single" w:color="auto" w:sz="4" w:space="0"/>
              <w:right w:val="single" w:color="000000" w:sz="4" w:space="0"/>
            </w:tcBorders>
            <w:shd w:val="clear" w:color="auto" w:fill="auto"/>
            <w:vAlign w:val="center"/>
          </w:tcPr>
          <w:p w14:paraId="633D33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607" w:type="dxa"/>
            <w:tcBorders>
              <w:top w:val="nil"/>
              <w:left w:val="nil"/>
              <w:bottom w:val="single" w:color="auto" w:sz="4" w:space="0"/>
              <w:right w:val="single" w:color="000000" w:sz="4" w:space="0"/>
            </w:tcBorders>
            <w:shd w:val="clear" w:color="auto" w:fill="auto"/>
            <w:vAlign w:val="center"/>
          </w:tcPr>
          <w:p w14:paraId="51B41A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35215C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r>
      <w:tr w14:paraId="59B1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14:paraId="33CA1242">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14:paraId="733A82C4">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3FAD3E7D">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F599C5E">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E593955">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AA30191">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80615E1">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3BE254B3">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2CD8941">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5975B1E">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0004693">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5DAC8587">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D0B42D3">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14:paraId="43EBCABA">
            <w:pPr>
              <w:widowControl/>
              <w:spacing w:line="240" w:lineRule="auto"/>
              <w:jc w:val="center"/>
              <w:rPr>
                <w:rFonts w:ascii="Times New Roman" w:hAnsi="Times New Roman" w:cs="Times New Roman"/>
                <w:color w:val="000000"/>
                <w:kern w:val="0"/>
                <w:sz w:val="14"/>
                <w:szCs w:val="14"/>
                <w:highlight w:val="none"/>
              </w:rPr>
            </w:pPr>
          </w:p>
        </w:tc>
      </w:tr>
      <w:tr w14:paraId="2759A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14:paraId="7F973F54">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14:paraId="40F5F139">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0B12FEA">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3E019B8">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3756AFDE">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0F16DC53">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1100FF74">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4493E3B4">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6AD213F">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81D6A23">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9636974">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01AC90F1">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170FA9C5">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14:paraId="6A555D6D">
            <w:pPr>
              <w:widowControl/>
              <w:spacing w:line="240" w:lineRule="auto"/>
              <w:jc w:val="center"/>
              <w:rPr>
                <w:rFonts w:ascii="Times New Roman" w:hAnsi="Times New Roman" w:cs="Times New Roman"/>
                <w:color w:val="000000"/>
                <w:kern w:val="0"/>
                <w:sz w:val="14"/>
                <w:szCs w:val="14"/>
                <w:highlight w:val="none"/>
              </w:rPr>
            </w:pPr>
          </w:p>
        </w:tc>
      </w:tr>
      <w:tr w14:paraId="4F4E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14:paraId="79CE0524">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14:paraId="4065559E">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E02007A">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43AA45FA">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55E4C69">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B6D7B3C">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C285E3C">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5793620">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3176FD09">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46E96B51">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4BE6EE3">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679710C">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1B6CFBE6">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14:paraId="2CA62C59">
            <w:pPr>
              <w:widowControl/>
              <w:spacing w:line="240" w:lineRule="auto"/>
              <w:jc w:val="center"/>
              <w:rPr>
                <w:rFonts w:ascii="Times New Roman" w:hAnsi="Times New Roman" w:cs="Times New Roman"/>
                <w:color w:val="000000"/>
                <w:kern w:val="0"/>
                <w:sz w:val="14"/>
                <w:szCs w:val="14"/>
                <w:highlight w:val="none"/>
              </w:rPr>
            </w:pPr>
          </w:p>
        </w:tc>
      </w:tr>
      <w:tr w14:paraId="25E2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14:paraId="44ACB834">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14:paraId="1F8D1802">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0CDEFBB9">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53F10365">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259A398">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D161C7A">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4474685">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797ADC2">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05156E06">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1D44DAF6">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0FCF5E9">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59CEFD07">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E4C18F0">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14:paraId="3CE30E42">
            <w:pPr>
              <w:widowControl/>
              <w:spacing w:line="240" w:lineRule="auto"/>
              <w:jc w:val="center"/>
              <w:rPr>
                <w:rFonts w:ascii="Times New Roman" w:hAnsi="Times New Roman" w:cs="Times New Roman"/>
                <w:color w:val="000000"/>
                <w:kern w:val="0"/>
                <w:sz w:val="14"/>
                <w:szCs w:val="14"/>
                <w:highlight w:val="none"/>
              </w:rPr>
            </w:pPr>
          </w:p>
        </w:tc>
      </w:tr>
      <w:tr w14:paraId="097D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14:paraId="726C9517">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14:paraId="4D4C2E02">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610B3CB">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85A182A">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6932D8A">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7FBC3F8">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5FDA8537">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B9047CB">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5E8F912">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BE50D8E">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1F6B51B">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06F3A0BF">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70B1990">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14:paraId="3AED0543">
            <w:pPr>
              <w:widowControl/>
              <w:spacing w:line="240" w:lineRule="auto"/>
              <w:jc w:val="center"/>
              <w:rPr>
                <w:rFonts w:ascii="Times New Roman" w:hAnsi="Times New Roman" w:cs="Times New Roman"/>
                <w:color w:val="000000"/>
                <w:kern w:val="0"/>
                <w:sz w:val="14"/>
                <w:szCs w:val="14"/>
                <w:highlight w:val="none"/>
              </w:rPr>
            </w:pPr>
          </w:p>
        </w:tc>
      </w:tr>
      <w:tr w14:paraId="6E271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14:paraId="113E3BF9">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14:paraId="7FBF1D1D">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FD5A449">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7F25956">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217AFBE">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307E78F9">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F02E0BD">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FB28B3C">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8250E34">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0C1E8207">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FAD47B0">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1E29284F">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DCD7C07">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14:paraId="2A314A7A">
            <w:pPr>
              <w:widowControl/>
              <w:spacing w:line="240" w:lineRule="auto"/>
              <w:jc w:val="center"/>
              <w:rPr>
                <w:rFonts w:ascii="Times New Roman" w:hAnsi="Times New Roman" w:cs="Times New Roman"/>
                <w:color w:val="000000"/>
                <w:kern w:val="0"/>
                <w:sz w:val="14"/>
                <w:szCs w:val="14"/>
                <w:highlight w:val="none"/>
              </w:rPr>
            </w:pPr>
          </w:p>
        </w:tc>
      </w:tr>
      <w:tr w14:paraId="62A7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14:paraId="78EFBF56">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14:paraId="1B661C64">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7927E75">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4E60AC33">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38C79E02">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0D07F072">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51FD5A8">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5122E92">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722070C">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BB9227D">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3FC43918">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9B786D6">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C4E958F">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14:paraId="380E6059">
            <w:pPr>
              <w:widowControl/>
              <w:spacing w:line="240" w:lineRule="auto"/>
              <w:jc w:val="center"/>
              <w:rPr>
                <w:rFonts w:ascii="Times New Roman" w:hAnsi="Times New Roman" w:cs="Times New Roman"/>
                <w:color w:val="000000"/>
                <w:kern w:val="0"/>
                <w:sz w:val="14"/>
                <w:szCs w:val="14"/>
                <w:highlight w:val="none"/>
              </w:rPr>
            </w:pPr>
          </w:p>
        </w:tc>
      </w:tr>
      <w:tr w14:paraId="6DA07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14:paraId="481E141C">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14:paraId="61CB422E">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3DF11C3D">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B604483">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451495E">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0DA66378">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28DF023">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4B6D728C">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13D67C98">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28B285A">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157C7155">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18E03F67">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9443881">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14:paraId="64FA888D">
            <w:pPr>
              <w:widowControl/>
              <w:spacing w:line="240" w:lineRule="auto"/>
              <w:jc w:val="center"/>
              <w:rPr>
                <w:rFonts w:ascii="Times New Roman" w:hAnsi="Times New Roman" w:cs="Times New Roman"/>
                <w:color w:val="000000"/>
                <w:kern w:val="0"/>
                <w:sz w:val="14"/>
                <w:szCs w:val="14"/>
                <w:highlight w:val="none"/>
              </w:rPr>
            </w:pPr>
          </w:p>
        </w:tc>
      </w:tr>
      <w:tr w14:paraId="5973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14:paraId="5F22058E">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14:paraId="41B691F2">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4AE3DBF0">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086CF6D6">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54987FC">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D74892E">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3F08F0A">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5F03544D">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71379DA">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0B35D22A">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EF92C68">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55E7928C">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C09E09D">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14:paraId="5D972F95">
            <w:pPr>
              <w:widowControl/>
              <w:spacing w:line="240" w:lineRule="auto"/>
              <w:jc w:val="center"/>
              <w:rPr>
                <w:rFonts w:ascii="Times New Roman" w:hAnsi="Times New Roman" w:cs="Times New Roman"/>
                <w:color w:val="000000"/>
                <w:kern w:val="0"/>
                <w:sz w:val="14"/>
                <w:szCs w:val="14"/>
                <w:highlight w:val="none"/>
              </w:rPr>
            </w:pPr>
          </w:p>
        </w:tc>
      </w:tr>
      <w:tr w14:paraId="19CD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14:paraId="754325C6">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14:paraId="4322C2B0">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C6B224C">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168C69AF">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35DA678B">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3A6F3490">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51D03959">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DFD8184">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528C301A">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1A759EFA">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46807E38">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057D3668">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52AF9E77">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14:paraId="7C7AD1E5">
            <w:pPr>
              <w:widowControl/>
              <w:spacing w:line="240" w:lineRule="auto"/>
              <w:jc w:val="center"/>
              <w:rPr>
                <w:rFonts w:ascii="Times New Roman" w:hAnsi="Times New Roman" w:cs="Times New Roman"/>
                <w:color w:val="000000"/>
                <w:kern w:val="0"/>
                <w:sz w:val="14"/>
                <w:szCs w:val="14"/>
                <w:highlight w:val="none"/>
              </w:rPr>
            </w:pPr>
          </w:p>
        </w:tc>
      </w:tr>
      <w:tr w14:paraId="02B5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14:paraId="7370BCC5">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14:paraId="1977B6D9">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447C0CC4">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4DCB48C5">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DE58737">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1CB9FAC">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310C5B70">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29B60EE4">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188CF1D7">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5C8E98EB">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0388278B">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AC464CA">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041AE0AC">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14:paraId="3B879DE0">
            <w:pPr>
              <w:widowControl/>
              <w:spacing w:line="240" w:lineRule="auto"/>
              <w:jc w:val="center"/>
              <w:rPr>
                <w:rFonts w:ascii="Times New Roman" w:hAnsi="Times New Roman" w:cs="Times New Roman"/>
                <w:color w:val="000000"/>
                <w:kern w:val="0"/>
                <w:sz w:val="14"/>
                <w:szCs w:val="14"/>
                <w:highlight w:val="none"/>
              </w:rPr>
            </w:pPr>
          </w:p>
        </w:tc>
      </w:tr>
      <w:tr w14:paraId="1942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14:paraId="023D5963">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14:paraId="0960DC92">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0BB12E8E">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0DA1AEC3">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3FE9634C">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3B2CD3BD">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4BD9C51D">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19638877">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70B9EF68">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6F302CEC">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3F0E595E">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1F4E4CBC">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14:paraId="32AAECB2">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14:paraId="28CB01FB">
            <w:pPr>
              <w:widowControl/>
              <w:spacing w:line="240" w:lineRule="auto"/>
              <w:jc w:val="center"/>
              <w:rPr>
                <w:rFonts w:ascii="Times New Roman" w:hAnsi="Times New Roman" w:cs="Times New Roman"/>
                <w:color w:val="000000"/>
                <w:kern w:val="0"/>
                <w:sz w:val="14"/>
                <w:szCs w:val="14"/>
                <w:highlight w:val="none"/>
              </w:rPr>
            </w:pPr>
          </w:p>
        </w:tc>
      </w:tr>
      <w:tr w14:paraId="3714B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A1C3">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工况简述</w:t>
            </w:r>
          </w:p>
        </w:tc>
        <w:tc>
          <w:tcPr>
            <w:tcW w:w="1812" w:type="dxa"/>
            <w:gridSpan w:val="3"/>
            <w:tcBorders>
              <w:top w:val="single" w:color="000000" w:sz="4" w:space="0"/>
              <w:left w:val="nil"/>
              <w:bottom w:val="single" w:color="000000" w:sz="4" w:space="0"/>
              <w:right w:val="single" w:color="000000" w:sz="4" w:space="0"/>
            </w:tcBorders>
            <w:shd w:val="clear" w:color="auto" w:fill="auto"/>
            <w:noWrap/>
            <w:vAlign w:val="center"/>
          </w:tcPr>
          <w:p w14:paraId="77C20243">
            <w:pPr>
              <w:widowControl/>
              <w:spacing w:line="240" w:lineRule="auto"/>
              <w:jc w:val="center"/>
              <w:rPr>
                <w:rFonts w:ascii="Times New Roman" w:hAnsi="Times New Roman" w:cs="Times New Roman"/>
                <w:color w:val="000000"/>
                <w:kern w:val="0"/>
                <w:sz w:val="14"/>
                <w:szCs w:val="14"/>
                <w:highlight w:val="none"/>
              </w:rPr>
            </w:pPr>
          </w:p>
        </w:tc>
        <w:tc>
          <w:tcPr>
            <w:tcW w:w="1812" w:type="dxa"/>
            <w:gridSpan w:val="3"/>
            <w:tcBorders>
              <w:top w:val="nil"/>
              <w:left w:val="nil"/>
              <w:bottom w:val="single" w:color="000000" w:sz="4" w:space="0"/>
              <w:right w:val="single" w:color="000000" w:sz="4" w:space="0"/>
            </w:tcBorders>
            <w:shd w:val="clear" w:color="auto" w:fill="auto"/>
            <w:noWrap/>
            <w:vAlign w:val="center"/>
          </w:tcPr>
          <w:p w14:paraId="3E1BB332">
            <w:pPr>
              <w:widowControl/>
              <w:spacing w:line="240" w:lineRule="auto"/>
              <w:jc w:val="center"/>
              <w:rPr>
                <w:rFonts w:ascii="Times New Roman" w:hAnsi="Times New Roman" w:cs="Times New Roman"/>
                <w:color w:val="000000"/>
                <w:kern w:val="0"/>
                <w:sz w:val="14"/>
                <w:szCs w:val="14"/>
                <w:highlight w:val="none"/>
              </w:rPr>
            </w:pPr>
          </w:p>
        </w:tc>
        <w:tc>
          <w:tcPr>
            <w:tcW w:w="1812" w:type="dxa"/>
            <w:gridSpan w:val="3"/>
            <w:tcBorders>
              <w:top w:val="nil"/>
              <w:left w:val="nil"/>
              <w:bottom w:val="single" w:color="000000" w:sz="4" w:space="0"/>
              <w:right w:val="single" w:color="000000" w:sz="4" w:space="0"/>
            </w:tcBorders>
            <w:shd w:val="clear" w:color="auto" w:fill="auto"/>
            <w:noWrap/>
            <w:vAlign w:val="center"/>
          </w:tcPr>
          <w:p w14:paraId="62BB428C">
            <w:pPr>
              <w:widowControl/>
              <w:spacing w:line="240" w:lineRule="auto"/>
              <w:jc w:val="center"/>
              <w:rPr>
                <w:rFonts w:ascii="Times New Roman" w:hAnsi="Times New Roman" w:cs="Times New Roman"/>
                <w:color w:val="000000"/>
                <w:kern w:val="0"/>
                <w:sz w:val="14"/>
                <w:szCs w:val="14"/>
                <w:highlight w:val="none"/>
              </w:rPr>
            </w:pPr>
          </w:p>
        </w:tc>
        <w:tc>
          <w:tcPr>
            <w:tcW w:w="1815" w:type="dxa"/>
            <w:gridSpan w:val="3"/>
            <w:tcBorders>
              <w:top w:val="nil"/>
              <w:left w:val="nil"/>
              <w:bottom w:val="single" w:color="000000" w:sz="4" w:space="0"/>
              <w:right w:val="single" w:color="000000" w:sz="4" w:space="0"/>
            </w:tcBorders>
            <w:shd w:val="clear" w:color="auto" w:fill="auto"/>
            <w:noWrap/>
            <w:vAlign w:val="center"/>
          </w:tcPr>
          <w:p w14:paraId="7B89D4A9">
            <w:pPr>
              <w:widowControl/>
              <w:spacing w:line="240" w:lineRule="auto"/>
              <w:jc w:val="center"/>
              <w:rPr>
                <w:rFonts w:ascii="Times New Roman" w:hAnsi="Times New Roman" w:cs="Times New Roman"/>
                <w:color w:val="000000"/>
                <w:kern w:val="0"/>
                <w:sz w:val="14"/>
                <w:szCs w:val="14"/>
                <w:highlight w:val="none"/>
              </w:rPr>
            </w:pPr>
          </w:p>
        </w:tc>
      </w:tr>
      <w:tr w14:paraId="4DE4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FE9B">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累计下沉最大值</w:t>
            </w:r>
          </w:p>
        </w:tc>
        <w:tc>
          <w:tcPr>
            <w:tcW w:w="1812" w:type="dxa"/>
            <w:gridSpan w:val="3"/>
            <w:tcBorders>
              <w:top w:val="single" w:color="000000" w:sz="4" w:space="0"/>
              <w:left w:val="nil"/>
              <w:bottom w:val="single" w:color="000000" w:sz="4" w:space="0"/>
              <w:right w:val="single" w:color="000000" w:sz="4" w:space="0"/>
            </w:tcBorders>
            <w:shd w:val="clear" w:color="auto" w:fill="auto"/>
            <w:noWrap/>
            <w:vAlign w:val="center"/>
          </w:tcPr>
          <w:p w14:paraId="38E28300">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812" w:type="dxa"/>
            <w:gridSpan w:val="3"/>
            <w:tcBorders>
              <w:top w:val="nil"/>
              <w:left w:val="nil"/>
              <w:bottom w:val="single" w:color="000000" w:sz="4" w:space="0"/>
              <w:right w:val="single" w:color="000000" w:sz="4" w:space="0"/>
            </w:tcBorders>
            <w:shd w:val="clear" w:color="auto" w:fill="auto"/>
            <w:noWrap/>
            <w:vAlign w:val="center"/>
          </w:tcPr>
          <w:p w14:paraId="4B338B78">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812" w:type="dxa"/>
            <w:gridSpan w:val="3"/>
            <w:tcBorders>
              <w:top w:val="nil"/>
              <w:left w:val="nil"/>
              <w:bottom w:val="single" w:color="000000" w:sz="4" w:space="0"/>
              <w:right w:val="single" w:color="000000" w:sz="4" w:space="0"/>
            </w:tcBorders>
            <w:shd w:val="clear" w:color="auto" w:fill="auto"/>
            <w:noWrap/>
            <w:vAlign w:val="center"/>
          </w:tcPr>
          <w:p w14:paraId="3C51B9E9">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815" w:type="dxa"/>
            <w:gridSpan w:val="3"/>
            <w:tcBorders>
              <w:top w:val="nil"/>
              <w:left w:val="nil"/>
              <w:bottom w:val="single" w:color="000000" w:sz="4" w:space="0"/>
              <w:right w:val="single" w:color="000000" w:sz="4" w:space="0"/>
            </w:tcBorders>
            <w:shd w:val="clear" w:color="auto" w:fill="auto"/>
            <w:noWrap/>
            <w:vAlign w:val="center"/>
          </w:tcPr>
          <w:p w14:paraId="6DF93A56">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r>
      <w:tr w14:paraId="3A06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F706">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累计上升最大值</w:t>
            </w:r>
          </w:p>
        </w:tc>
        <w:tc>
          <w:tcPr>
            <w:tcW w:w="1812" w:type="dxa"/>
            <w:gridSpan w:val="3"/>
            <w:tcBorders>
              <w:top w:val="single" w:color="000000" w:sz="4" w:space="0"/>
              <w:left w:val="nil"/>
              <w:bottom w:val="single" w:color="000000" w:sz="4" w:space="0"/>
              <w:right w:val="single" w:color="000000" w:sz="4" w:space="0"/>
            </w:tcBorders>
            <w:shd w:val="clear" w:color="auto" w:fill="auto"/>
            <w:noWrap/>
            <w:vAlign w:val="center"/>
          </w:tcPr>
          <w:p w14:paraId="55064A40">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812" w:type="dxa"/>
            <w:gridSpan w:val="3"/>
            <w:tcBorders>
              <w:top w:val="nil"/>
              <w:left w:val="nil"/>
              <w:bottom w:val="single" w:color="000000" w:sz="4" w:space="0"/>
              <w:right w:val="single" w:color="000000" w:sz="4" w:space="0"/>
            </w:tcBorders>
            <w:shd w:val="clear" w:color="auto" w:fill="auto"/>
            <w:noWrap/>
            <w:vAlign w:val="center"/>
          </w:tcPr>
          <w:p w14:paraId="614B9CC0">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812" w:type="dxa"/>
            <w:gridSpan w:val="3"/>
            <w:tcBorders>
              <w:top w:val="nil"/>
              <w:left w:val="nil"/>
              <w:bottom w:val="single" w:color="000000" w:sz="4" w:space="0"/>
              <w:right w:val="single" w:color="000000" w:sz="4" w:space="0"/>
            </w:tcBorders>
            <w:shd w:val="clear" w:color="auto" w:fill="auto"/>
            <w:noWrap/>
            <w:vAlign w:val="center"/>
          </w:tcPr>
          <w:p w14:paraId="6E406681">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815" w:type="dxa"/>
            <w:gridSpan w:val="3"/>
            <w:tcBorders>
              <w:top w:val="nil"/>
              <w:left w:val="nil"/>
              <w:bottom w:val="single" w:color="000000" w:sz="4" w:space="0"/>
              <w:right w:val="single" w:color="000000" w:sz="4" w:space="0"/>
            </w:tcBorders>
            <w:shd w:val="clear" w:color="auto" w:fill="auto"/>
            <w:noWrap/>
            <w:vAlign w:val="center"/>
          </w:tcPr>
          <w:p w14:paraId="3CC1E650">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r>
      <w:tr w14:paraId="00C7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8133">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最大速率(mm/d)</w:t>
            </w:r>
          </w:p>
        </w:tc>
        <w:tc>
          <w:tcPr>
            <w:tcW w:w="1812" w:type="dxa"/>
            <w:gridSpan w:val="3"/>
            <w:tcBorders>
              <w:top w:val="single" w:color="000000" w:sz="4" w:space="0"/>
              <w:left w:val="nil"/>
              <w:bottom w:val="single" w:color="000000" w:sz="4" w:space="0"/>
              <w:right w:val="single" w:color="000000" w:sz="4" w:space="0"/>
            </w:tcBorders>
            <w:shd w:val="clear" w:color="auto" w:fill="auto"/>
            <w:noWrap/>
            <w:vAlign w:val="center"/>
          </w:tcPr>
          <w:p w14:paraId="15BD6358">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812" w:type="dxa"/>
            <w:gridSpan w:val="3"/>
            <w:tcBorders>
              <w:top w:val="nil"/>
              <w:left w:val="nil"/>
              <w:bottom w:val="single" w:color="000000" w:sz="4" w:space="0"/>
              <w:right w:val="single" w:color="000000" w:sz="4" w:space="0"/>
            </w:tcBorders>
            <w:shd w:val="clear" w:color="auto" w:fill="auto"/>
            <w:noWrap/>
            <w:vAlign w:val="center"/>
          </w:tcPr>
          <w:p w14:paraId="384A83A3">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812" w:type="dxa"/>
            <w:gridSpan w:val="3"/>
            <w:tcBorders>
              <w:top w:val="nil"/>
              <w:left w:val="nil"/>
              <w:bottom w:val="single" w:color="000000" w:sz="4" w:space="0"/>
              <w:right w:val="single" w:color="000000" w:sz="4" w:space="0"/>
            </w:tcBorders>
            <w:shd w:val="clear" w:color="auto" w:fill="auto"/>
            <w:noWrap/>
            <w:vAlign w:val="center"/>
          </w:tcPr>
          <w:p w14:paraId="1C08A819">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815" w:type="dxa"/>
            <w:gridSpan w:val="3"/>
            <w:tcBorders>
              <w:top w:val="nil"/>
              <w:left w:val="nil"/>
              <w:bottom w:val="single" w:color="000000" w:sz="4" w:space="0"/>
              <w:right w:val="single" w:color="000000" w:sz="4" w:space="0"/>
            </w:tcBorders>
            <w:shd w:val="clear" w:color="auto" w:fill="auto"/>
            <w:noWrap/>
            <w:vAlign w:val="center"/>
          </w:tcPr>
          <w:p w14:paraId="2B88C6EE">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r>
      <w:tr w14:paraId="1DD4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3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5CD46ED">
            <w:pPr>
              <w:widowControl/>
              <w:spacing w:line="240" w:lineRule="auto"/>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备注:</w:t>
            </w:r>
          </w:p>
          <w:p w14:paraId="0847FF7E">
            <w:pPr>
              <w:widowControl/>
              <w:spacing w:line="240" w:lineRule="auto"/>
              <w:ind w:firstLine="280" w:firstLineChars="200"/>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1）表中次数为进场次数；2 ）沉降量“+”表示上升，“-”表示下降</w:t>
            </w:r>
            <w:r>
              <w:rPr>
                <w:rFonts w:ascii="Times New Roman" w:hAnsi="Times New Roman" w:cs="Times New Roman"/>
                <w:color w:val="000000"/>
                <w:kern w:val="0"/>
                <w:sz w:val="14"/>
                <w:szCs w:val="14"/>
                <w:highlight w:val="none"/>
              </w:rPr>
              <w:t>。</w:t>
            </w:r>
          </w:p>
        </w:tc>
      </w:tr>
      <w:tr w14:paraId="2CDA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4" w:type="dxa"/>
            <w:gridSpan w:val="14"/>
            <w:tcBorders>
              <w:top w:val="single" w:color="000000" w:sz="4" w:space="0"/>
              <w:left w:val="single" w:color="000000" w:sz="4" w:space="0"/>
              <w:bottom w:val="single" w:color="000000" w:sz="4" w:space="0"/>
              <w:right w:val="single" w:color="000000" w:sz="4" w:space="0"/>
            </w:tcBorders>
            <w:shd w:val="clear" w:color="000000" w:fill="D9D9D9"/>
            <w:noWrap/>
            <w:vAlign w:val="center"/>
          </w:tcPr>
          <w:p w14:paraId="6F9A4D7C">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监测数据成果曲线图</w:t>
            </w:r>
          </w:p>
        </w:tc>
      </w:tr>
      <w:tr w14:paraId="4DEA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9" w:hRule="atLeast"/>
        </w:trPr>
        <w:tc>
          <w:tcPr>
            <w:tcW w:w="8534" w:type="dxa"/>
            <w:gridSpan w:val="14"/>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B2467A">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mc:AlternateContent>
                <mc:Choice Requires="wpg">
                  <w:drawing>
                    <wp:anchor distT="0" distB="0" distL="114300" distR="114300" simplePos="0" relativeHeight="251661312" behindDoc="0" locked="0" layoutInCell="1" allowOverlap="1">
                      <wp:simplePos x="0" y="0"/>
                      <wp:positionH relativeFrom="column">
                        <wp:posOffset>109220</wp:posOffset>
                      </wp:positionH>
                      <wp:positionV relativeFrom="paragraph">
                        <wp:posOffset>59690</wp:posOffset>
                      </wp:positionV>
                      <wp:extent cx="5147310" cy="1359535"/>
                      <wp:effectExtent l="4445" t="0" r="10795" b="12065"/>
                      <wp:wrapNone/>
                      <wp:docPr id="420" name="Group 173"/>
                      <wp:cNvGraphicFramePr/>
                      <a:graphic xmlns:a="http://schemas.openxmlformats.org/drawingml/2006/main">
                        <a:graphicData uri="http://schemas.microsoft.com/office/word/2010/wordprocessingGroup">
                          <wpg:wgp>
                            <wpg:cNvGrpSpPr/>
                            <wpg:grpSpPr>
                              <a:xfrm>
                                <a:off x="0" y="0"/>
                                <a:ext cx="5147310" cy="1359535"/>
                                <a:chOff x="1644" y="10805"/>
                                <a:chExt cx="8106" cy="2141"/>
                              </a:xfrm>
                            </wpg:grpSpPr>
                            <wpg:grpSp>
                              <wpg:cNvPr id="421" name="Group 174"/>
                              <wpg:cNvGrpSpPr/>
                              <wpg:grpSpPr>
                                <a:xfrm>
                                  <a:off x="1644" y="10805"/>
                                  <a:ext cx="7940" cy="2141"/>
                                  <a:chOff x="2164" y="10756"/>
                                  <a:chExt cx="8077" cy="2141"/>
                                </a:xfrm>
                              </wpg:grpSpPr>
                              <wps:wsp>
                                <wps:cNvPr id="422" name="文本框 2"/>
                                <wps:cNvSpPr txBox="1">
                                  <a:spLocks noChangeArrowheads="1"/>
                                </wps:cNvSpPr>
                                <wps:spPr bwMode="auto">
                                  <a:xfrm>
                                    <a:off x="4603" y="12499"/>
                                    <a:ext cx="3165" cy="398"/>
                                  </a:xfrm>
                                  <a:prstGeom prst="rect">
                                    <a:avLst/>
                                  </a:prstGeom>
                                  <a:solidFill>
                                    <a:srgbClr val="FFFFFF"/>
                                  </a:solidFill>
                                  <a:ln w="9525">
                                    <a:solidFill>
                                      <a:srgbClr val="FFFFFF"/>
                                    </a:solidFill>
                                    <a:miter lim="800000"/>
                                  </a:ln>
                                </wps:spPr>
                                <wps:txbx>
                                  <w:txbxContent>
                                    <w:p w14:paraId="200E0D06">
                                      <w:pPr>
                                        <w:spacing w:line="240" w:lineRule="auto"/>
                                        <w:jc w:val="center"/>
                                        <w:rPr>
                                          <w:sz w:val="18"/>
                                          <w:szCs w:val="18"/>
                                        </w:rPr>
                                      </w:pPr>
                                      <w:r>
                                        <w:rPr>
                                          <w:rFonts w:hint="eastAsia"/>
                                          <w:sz w:val="18"/>
                                          <w:szCs w:val="18"/>
                                        </w:rPr>
                                        <w:t>观测时间</w:t>
                                      </w:r>
                                    </w:p>
                                  </w:txbxContent>
                                </wps:txbx>
                                <wps:bodyPr rot="0" vert="horz" wrap="square" lIns="91440" tIns="45720" rIns="91440" bIns="45720" anchor="t" anchorCtr="0" upright="1">
                                  <a:noAutofit/>
                                </wps:bodyPr>
                              </wps:wsp>
                              <wps:wsp>
                                <wps:cNvPr id="423" name="Text Box 176"/>
                                <wps:cNvSpPr txBox="1">
                                  <a:spLocks noChangeArrowheads="1"/>
                                </wps:cNvSpPr>
                                <wps:spPr bwMode="auto">
                                  <a:xfrm>
                                    <a:off x="2164" y="10809"/>
                                    <a:ext cx="538" cy="1713"/>
                                  </a:xfrm>
                                  <a:prstGeom prst="rect">
                                    <a:avLst/>
                                  </a:prstGeom>
                                  <a:solidFill>
                                    <a:srgbClr val="FFFFFF"/>
                                  </a:solidFill>
                                  <a:ln w="9525">
                                    <a:solidFill>
                                      <a:srgbClr val="FFFFFF"/>
                                    </a:solidFill>
                                    <a:miter lim="800000"/>
                                  </a:ln>
                                </wps:spPr>
                                <wps:txbx>
                                  <w:txbxContent>
                                    <w:p w14:paraId="14342749">
                                      <w:r>
                                        <w:rPr>
                                          <w:rFonts w:hint="eastAsia"/>
                                          <w:sz w:val="18"/>
                                          <w:szCs w:val="18"/>
                                        </w:rPr>
                                        <w:t>累计</w:t>
                                      </w:r>
                                      <w:r>
                                        <w:rPr>
                                          <w:sz w:val="18"/>
                                          <w:szCs w:val="18"/>
                                        </w:rPr>
                                        <w:t>变化量</w:t>
                                      </w:r>
                                      <w:r>
                                        <w:t>（</w:t>
                                      </w:r>
                                      <w:r>
                                        <w:rPr>
                                          <w:rFonts w:hint="eastAsia"/>
                                        </w:rPr>
                                        <w:t>mm</w:t>
                                      </w:r>
                                      <w:r>
                                        <w:t>）</w:t>
                                      </w:r>
                                    </w:p>
                                  </w:txbxContent>
                                </wps:txbx>
                                <wps:bodyPr rot="0" vert="eaVert" wrap="square" lIns="91440" tIns="45720" rIns="91440" bIns="45720" anchor="t" anchorCtr="0" upright="1">
                                  <a:noAutofit/>
                                </wps:bodyPr>
                              </wps:wsp>
                              <wpg:grpSp>
                                <wpg:cNvPr id="424" name="Group 177"/>
                                <wpg:cNvGrpSpPr/>
                                <wpg:grpSpPr>
                                  <a:xfrm>
                                    <a:off x="2590" y="10756"/>
                                    <a:ext cx="7651" cy="1825"/>
                                    <a:chOff x="3323" y="12253"/>
                                    <a:chExt cx="5752" cy="1492"/>
                                  </a:xfrm>
                                </wpg:grpSpPr>
                                <wps:wsp>
                                  <wps:cNvPr id="426" name="AutoShape 178"/>
                                  <wps:cNvCnPr>
                                    <a:cxnSpLocks noChangeShapeType="1"/>
                                  </wps:cNvCnPr>
                                  <wps:spPr bwMode="auto">
                                    <a:xfrm flipV="1">
                                      <a:off x="3323" y="12253"/>
                                      <a:ext cx="1" cy="1486"/>
                                    </a:xfrm>
                                    <a:prstGeom prst="straightConnector1">
                                      <a:avLst/>
                                    </a:prstGeom>
                                    <a:noFill/>
                                    <a:ln w="9525">
                                      <a:solidFill>
                                        <a:srgbClr val="000000"/>
                                      </a:solidFill>
                                      <a:round/>
                                      <a:tailEnd type="triangle" w="med" len="med"/>
                                    </a:ln>
                                  </wps:spPr>
                                  <wps:bodyPr/>
                                </wps:wsp>
                                <wps:wsp>
                                  <wps:cNvPr id="427" name="AutoShape 179"/>
                                  <wps:cNvCnPr>
                                    <a:cxnSpLocks noChangeShapeType="1"/>
                                  </wps:cNvCnPr>
                                  <wps:spPr bwMode="auto">
                                    <a:xfrm flipV="1">
                                      <a:off x="3324" y="13696"/>
                                      <a:ext cx="5751" cy="49"/>
                                    </a:xfrm>
                                    <a:prstGeom prst="straightConnector1">
                                      <a:avLst/>
                                    </a:prstGeom>
                                    <a:noFill/>
                                    <a:ln w="9525">
                                      <a:solidFill>
                                        <a:srgbClr val="000000"/>
                                      </a:solidFill>
                                      <a:round/>
                                      <a:tailEnd type="triangle" w="med" len="med"/>
                                    </a:ln>
                                  </wps:spPr>
                                  <wps:bodyPr/>
                                </wps:wsp>
                              </wpg:grpSp>
                            </wpg:grpSp>
                            <wps:wsp>
                              <wps:cNvPr id="428" name="文本框 2"/>
                              <wps:cNvSpPr txBox="1">
                                <a:spLocks noChangeArrowheads="1"/>
                              </wps:cNvSpPr>
                              <wps:spPr bwMode="auto">
                                <a:xfrm>
                                  <a:off x="9089" y="11071"/>
                                  <a:ext cx="661" cy="1011"/>
                                </a:xfrm>
                                <a:prstGeom prst="rect">
                                  <a:avLst/>
                                </a:prstGeom>
                                <a:solidFill>
                                  <a:srgbClr val="FFFFFF"/>
                                </a:solidFill>
                                <a:ln w="9525">
                                  <a:solidFill>
                                    <a:srgbClr val="44546A"/>
                                  </a:solidFill>
                                  <a:miter lim="800000"/>
                                </a:ln>
                              </wps:spPr>
                              <wps:txbx>
                                <w:txbxContent>
                                  <w:p w14:paraId="0EF9DF1D">
                                    <w:r>
                                      <w:rPr>
                                        <w:rFonts w:hint="eastAsia"/>
                                      </w:rPr>
                                      <w:t>图例：</w:t>
                                    </w:r>
                                  </w:p>
                                  <w:p w14:paraId="669E4522"/>
                                  <w:p w14:paraId="5636BA55"/>
                                  <w:p w14:paraId="48914231"/>
                                </w:txbxContent>
                              </wps:txbx>
                              <wps:bodyPr rot="0" vert="horz" wrap="square" lIns="91440" tIns="45720" rIns="91440" bIns="45720" anchor="t" anchorCtr="0" upright="1">
                                <a:noAutofit/>
                              </wps:bodyPr>
                            </wps:wsp>
                          </wpg:wgp>
                        </a:graphicData>
                      </a:graphic>
                    </wp:anchor>
                  </w:drawing>
                </mc:Choice>
                <mc:Fallback>
                  <w:pict>
                    <v:group id="Group 173" o:spid="_x0000_s1026" o:spt="203" style="position:absolute;left:0pt;margin-left:8.6pt;margin-top:4.7pt;height:107.05pt;width:405.3pt;z-index:251661312;mso-width-relative:page;mso-height-relative:page;" coordorigin="1644,10805" coordsize="8106,2141" o:gfxdata="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">
                      <o:lock v:ext="edit" aspectratio="f"/>
                      <v:group id="Group 174" o:spid="_x0000_s1026" o:spt="203" style="position:absolute;left:1644;top:10805;height:2141;width:7940;" coordorigin="2164,10756" coordsize="8077,2141" o:gfxdata="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EDceuvwAAANw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4603;top:12499;height:398;width:3165;" fillcolor="#FFFFFF" filled="t" stroked="t" coordsize="21600,21600" o:gfxdata="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Ts8WvQAA&#10;ANw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w:txbxContent>
                              <w:p w14:paraId="200E0D06">
                                <w:pPr>
                                  <w:spacing w:line="240" w:lineRule="auto"/>
                                  <w:jc w:val="center"/>
                                  <w:rPr>
                                    <w:sz w:val="18"/>
                                    <w:szCs w:val="18"/>
                                  </w:rPr>
                                </w:pPr>
                                <w:r>
                                  <w:rPr>
                                    <w:rFonts w:hint="eastAsia"/>
                                    <w:sz w:val="18"/>
                                    <w:szCs w:val="18"/>
                                  </w:rPr>
                                  <w:t>观测时间</w:t>
                                </w:r>
                              </w:p>
                            </w:txbxContent>
                          </v:textbox>
                        </v:shape>
                        <v:shape id="Text Box 176" o:spid="_x0000_s1026" o:spt="202" type="#_x0000_t202" style="position:absolute;left:2164;top:10809;height:1713;width:538;" fillcolor="#FFFFFF" filled="t" stroked="t" coordsize="21600,21600" o:gfxdata="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yOMKO8AAAA&#10;3A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style="layout-flow:vertical-ideographic;">
                            <w:txbxContent>
                              <w:p w14:paraId="14342749">
                                <w:r>
                                  <w:rPr>
                                    <w:rFonts w:hint="eastAsia"/>
                                    <w:sz w:val="18"/>
                                    <w:szCs w:val="18"/>
                                  </w:rPr>
                                  <w:t>累计</w:t>
                                </w:r>
                                <w:r>
                                  <w:rPr>
                                    <w:sz w:val="18"/>
                                    <w:szCs w:val="18"/>
                                  </w:rPr>
                                  <w:t>变化量</w:t>
                                </w:r>
                                <w:r>
                                  <w:t>（</w:t>
                                </w:r>
                                <w:r>
                                  <w:rPr>
                                    <w:rFonts w:hint="eastAsia"/>
                                  </w:rPr>
                                  <w:t>mm</w:t>
                                </w:r>
                                <w:r>
                                  <w:t>）</w:t>
                                </w:r>
                              </w:p>
                            </w:txbxContent>
                          </v:textbox>
                        </v:shape>
                        <v:group id="Group 177" o:spid="_x0000_s1026" o:spt="203" style="position:absolute;left:2590;top:10756;height:1825;width:7651;" coordorigin="3323,12253" coordsize="5752,1492" o:gfxdata="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R6ZDa+AAAA3AAAAA8AAAAAAAAAAQAgAAAAIgAAAGRycy9kb3ducmV2Lnht&#10;bFBLAQIUABQAAAAIAIdO4kAzLwWeOwAAADkAAAAVAAAAAAAAAAEAIAAAAA0BAABkcnMvZ3JvdXBz&#10;aGFwZXhtbC54bWxQSwUGAAAAAAYABgBgAQAAygMAAAAA&#10;">
                          <o:lock v:ext="edit" aspectratio="f"/>
                          <v:shape id="AutoShape 178" o:spid="_x0000_s1026" o:spt="32" type="#_x0000_t32" style="position:absolute;left:3323;top:12253;flip:y;height:1486;width:1;" filled="f" stroked="t" coordsize="21600,21600" o:gfxdata="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DH8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79" o:spid="_x0000_s1026" o:spt="32" type="#_x0000_t32" style="position:absolute;left:3324;top:13696;flip:y;height:49;width:5751;" filled="f" stroked="t" coordsize="21600,21600" o:gfxdata="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9MYm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group>
                      <v:shape id="文本框 2" o:spid="_x0000_s1026" o:spt="202" type="#_x0000_t202" style="position:absolute;left:9089;top:11071;height:1011;width:661;" fillcolor="#FFFFFF" filled="t" stroked="t" coordsize="21600,21600" o:gfxdata="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HCugAAANwA&#10;AAAPAAAAAAAAAAEAIAAAACIAAABkcnMvZG93bnJldi54bWxQSwECFAAUAAAACACHTuJAMy8FnjsA&#10;AAA5AAAAEAAAAAAAAAABACAAAAAJAQAAZHJzL3NoYXBleG1sLnhtbFBLBQYAAAAABgAGAFsBAACz&#10;AwAAAAA=&#10;">
                        <v:fill on="t" focussize="0,0"/>
                        <v:stroke color="#44546A" miterlimit="8" joinstyle="miter"/>
                        <v:imagedata o:title=""/>
                        <o:lock v:ext="edit" aspectratio="f"/>
                        <v:textbox>
                          <w:txbxContent>
                            <w:p w14:paraId="0EF9DF1D">
                              <w:r>
                                <w:rPr>
                                  <w:rFonts w:hint="eastAsia"/>
                                </w:rPr>
                                <w:t>图例：</w:t>
                              </w:r>
                            </w:p>
                            <w:p w14:paraId="669E4522"/>
                            <w:p w14:paraId="5636BA55"/>
                            <w:p w14:paraId="48914231"/>
                          </w:txbxContent>
                        </v:textbox>
                      </v:shape>
                    </v:group>
                  </w:pict>
                </mc:Fallback>
              </mc:AlternateContent>
            </w:r>
          </w:p>
        </w:tc>
      </w:tr>
    </w:tbl>
    <w:p w14:paraId="6C0F9BFA">
      <w:pPr>
        <w:ind w:firstLine="180" w:firstLineChars="100"/>
        <w:rPr>
          <w:rFonts w:ascii="Times New Roman" w:hAnsi="Times New Roman" w:cs="Times New Roman"/>
          <w:sz w:val="18"/>
          <w:szCs w:val="18"/>
          <w:highlight w:val="none"/>
        </w:rPr>
      </w:pPr>
      <w:r>
        <w:rPr>
          <w:rFonts w:hint="eastAsia" w:ascii="Times New Roman" w:hAnsi="Times New Roman" w:cs="Times New Roman"/>
          <w:sz w:val="18"/>
          <w:szCs w:val="18"/>
          <w:highlight w:val="none"/>
        </w:rPr>
        <w:t xml:space="preserve">观测：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计算：                              校核：</w:t>
      </w:r>
    </w:p>
    <w:p w14:paraId="1E45339C">
      <w:pPr>
        <w:rPr>
          <w:rFonts w:hint="default"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52BA3CA8">
      <w:pPr>
        <w:pStyle w:val="3"/>
        <w:adjustRightInd w:val="0"/>
        <w:snapToGrid w:val="0"/>
        <w:spacing w:before="0" w:after="0" w:line="360" w:lineRule="auto"/>
        <w:jc w:val="center"/>
        <w:rPr>
          <w:rFonts w:ascii="Times New Roman" w:hAnsi="Times New Roman" w:cs="Times New Roman"/>
          <w:highlight w:val="none"/>
        </w:rPr>
      </w:pPr>
      <w:bookmarkStart w:id="147" w:name="_Toc27938"/>
      <w:bookmarkStart w:id="148" w:name="_Toc9664"/>
      <w:bookmarkStart w:id="149" w:name="_Toc23164"/>
      <w:bookmarkStart w:id="150" w:name="_Toc3439"/>
      <w:bookmarkStart w:id="151" w:name="_Toc21339"/>
      <w:bookmarkStart w:id="152" w:name="_Toc20138"/>
      <w:bookmarkStart w:id="153" w:name="_Toc525052906"/>
      <w:bookmarkStart w:id="154" w:name="_Toc175"/>
      <w:r>
        <w:rPr>
          <w:rFonts w:hint="eastAsia" w:ascii="Times New Roman" w:hAnsi="Times New Roman" w:cs="Times New Roman"/>
          <w:b w:val="0"/>
          <w:highlight w:val="none"/>
        </w:rPr>
        <w:t>附录</w:t>
      </w:r>
      <w:r>
        <w:rPr>
          <w:rFonts w:hint="eastAsia" w:ascii="Times New Roman" w:hAnsi="Times New Roman" w:cs="Times New Roman"/>
          <w:b w:val="0"/>
          <w:highlight w:val="none"/>
          <w:lang w:val="en-US" w:eastAsia="zh-CN"/>
        </w:rPr>
        <w:t>B</w:t>
      </w:r>
      <w:r>
        <w:rPr>
          <w:rFonts w:ascii="Times New Roman" w:hAnsi="Times New Roman" w:cs="Times New Roman"/>
          <w:b w:val="0"/>
          <w:highlight w:val="none"/>
        </w:rPr>
        <w:t xml:space="preserve"> </w:t>
      </w:r>
      <w:r>
        <w:rPr>
          <w:rFonts w:hint="eastAsia" w:ascii="Times New Roman" w:hAnsi="Times New Roman" w:cs="Times New Roman"/>
          <w:b w:val="0"/>
          <w:highlight w:val="none"/>
        </w:rPr>
        <w:t>水平位移监测日报表</w:t>
      </w:r>
      <w:bookmarkEnd w:id="147"/>
      <w:bookmarkEnd w:id="148"/>
      <w:bookmarkEnd w:id="149"/>
      <w:bookmarkEnd w:id="150"/>
      <w:bookmarkEnd w:id="151"/>
      <w:bookmarkEnd w:id="152"/>
      <w:bookmarkEnd w:id="153"/>
      <w:bookmarkEnd w:id="154"/>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780"/>
        <w:gridCol w:w="608"/>
        <w:gridCol w:w="608"/>
        <w:gridCol w:w="546"/>
        <w:gridCol w:w="608"/>
        <w:gridCol w:w="608"/>
        <w:gridCol w:w="546"/>
        <w:gridCol w:w="608"/>
        <w:gridCol w:w="608"/>
        <w:gridCol w:w="546"/>
        <w:gridCol w:w="608"/>
        <w:gridCol w:w="608"/>
        <w:gridCol w:w="546"/>
      </w:tblGrid>
      <w:tr w14:paraId="7D35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14:paraId="5E49715E">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委托单位：                        监测单位：                            报表编号：</w:t>
            </w:r>
          </w:p>
        </w:tc>
      </w:tr>
      <w:tr w14:paraId="5305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14:paraId="3E0D81FD">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工程名称：                        工程地点：                            天气：</w:t>
            </w:r>
          </w:p>
        </w:tc>
      </w:tr>
      <w:tr w14:paraId="5A59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14:paraId="049357AB">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仪器名称及编号：                                观测依据：</w:t>
            </w:r>
          </w:p>
        </w:tc>
      </w:tr>
      <w:tr w14:paraId="2D90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auto" w:sz="4" w:space="0"/>
              <w:left w:val="single" w:color="000000" w:sz="4" w:space="0"/>
              <w:bottom w:val="single" w:color="000000" w:sz="4" w:space="0"/>
              <w:right w:val="single" w:color="000000" w:sz="4" w:space="0"/>
            </w:tcBorders>
            <w:shd w:val="clear" w:color="000000" w:fill="D9D9D9"/>
            <w:vAlign w:val="center"/>
          </w:tcPr>
          <w:p w14:paraId="730F84E1">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监测数据成果汇总</w:t>
            </w:r>
          </w:p>
        </w:tc>
      </w:tr>
      <w:tr w14:paraId="6D28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17" w:type="pct"/>
            <w:vMerge w:val="restart"/>
            <w:tcBorders>
              <w:top w:val="nil"/>
              <w:left w:val="single" w:color="000000" w:sz="4" w:space="0"/>
              <w:bottom w:val="single" w:color="000000" w:sz="4" w:space="0"/>
              <w:right w:val="single" w:color="000000" w:sz="4" w:space="0"/>
              <w:tl2br w:val="single" w:color="000000" w:sz="4" w:space="0"/>
            </w:tcBorders>
            <w:shd w:val="clear" w:color="auto" w:fill="auto"/>
          </w:tcPr>
          <w:p w14:paraId="7789FC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p>
          <w:p w14:paraId="6FEA6E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 xml:space="preserve"> 时间</w:t>
            </w:r>
          </w:p>
          <w:p w14:paraId="093A4053">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14:paraId="7CE94422">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14:paraId="07D6B024">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测点</w:t>
            </w:r>
          </w:p>
        </w:tc>
        <w:tc>
          <w:tcPr>
            <w:tcW w:w="359" w:type="pct"/>
            <w:vMerge w:val="restart"/>
            <w:tcBorders>
              <w:top w:val="nil"/>
              <w:left w:val="single" w:color="000000" w:sz="4" w:space="0"/>
              <w:bottom w:val="single" w:color="000000" w:sz="4" w:space="0"/>
              <w:right w:val="single" w:color="000000" w:sz="4" w:space="0"/>
            </w:tcBorders>
            <w:shd w:val="clear" w:color="auto" w:fill="auto"/>
            <w:vAlign w:val="center"/>
          </w:tcPr>
          <w:p w14:paraId="689DDE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初始</w:t>
            </w:r>
          </w:p>
          <w:p w14:paraId="75BF99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结果</w:t>
            </w: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14:paraId="629269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0" w:type="pct"/>
            <w:gridSpan w:val="3"/>
            <w:tcBorders>
              <w:top w:val="nil"/>
              <w:left w:val="nil"/>
              <w:bottom w:val="single" w:color="000000" w:sz="4" w:space="0"/>
              <w:right w:val="single" w:color="000000" w:sz="4" w:space="0"/>
            </w:tcBorders>
            <w:shd w:val="clear" w:color="auto" w:fill="auto"/>
            <w:vAlign w:val="center"/>
          </w:tcPr>
          <w:p w14:paraId="76F1F0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0" w:type="pct"/>
            <w:gridSpan w:val="3"/>
            <w:tcBorders>
              <w:top w:val="nil"/>
              <w:left w:val="nil"/>
              <w:bottom w:val="single" w:color="000000" w:sz="4" w:space="0"/>
              <w:right w:val="single" w:color="000000" w:sz="4" w:space="0"/>
            </w:tcBorders>
            <w:shd w:val="clear" w:color="auto" w:fill="auto"/>
            <w:vAlign w:val="center"/>
          </w:tcPr>
          <w:p w14:paraId="0C81E8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1" w:type="pct"/>
            <w:gridSpan w:val="3"/>
            <w:tcBorders>
              <w:top w:val="nil"/>
              <w:left w:val="nil"/>
              <w:bottom w:val="single" w:color="000000" w:sz="4" w:space="0"/>
              <w:right w:val="single" w:color="000000" w:sz="4" w:space="0"/>
            </w:tcBorders>
            <w:shd w:val="clear" w:color="auto" w:fill="auto"/>
            <w:vAlign w:val="center"/>
          </w:tcPr>
          <w:p w14:paraId="1ECA08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r>
      <w:tr w14:paraId="0023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17" w:type="pct"/>
            <w:vMerge w:val="continue"/>
            <w:tcBorders>
              <w:top w:val="nil"/>
              <w:left w:val="single" w:color="000000" w:sz="4" w:space="0"/>
              <w:bottom w:val="single" w:color="000000" w:sz="4" w:space="0"/>
              <w:right w:val="single" w:color="000000" w:sz="4" w:space="0"/>
            </w:tcBorders>
            <w:vAlign w:val="center"/>
          </w:tcPr>
          <w:p w14:paraId="5A201A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59" w:type="pct"/>
            <w:vMerge w:val="continue"/>
            <w:tcBorders>
              <w:top w:val="nil"/>
              <w:left w:val="single" w:color="000000" w:sz="4" w:space="0"/>
              <w:bottom w:val="single" w:color="000000" w:sz="4" w:space="0"/>
              <w:right w:val="single" w:color="000000" w:sz="4" w:space="0"/>
            </w:tcBorders>
            <w:vAlign w:val="center"/>
          </w:tcPr>
          <w:p w14:paraId="4C8B08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14:paraId="35F90E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80" w:type="pct"/>
            <w:gridSpan w:val="3"/>
            <w:tcBorders>
              <w:top w:val="nil"/>
              <w:left w:val="nil"/>
              <w:bottom w:val="single" w:color="000000" w:sz="4" w:space="0"/>
              <w:right w:val="single" w:color="000000" w:sz="4" w:space="0"/>
            </w:tcBorders>
            <w:shd w:val="clear" w:color="auto" w:fill="auto"/>
            <w:vAlign w:val="center"/>
          </w:tcPr>
          <w:p w14:paraId="6BA034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80" w:type="pct"/>
            <w:gridSpan w:val="3"/>
            <w:tcBorders>
              <w:top w:val="nil"/>
              <w:left w:val="nil"/>
              <w:bottom w:val="single" w:color="000000" w:sz="4" w:space="0"/>
              <w:right w:val="single" w:color="000000" w:sz="4" w:space="0"/>
            </w:tcBorders>
            <w:shd w:val="clear" w:color="auto" w:fill="auto"/>
            <w:vAlign w:val="center"/>
          </w:tcPr>
          <w:p w14:paraId="4F464E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　</w:t>
            </w:r>
          </w:p>
        </w:tc>
        <w:tc>
          <w:tcPr>
            <w:tcW w:w="1081" w:type="pct"/>
            <w:gridSpan w:val="3"/>
            <w:tcBorders>
              <w:top w:val="nil"/>
              <w:left w:val="nil"/>
              <w:bottom w:val="single" w:color="000000" w:sz="4" w:space="0"/>
              <w:right w:val="single" w:color="000000" w:sz="4" w:space="0"/>
            </w:tcBorders>
            <w:shd w:val="clear" w:color="auto" w:fill="auto"/>
            <w:vAlign w:val="center"/>
          </w:tcPr>
          <w:p w14:paraId="71B50E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r>
      <w:tr w14:paraId="1744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17" w:type="pct"/>
            <w:vMerge w:val="continue"/>
            <w:tcBorders>
              <w:top w:val="nil"/>
              <w:left w:val="single" w:color="000000" w:sz="4" w:space="0"/>
              <w:bottom w:val="single" w:color="000000" w:sz="4" w:space="0"/>
              <w:right w:val="single" w:color="000000" w:sz="4" w:space="0"/>
            </w:tcBorders>
            <w:vAlign w:val="center"/>
          </w:tcPr>
          <w:p w14:paraId="0ED570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59" w:type="pct"/>
            <w:vMerge w:val="continue"/>
            <w:tcBorders>
              <w:top w:val="nil"/>
              <w:left w:val="single" w:color="000000" w:sz="4" w:space="0"/>
              <w:bottom w:val="single" w:color="000000" w:sz="4" w:space="0"/>
              <w:right w:val="single" w:color="000000" w:sz="4" w:space="0"/>
            </w:tcBorders>
            <w:vAlign w:val="center"/>
          </w:tcPr>
          <w:p w14:paraId="3E607C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60" w:type="pct"/>
            <w:tcBorders>
              <w:top w:val="nil"/>
              <w:left w:val="single" w:color="000000" w:sz="4" w:space="0"/>
              <w:bottom w:val="single" w:color="000000" w:sz="4" w:space="0"/>
              <w:right w:val="single" w:color="000000" w:sz="4" w:space="0"/>
            </w:tcBorders>
            <w:shd w:val="clear" w:color="auto" w:fill="auto"/>
            <w:vAlign w:val="center"/>
          </w:tcPr>
          <w:p w14:paraId="06167D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360" w:type="pct"/>
            <w:tcBorders>
              <w:top w:val="nil"/>
              <w:left w:val="single" w:color="000000" w:sz="4" w:space="0"/>
              <w:bottom w:val="single" w:color="000000" w:sz="4" w:space="0"/>
              <w:right w:val="single" w:color="000000" w:sz="4" w:space="0"/>
            </w:tcBorders>
            <w:shd w:val="clear" w:color="auto" w:fill="auto"/>
            <w:vAlign w:val="center"/>
          </w:tcPr>
          <w:p w14:paraId="3A4C43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360" w:type="pct"/>
            <w:tcBorders>
              <w:top w:val="nil"/>
              <w:left w:val="single" w:color="000000" w:sz="4" w:space="0"/>
              <w:bottom w:val="single" w:color="auto" w:sz="4" w:space="0"/>
              <w:right w:val="single" w:color="000000" w:sz="4" w:space="0"/>
            </w:tcBorders>
            <w:shd w:val="clear" w:color="auto" w:fill="auto"/>
            <w:vAlign w:val="center"/>
          </w:tcPr>
          <w:p w14:paraId="597163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4F6A77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360" w:type="pct"/>
            <w:tcBorders>
              <w:top w:val="nil"/>
              <w:left w:val="nil"/>
              <w:bottom w:val="single" w:color="auto" w:sz="4" w:space="0"/>
              <w:right w:val="single" w:color="000000" w:sz="4" w:space="0"/>
            </w:tcBorders>
            <w:shd w:val="clear" w:color="auto" w:fill="auto"/>
            <w:vAlign w:val="center"/>
          </w:tcPr>
          <w:p w14:paraId="2975D6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0CF0A5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2D1BF7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5BBE28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360" w:type="pct"/>
            <w:tcBorders>
              <w:top w:val="nil"/>
              <w:left w:val="nil"/>
              <w:bottom w:val="single" w:color="auto" w:sz="4" w:space="0"/>
              <w:right w:val="single" w:color="000000" w:sz="4" w:space="0"/>
            </w:tcBorders>
            <w:shd w:val="clear" w:color="auto" w:fill="auto"/>
            <w:vAlign w:val="center"/>
          </w:tcPr>
          <w:p w14:paraId="4932AC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45466A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608EB3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76B449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360" w:type="pct"/>
            <w:tcBorders>
              <w:top w:val="nil"/>
              <w:left w:val="nil"/>
              <w:bottom w:val="single" w:color="auto" w:sz="4" w:space="0"/>
              <w:right w:val="single" w:color="000000" w:sz="4" w:space="0"/>
            </w:tcBorders>
            <w:shd w:val="clear" w:color="auto" w:fill="auto"/>
            <w:vAlign w:val="center"/>
          </w:tcPr>
          <w:p w14:paraId="2B4680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6E5C6B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2B3D11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067FEF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r>
      <w:tr w14:paraId="5612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5848E688">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631E753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AA9CE0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3B15C9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B00333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7A932A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7B94B7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358C2B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2DB716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1F558B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F05EA0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5A609B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870E30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2974035">
            <w:pPr>
              <w:widowControl/>
              <w:spacing w:line="240" w:lineRule="auto"/>
              <w:jc w:val="center"/>
              <w:rPr>
                <w:rFonts w:ascii="Times New Roman" w:hAnsi="Times New Roman" w:cs="Times New Roman"/>
                <w:color w:val="000000"/>
                <w:kern w:val="0"/>
                <w:sz w:val="14"/>
                <w:szCs w:val="14"/>
                <w:highlight w:val="none"/>
              </w:rPr>
            </w:pPr>
          </w:p>
        </w:tc>
      </w:tr>
      <w:tr w14:paraId="6488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0E1AF95D">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27272BB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17E3C0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B9B7CE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D7292B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BFF099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6EB1CB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84A444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B36D1B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FE893F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C831DE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7ECF5D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1B9C13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3325988">
            <w:pPr>
              <w:widowControl/>
              <w:spacing w:line="240" w:lineRule="auto"/>
              <w:jc w:val="center"/>
              <w:rPr>
                <w:rFonts w:ascii="Times New Roman" w:hAnsi="Times New Roman" w:cs="Times New Roman"/>
                <w:color w:val="000000"/>
                <w:kern w:val="0"/>
                <w:sz w:val="14"/>
                <w:szCs w:val="14"/>
                <w:highlight w:val="none"/>
              </w:rPr>
            </w:pPr>
          </w:p>
        </w:tc>
      </w:tr>
      <w:tr w14:paraId="1EBA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44BB714F">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6641979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0AB105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972614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BA05F7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356B2A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2A71F8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99BEEC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2BDF16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5E9AE2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9AF4AD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63C3BD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A5BC64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688504E">
            <w:pPr>
              <w:widowControl/>
              <w:spacing w:line="240" w:lineRule="auto"/>
              <w:jc w:val="center"/>
              <w:rPr>
                <w:rFonts w:ascii="Times New Roman" w:hAnsi="Times New Roman" w:cs="Times New Roman"/>
                <w:color w:val="000000"/>
                <w:kern w:val="0"/>
                <w:sz w:val="14"/>
                <w:szCs w:val="14"/>
                <w:highlight w:val="none"/>
              </w:rPr>
            </w:pPr>
          </w:p>
        </w:tc>
      </w:tr>
      <w:tr w14:paraId="341D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1B80EBD4">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3396FE4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1C65C6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F1141F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E14CDF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82EF4F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7B4148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28A077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5128A6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847CC7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A152C1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44854A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285472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6C7FDB5">
            <w:pPr>
              <w:widowControl/>
              <w:spacing w:line="240" w:lineRule="auto"/>
              <w:jc w:val="center"/>
              <w:rPr>
                <w:rFonts w:ascii="Times New Roman" w:hAnsi="Times New Roman" w:cs="Times New Roman"/>
                <w:color w:val="000000"/>
                <w:kern w:val="0"/>
                <w:sz w:val="14"/>
                <w:szCs w:val="14"/>
                <w:highlight w:val="none"/>
              </w:rPr>
            </w:pPr>
          </w:p>
        </w:tc>
      </w:tr>
      <w:tr w14:paraId="21E6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17EC062D">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50A9AE3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5FE287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F42F52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168465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5E938E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F3C5D8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E68F16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1E7E86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D445BC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93D4CC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EF855B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B47B85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5816E6A">
            <w:pPr>
              <w:widowControl/>
              <w:spacing w:line="240" w:lineRule="auto"/>
              <w:jc w:val="center"/>
              <w:rPr>
                <w:rFonts w:ascii="Times New Roman" w:hAnsi="Times New Roman" w:cs="Times New Roman"/>
                <w:color w:val="000000"/>
                <w:kern w:val="0"/>
                <w:sz w:val="14"/>
                <w:szCs w:val="14"/>
                <w:highlight w:val="none"/>
              </w:rPr>
            </w:pPr>
          </w:p>
        </w:tc>
      </w:tr>
      <w:tr w14:paraId="1A57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28446733">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01EFF50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83B777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5743FC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4BF142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5E5729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5A4CBA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845E21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84B884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2C97C1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1E9C4C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0413F1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C30487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543020C">
            <w:pPr>
              <w:widowControl/>
              <w:spacing w:line="240" w:lineRule="auto"/>
              <w:jc w:val="center"/>
              <w:rPr>
                <w:rFonts w:ascii="Times New Roman" w:hAnsi="Times New Roman" w:cs="Times New Roman"/>
                <w:color w:val="000000"/>
                <w:kern w:val="0"/>
                <w:sz w:val="14"/>
                <w:szCs w:val="14"/>
                <w:highlight w:val="none"/>
              </w:rPr>
            </w:pPr>
          </w:p>
        </w:tc>
      </w:tr>
      <w:tr w14:paraId="092E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04C242CF">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3A082FD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B85F2B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590D31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255493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9CC92E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0F95DC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3086D1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AC21F1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6FDF2D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B31511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435EBF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7A4FBD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6859B5D">
            <w:pPr>
              <w:widowControl/>
              <w:spacing w:line="240" w:lineRule="auto"/>
              <w:jc w:val="center"/>
              <w:rPr>
                <w:rFonts w:ascii="Times New Roman" w:hAnsi="Times New Roman" w:cs="Times New Roman"/>
                <w:color w:val="000000"/>
                <w:kern w:val="0"/>
                <w:sz w:val="14"/>
                <w:szCs w:val="14"/>
                <w:highlight w:val="none"/>
              </w:rPr>
            </w:pPr>
          </w:p>
        </w:tc>
      </w:tr>
      <w:tr w14:paraId="638D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5EEFCD4E">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2095A5E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00FEA0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AA2FAF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474405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A918C6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D64005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21F292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42341F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F4FF6E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CD8000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4B012E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04F602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0D1F222">
            <w:pPr>
              <w:widowControl/>
              <w:spacing w:line="240" w:lineRule="auto"/>
              <w:jc w:val="center"/>
              <w:rPr>
                <w:rFonts w:ascii="Times New Roman" w:hAnsi="Times New Roman" w:cs="Times New Roman"/>
                <w:color w:val="000000"/>
                <w:kern w:val="0"/>
                <w:sz w:val="14"/>
                <w:szCs w:val="14"/>
                <w:highlight w:val="none"/>
              </w:rPr>
            </w:pPr>
          </w:p>
        </w:tc>
      </w:tr>
      <w:tr w14:paraId="70E8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38AB034E">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6DEBD8D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F0A0FF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3D092F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AE37F4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CE89C0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597273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B4ED5A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6BE002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B03C7D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FAF7AB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D82F69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FE7A2E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99DBFB4">
            <w:pPr>
              <w:widowControl/>
              <w:spacing w:line="240" w:lineRule="auto"/>
              <w:jc w:val="center"/>
              <w:rPr>
                <w:rFonts w:ascii="Times New Roman" w:hAnsi="Times New Roman" w:cs="Times New Roman"/>
                <w:color w:val="000000"/>
                <w:kern w:val="0"/>
                <w:sz w:val="14"/>
                <w:szCs w:val="14"/>
                <w:highlight w:val="none"/>
              </w:rPr>
            </w:pPr>
          </w:p>
        </w:tc>
      </w:tr>
      <w:tr w14:paraId="40F4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7FEC5E96">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22D6476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E166B0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EED434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905452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D350E2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31FA8F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A7763D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8080AA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EB09D4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7B4CF5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35661E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BE1943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23257AF">
            <w:pPr>
              <w:widowControl/>
              <w:spacing w:line="240" w:lineRule="auto"/>
              <w:jc w:val="center"/>
              <w:rPr>
                <w:rFonts w:ascii="Times New Roman" w:hAnsi="Times New Roman" w:cs="Times New Roman"/>
                <w:color w:val="000000"/>
                <w:kern w:val="0"/>
                <w:sz w:val="14"/>
                <w:szCs w:val="14"/>
                <w:highlight w:val="none"/>
              </w:rPr>
            </w:pPr>
          </w:p>
        </w:tc>
      </w:tr>
      <w:tr w14:paraId="04E54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0FFF5993">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038E3B8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F6E2BC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96E564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A3A8E4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4FC7B4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FE9A70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411E0F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872733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01E747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6FA4E0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CC7746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A6BC3D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3D47D2A">
            <w:pPr>
              <w:widowControl/>
              <w:spacing w:line="240" w:lineRule="auto"/>
              <w:jc w:val="center"/>
              <w:rPr>
                <w:rFonts w:ascii="Times New Roman" w:hAnsi="Times New Roman" w:cs="Times New Roman"/>
                <w:color w:val="000000"/>
                <w:kern w:val="0"/>
                <w:sz w:val="14"/>
                <w:szCs w:val="14"/>
                <w:highlight w:val="none"/>
              </w:rPr>
            </w:pPr>
          </w:p>
        </w:tc>
      </w:tr>
      <w:tr w14:paraId="3C50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277B73BE">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0C3E08B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C180A0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82D146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B81C39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03D9D4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11FE6D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70DA14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74D962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00C5FB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97F536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06877A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196E7E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EE23472">
            <w:pPr>
              <w:widowControl/>
              <w:spacing w:line="240" w:lineRule="auto"/>
              <w:jc w:val="center"/>
              <w:rPr>
                <w:rFonts w:ascii="Times New Roman" w:hAnsi="Times New Roman" w:cs="Times New Roman"/>
                <w:color w:val="000000"/>
                <w:kern w:val="0"/>
                <w:sz w:val="14"/>
                <w:szCs w:val="14"/>
                <w:highlight w:val="none"/>
              </w:rPr>
            </w:pPr>
          </w:p>
        </w:tc>
      </w:tr>
      <w:tr w14:paraId="6127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1ACE">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工况简述</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14:paraId="0CAA4CEE">
            <w:pPr>
              <w:widowControl/>
              <w:spacing w:line="240" w:lineRule="auto"/>
              <w:jc w:val="center"/>
              <w:rPr>
                <w:rFonts w:ascii="Times New Roman" w:hAnsi="Times New Roman" w:cs="Times New Roman"/>
                <w:color w:val="000000"/>
                <w:kern w:val="0"/>
                <w:sz w:val="14"/>
                <w:szCs w:val="14"/>
                <w:highlight w:val="none"/>
              </w:rPr>
            </w:pPr>
          </w:p>
        </w:tc>
        <w:tc>
          <w:tcPr>
            <w:tcW w:w="1080" w:type="pct"/>
            <w:gridSpan w:val="3"/>
            <w:tcBorders>
              <w:top w:val="nil"/>
              <w:left w:val="nil"/>
              <w:bottom w:val="single" w:color="000000" w:sz="4" w:space="0"/>
              <w:right w:val="single" w:color="000000" w:sz="4" w:space="0"/>
            </w:tcBorders>
            <w:shd w:val="clear" w:color="auto" w:fill="auto"/>
            <w:noWrap/>
            <w:vAlign w:val="center"/>
          </w:tcPr>
          <w:p w14:paraId="6F693967">
            <w:pPr>
              <w:widowControl/>
              <w:spacing w:line="240" w:lineRule="auto"/>
              <w:jc w:val="center"/>
              <w:rPr>
                <w:rFonts w:ascii="Times New Roman" w:hAnsi="Times New Roman" w:cs="Times New Roman"/>
                <w:color w:val="000000"/>
                <w:kern w:val="0"/>
                <w:sz w:val="14"/>
                <w:szCs w:val="14"/>
                <w:highlight w:val="none"/>
              </w:rPr>
            </w:pPr>
          </w:p>
        </w:tc>
        <w:tc>
          <w:tcPr>
            <w:tcW w:w="1080" w:type="pct"/>
            <w:gridSpan w:val="3"/>
            <w:tcBorders>
              <w:top w:val="nil"/>
              <w:left w:val="nil"/>
              <w:bottom w:val="single" w:color="000000" w:sz="4" w:space="0"/>
              <w:right w:val="single" w:color="000000" w:sz="4" w:space="0"/>
            </w:tcBorders>
            <w:shd w:val="clear" w:color="auto" w:fill="auto"/>
            <w:noWrap/>
            <w:vAlign w:val="center"/>
          </w:tcPr>
          <w:p w14:paraId="7859E2FF">
            <w:pPr>
              <w:widowControl/>
              <w:spacing w:line="240" w:lineRule="auto"/>
              <w:jc w:val="center"/>
              <w:rPr>
                <w:rFonts w:ascii="Times New Roman" w:hAnsi="Times New Roman" w:cs="Times New Roman"/>
                <w:color w:val="000000"/>
                <w:kern w:val="0"/>
                <w:sz w:val="14"/>
                <w:szCs w:val="14"/>
                <w:highlight w:val="none"/>
              </w:rPr>
            </w:pPr>
          </w:p>
        </w:tc>
        <w:tc>
          <w:tcPr>
            <w:tcW w:w="1081" w:type="pct"/>
            <w:gridSpan w:val="3"/>
            <w:tcBorders>
              <w:top w:val="nil"/>
              <w:left w:val="nil"/>
              <w:bottom w:val="single" w:color="000000" w:sz="4" w:space="0"/>
              <w:right w:val="single" w:color="000000" w:sz="4" w:space="0"/>
            </w:tcBorders>
            <w:shd w:val="clear" w:color="auto" w:fill="auto"/>
            <w:noWrap/>
            <w:vAlign w:val="center"/>
          </w:tcPr>
          <w:p w14:paraId="5850060F">
            <w:pPr>
              <w:widowControl/>
              <w:spacing w:line="240" w:lineRule="auto"/>
              <w:jc w:val="center"/>
              <w:rPr>
                <w:rFonts w:ascii="Times New Roman" w:hAnsi="Times New Roman" w:cs="Times New Roman"/>
                <w:color w:val="000000"/>
                <w:kern w:val="0"/>
                <w:sz w:val="14"/>
                <w:szCs w:val="14"/>
                <w:highlight w:val="none"/>
              </w:rPr>
            </w:pPr>
          </w:p>
        </w:tc>
      </w:tr>
      <w:tr w14:paraId="46F1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C497">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累计向</w:t>
            </w:r>
            <w:r>
              <w:rPr>
                <w:rFonts w:hint="eastAsia" w:ascii="Times New Roman" w:hAnsi="Times New Roman" w:cs="Times New Roman"/>
                <w:color w:val="000000"/>
                <w:kern w:val="0"/>
                <w:sz w:val="14"/>
                <w:szCs w:val="14"/>
                <w:highlight w:val="none"/>
                <w:lang w:val="en-US" w:eastAsia="zh-CN"/>
              </w:rPr>
              <w:t>边坡</w:t>
            </w:r>
            <w:r>
              <w:rPr>
                <w:rFonts w:hint="eastAsia" w:ascii="Times New Roman" w:hAnsi="Times New Roman" w:cs="Times New Roman"/>
                <w:color w:val="000000"/>
                <w:kern w:val="0"/>
                <w:sz w:val="14"/>
                <w:szCs w:val="14"/>
                <w:highlight w:val="none"/>
              </w:rPr>
              <w:t>内位移最大值</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14:paraId="37B086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14:paraId="679EC9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080" w:type="pct"/>
            <w:gridSpan w:val="3"/>
            <w:tcBorders>
              <w:top w:val="nil"/>
              <w:left w:val="nil"/>
              <w:bottom w:val="single" w:color="000000" w:sz="4" w:space="0"/>
              <w:right w:val="single" w:color="000000" w:sz="4" w:space="0"/>
            </w:tcBorders>
            <w:shd w:val="clear" w:color="auto" w:fill="auto"/>
            <w:noWrap/>
            <w:vAlign w:val="center"/>
          </w:tcPr>
          <w:p w14:paraId="448D51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081" w:type="pct"/>
            <w:gridSpan w:val="3"/>
            <w:tcBorders>
              <w:top w:val="nil"/>
              <w:left w:val="nil"/>
              <w:bottom w:val="single" w:color="000000" w:sz="4" w:space="0"/>
              <w:right w:val="single" w:color="000000" w:sz="4" w:space="0"/>
            </w:tcBorders>
            <w:shd w:val="clear" w:color="auto" w:fill="auto"/>
            <w:noWrap/>
            <w:vAlign w:val="center"/>
          </w:tcPr>
          <w:p w14:paraId="175718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r>
      <w:tr w14:paraId="75445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386F">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累计向</w:t>
            </w:r>
            <w:r>
              <w:rPr>
                <w:rFonts w:hint="eastAsia" w:ascii="Times New Roman" w:hAnsi="Times New Roman" w:cs="Times New Roman"/>
                <w:color w:val="000000"/>
                <w:kern w:val="0"/>
                <w:sz w:val="14"/>
                <w:szCs w:val="14"/>
                <w:highlight w:val="none"/>
                <w:lang w:val="en-US" w:eastAsia="zh-CN"/>
              </w:rPr>
              <w:t>边坡</w:t>
            </w:r>
            <w:r>
              <w:rPr>
                <w:rFonts w:hint="eastAsia" w:ascii="Times New Roman" w:hAnsi="Times New Roman" w:cs="Times New Roman"/>
                <w:color w:val="000000"/>
                <w:kern w:val="0"/>
                <w:sz w:val="14"/>
                <w:szCs w:val="14"/>
                <w:highlight w:val="none"/>
              </w:rPr>
              <w:t>外位移最大值</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14:paraId="259058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14:paraId="758942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080" w:type="pct"/>
            <w:gridSpan w:val="3"/>
            <w:tcBorders>
              <w:top w:val="nil"/>
              <w:left w:val="nil"/>
              <w:bottom w:val="single" w:color="000000" w:sz="4" w:space="0"/>
              <w:right w:val="single" w:color="000000" w:sz="4" w:space="0"/>
            </w:tcBorders>
            <w:shd w:val="clear" w:color="auto" w:fill="auto"/>
            <w:noWrap/>
            <w:vAlign w:val="center"/>
          </w:tcPr>
          <w:p w14:paraId="3D3748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081" w:type="pct"/>
            <w:gridSpan w:val="3"/>
            <w:tcBorders>
              <w:top w:val="nil"/>
              <w:left w:val="nil"/>
              <w:bottom w:val="single" w:color="000000" w:sz="4" w:space="0"/>
              <w:right w:val="single" w:color="000000" w:sz="4" w:space="0"/>
            </w:tcBorders>
            <w:shd w:val="clear" w:color="auto" w:fill="auto"/>
            <w:noWrap/>
            <w:vAlign w:val="center"/>
          </w:tcPr>
          <w:p w14:paraId="7C0A7A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r>
      <w:tr w14:paraId="64FA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FF7E">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最大速率(mm/d)</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14:paraId="35CFC0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14:paraId="206E35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80" w:type="pct"/>
            <w:gridSpan w:val="3"/>
            <w:tcBorders>
              <w:top w:val="nil"/>
              <w:left w:val="nil"/>
              <w:bottom w:val="single" w:color="000000" w:sz="4" w:space="0"/>
              <w:right w:val="single" w:color="000000" w:sz="4" w:space="0"/>
            </w:tcBorders>
            <w:shd w:val="clear" w:color="auto" w:fill="auto"/>
            <w:noWrap/>
            <w:vAlign w:val="center"/>
          </w:tcPr>
          <w:p w14:paraId="78AC45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81" w:type="pct"/>
            <w:gridSpan w:val="3"/>
            <w:tcBorders>
              <w:top w:val="nil"/>
              <w:left w:val="nil"/>
              <w:bottom w:val="single" w:color="000000" w:sz="4" w:space="0"/>
              <w:right w:val="single" w:color="000000" w:sz="4" w:space="0"/>
            </w:tcBorders>
            <w:shd w:val="clear" w:color="auto" w:fill="auto"/>
            <w:noWrap/>
            <w:vAlign w:val="center"/>
          </w:tcPr>
          <w:p w14:paraId="4489CD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r>
      <w:tr w14:paraId="1CBD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2FF4BAD">
            <w:pPr>
              <w:widowControl/>
              <w:spacing w:line="240" w:lineRule="auto"/>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备注:</w:t>
            </w:r>
          </w:p>
          <w:p w14:paraId="36470964">
            <w:pPr>
              <w:widowControl/>
              <w:spacing w:line="240" w:lineRule="auto"/>
              <w:ind w:firstLine="280" w:firstLineChars="200"/>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1）表中次数为进场次数；2 ）水平位移量“+”表示向</w:t>
            </w:r>
            <w:r>
              <w:rPr>
                <w:rFonts w:hint="eastAsia" w:ascii="Times New Roman" w:hAnsi="Times New Roman" w:cs="Times New Roman"/>
                <w:color w:val="000000"/>
                <w:kern w:val="0"/>
                <w:sz w:val="14"/>
                <w:szCs w:val="14"/>
                <w:highlight w:val="none"/>
                <w:lang w:val="en-US" w:eastAsia="zh-CN"/>
              </w:rPr>
              <w:t>边坡</w:t>
            </w:r>
            <w:r>
              <w:rPr>
                <w:rFonts w:hint="eastAsia" w:ascii="Times New Roman" w:hAnsi="Times New Roman" w:cs="Times New Roman"/>
                <w:color w:val="000000"/>
                <w:kern w:val="0"/>
                <w:sz w:val="14"/>
                <w:szCs w:val="14"/>
                <w:highlight w:val="none"/>
              </w:rPr>
              <w:t>内位移，“-”表示向</w:t>
            </w:r>
            <w:r>
              <w:rPr>
                <w:rFonts w:hint="eastAsia" w:ascii="Times New Roman" w:hAnsi="Times New Roman" w:cs="Times New Roman"/>
                <w:color w:val="000000"/>
                <w:kern w:val="0"/>
                <w:sz w:val="14"/>
                <w:szCs w:val="14"/>
                <w:highlight w:val="none"/>
                <w:lang w:val="en-US" w:eastAsia="zh-CN"/>
              </w:rPr>
              <w:t>边坡</w:t>
            </w:r>
            <w:r>
              <w:rPr>
                <w:rFonts w:hint="eastAsia" w:ascii="Times New Roman" w:hAnsi="Times New Roman" w:cs="Times New Roman"/>
                <w:color w:val="000000"/>
                <w:kern w:val="0"/>
                <w:sz w:val="14"/>
                <w:szCs w:val="14"/>
                <w:highlight w:val="none"/>
              </w:rPr>
              <w:t>外位移</w:t>
            </w:r>
            <w:r>
              <w:rPr>
                <w:rFonts w:ascii="Times New Roman" w:hAnsi="Times New Roman" w:cs="Times New Roman"/>
                <w:color w:val="000000"/>
                <w:kern w:val="0"/>
                <w:sz w:val="14"/>
                <w:szCs w:val="14"/>
                <w:highlight w:val="none"/>
              </w:rPr>
              <w:t>。</w:t>
            </w:r>
          </w:p>
        </w:tc>
      </w:tr>
      <w:tr w14:paraId="6171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000000" w:fill="D9D9D9"/>
            <w:noWrap/>
            <w:vAlign w:val="center"/>
          </w:tcPr>
          <w:p w14:paraId="580BCB1D">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监测数据成果曲线图</w:t>
            </w:r>
          </w:p>
        </w:tc>
      </w:tr>
      <w:tr w14:paraId="35E3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9"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2F467F">
            <w:pPr>
              <w:widowControl/>
              <w:spacing w:line="240" w:lineRule="auto"/>
              <w:jc w:val="center"/>
              <w:rPr>
                <w:rFonts w:ascii="Times New Roman" w:hAnsi="Times New Roman" w:cs="Times New Roman"/>
                <w:b/>
                <w:bCs/>
                <w:color w:val="000000"/>
                <w:kern w:val="0"/>
                <w:sz w:val="18"/>
                <w:szCs w:val="18"/>
                <w:highlight w:val="none"/>
              </w:rPr>
            </w:pPr>
            <w:r>
              <w:rPr>
                <w:rFonts w:ascii="Times New Roman" w:hAnsi="Times New Roman" w:cs="Times New Roman"/>
                <w:highlight w:val="none"/>
              </w:rPr>
              <mc:AlternateContent>
                <mc:Choice Requires="wps">
                  <w:drawing>
                    <wp:anchor distT="0" distB="0" distL="114300" distR="114300" simplePos="0" relativeHeight="251666432" behindDoc="0" locked="0" layoutInCell="1" allowOverlap="1">
                      <wp:simplePos x="0" y="0"/>
                      <wp:positionH relativeFrom="column">
                        <wp:posOffset>4871085</wp:posOffset>
                      </wp:positionH>
                      <wp:positionV relativeFrom="paragraph">
                        <wp:posOffset>258445</wp:posOffset>
                      </wp:positionV>
                      <wp:extent cx="419735" cy="641985"/>
                      <wp:effectExtent l="5080" t="5080" r="13335" b="1968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19735" cy="641985"/>
                              </a:xfrm>
                              <a:prstGeom prst="rect">
                                <a:avLst/>
                              </a:prstGeom>
                              <a:solidFill>
                                <a:srgbClr val="FFFFFF"/>
                              </a:solidFill>
                              <a:ln w="9525">
                                <a:solidFill>
                                  <a:srgbClr val="44546A"/>
                                </a:solidFill>
                                <a:miter lim="800000"/>
                              </a:ln>
                            </wps:spPr>
                            <wps:txbx>
                              <w:txbxContent>
                                <w:p w14:paraId="192FB07F">
                                  <w:r>
                                    <w:rPr>
                                      <w:rFonts w:hint="eastAsia"/>
                                    </w:rPr>
                                    <w:t>图例：</w:t>
                                  </w:r>
                                </w:p>
                                <w:p w14:paraId="57763229"/>
                                <w:p w14:paraId="1B66B4AC"/>
                                <w:p w14:paraId="2A1889D1"/>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83.55pt;margin-top:20.35pt;height:50.55pt;width:33.05pt;z-index:251666432;mso-width-relative:page;mso-height-relative:page;" fillcolor="#FFFFFF" filled="t" stroked="t" coordsize="21600,21600" o:gfxdata="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fnn5rZAAAACgEAAA8AAAAAAAAAAQAg&#10;AAAAIgAAAGRycy9kb3ducmV2LnhtbFBLAQIUABQAAAAIAIdO4kAIMNA/RgIAAIYEAAAOAAAAAAAA&#10;AAEAIAAAACgBAABkcnMvZTJvRG9jLnhtbFBLBQYAAAAABgAGAFkBAADgBQAAAAA=&#10;">
                      <v:fill on="t" focussize="0,0"/>
                      <v:stroke color="#44546A" miterlimit="8" joinstyle="miter"/>
                      <v:imagedata o:title=""/>
                      <o:lock v:ext="edit" aspectratio="f"/>
                      <v:textbox>
                        <w:txbxContent>
                          <w:p w14:paraId="192FB07F">
                            <w:r>
                              <w:rPr>
                                <w:rFonts w:hint="eastAsia"/>
                              </w:rPr>
                              <w:t>图例：</w:t>
                            </w:r>
                          </w:p>
                          <w:p w14:paraId="57763229"/>
                          <w:p w14:paraId="1B66B4AC"/>
                          <w:p w14:paraId="2A1889D1"/>
                        </w:txbxContent>
                      </v:textbox>
                    </v:shape>
                  </w:pict>
                </mc:Fallback>
              </mc:AlternateContent>
            </w:r>
            <w:r>
              <w:rPr>
                <w:rFonts w:ascii="Times New Roman" w:hAnsi="Times New Roman" w:cs="Times New Roman"/>
                <w:sz w:val="18"/>
                <w:highlight w:val="none"/>
              </w:rPr>
              <mc:AlternateContent>
                <mc:Choice Requires="wpg">
                  <w:drawing>
                    <wp:anchor distT="0" distB="0" distL="114300" distR="114300" simplePos="0" relativeHeight="251660288" behindDoc="0" locked="0" layoutInCell="1" allowOverlap="1">
                      <wp:simplePos x="0" y="0"/>
                      <wp:positionH relativeFrom="column">
                        <wp:posOffset>107950</wp:posOffset>
                      </wp:positionH>
                      <wp:positionV relativeFrom="paragraph">
                        <wp:posOffset>53340</wp:posOffset>
                      </wp:positionV>
                      <wp:extent cx="5041900" cy="1359535"/>
                      <wp:effectExtent l="4445" t="0" r="1905" b="12065"/>
                      <wp:wrapNone/>
                      <wp:docPr id="221" name="Group 170"/>
                      <wp:cNvGraphicFramePr/>
                      <a:graphic xmlns:a="http://schemas.openxmlformats.org/drawingml/2006/main">
                        <a:graphicData uri="http://schemas.microsoft.com/office/word/2010/wordprocessingGroup">
                          <wpg:wgp>
                            <wpg:cNvGrpSpPr/>
                            <wpg:grpSpPr>
                              <a:xfrm rot="0">
                                <a:off x="1250950" y="2181860"/>
                                <a:ext cx="5041900" cy="1359535"/>
                                <a:chOff x="2164" y="10756"/>
                                <a:chExt cx="8077" cy="2141"/>
                              </a:xfrm>
                            </wpg:grpSpPr>
                            <wps:wsp>
                              <wps:cNvPr id="222" name="文本框 2"/>
                              <wps:cNvSpPr txBox="1">
                                <a:spLocks noChangeArrowheads="1"/>
                              </wps:cNvSpPr>
                              <wps:spPr bwMode="auto">
                                <a:xfrm>
                                  <a:off x="4603" y="12499"/>
                                  <a:ext cx="3165" cy="398"/>
                                </a:xfrm>
                                <a:prstGeom prst="rect">
                                  <a:avLst/>
                                </a:prstGeom>
                                <a:solidFill>
                                  <a:srgbClr val="FFFFFF"/>
                                </a:solidFill>
                                <a:ln w="9525">
                                  <a:solidFill>
                                    <a:srgbClr val="FFFFFF"/>
                                  </a:solidFill>
                                  <a:miter lim="800000"/>
                                </a:ln>
                              </wps:spPr>
                              <wps:txbx>
                                <w:txbxContent>
                                  <w:p w14:paraId="514C1064">
                                    <w:pPr>
                                      <w:spacing w:line="240" w:lineRule="auto"/>
                                      <w:jc w:val="center"/>
                                      <w:rPr>
                                        <w:sz w:val="18"/>
                                        <w:szCs w:val="18"/>
                                      </w:rPr>
                                    </w:pPr>
                                    <w:r>
                                      <w:rPr>
                                        <w:rFonts w:hint="eastAsia"/>
                                        <w:sz w:val="18"/>
                                        <w:szCs w:val="18"/>
                                      </w:rPr>
                                      <w:t>观测时间</w:t>
                                    </w:r>
                                  </w:p>
                                </w:txbxContent>
                              </wps:txbx>
                              <wps:bodyPr rot="0" vert="horz" wrap="square" lIns="91440" tIns="45720" rIns="91440" bIns="45720" anchor="t" anchorCtr="0" upright="1">
                                <a:noAutofit/>
                              </wps:bodyPr>
                            </wps:wsp>
                            <wps:wsp>
                              <wps:cNvPr id="223" name="Text Box 156"/>
                              <wps:cNvSpPr txBox="1">
                                <a:spLocks noChangeArrowheads="1"/>
                              </wps:cNvSpPr>
                              <wps:spPr bwMode="auto">
                                <a:xfrm>
                                  <a:off x="2164" y="10809"/>
                                  <a:ext cx="538" cy="1713"/>
                                </a:xfrm>
                                <a:prstGeom prst="rect">
                                  <a:avLst/>
                                </a:prstGeom>
                                <a:solidFill>
                                  <a:srgbClr val="FFFFFF"/>
                                </a:solidFill>
                                <a:ln w="9525">
                                  <a:solidFill>
                                    <a:srgbClr val="FFFFFF"/>
                                  </a:solidFill>
                                  <a:miter lim="800000"/>
                                </a:ln>
                              </wps:spPr>
                              <wps:txbx>
                                <w:txbxContent>
                                  <w:p w14:paraId="273FC174">
                                    <w:r>
                                      <w:rPr>
                                        <w:rFonts w:hint="eastAsia"/>
                                        <w:sz w:val="18"/>
                                        <w:szCs w:val="18"/>
                                      </w:rPr>
                                      <w:t>累计</w:t>
                                    </w:r>
                                    <w:r>
                                      <w:rPr>
                                        <w:sz w:val="18"/>
                                        <w:szCs w:val="18"/>
                                      </w:rPr>
                                      <w:t>变化量</w:t>
                                    </w:r>
                                    <w:r>
                                      <w:t>（</w:t>
                                    </w:r>
                                    <w:r>
                                      <w:rPr>
                                        <w:rFonts w:hint="eastAsia"/>
                                      </w:rPr>
                                      <w:t>mm</w:t>
                                    </w:r>
                                    <w:r>
                                      <w:t>）</w:t>
                                    </w:r>
                                  </w:p>
                                </w:txbxContent>
                              </wps:txbx>
                              <wps:bodyPr rot="0" vert="eaVert" wrap="square" lIns="91440" tIns="45720" rIns="91440" bIns="45720" anchor="t" anchorCtr="0" upright="1">
                                <a:noAutofit/>
                              </wps:bodyPr>
                            </wps:wsp>
                            <wpg:grpSp>
                              <wpg:cNvPr id="416" name="Group 157"/>
                              <wpg:cNvGrpSpPr/>
                              <wpg:grpSpPr>
                                <a:xfrm>
                                  <a:off x="2590" y="10756"/>
                                  <a:ext cx="7651" cy="1825"/>
                                  <a:chOff x="3323" y="12253"/>
                                  <a:chExt cx="5752" cy="1492"/>
                                </a:xfrm>
                              </wpg:grpSpPr>
                              <wps:wsp>
                                <wps:cNvPr id="417" name="AutoShape 158"/>
                                <wps:cNvCnPr>
                                  <a:cxnSpLocks noChangeShapeType="1"/>
                                </wps:cNvCnPr>
                                <wps:spPr bwMode="auto">
                                  <a:xfrm flipV="1">
                                    <a:off x="3323" y="12253"/>
                                    <a:ext cx="1" cy="1486"/>
                                  </a:xfrm>
                                  <a:prstGeom prst="straightConnector1">
                                    <a:avLst/>
                                  </a:prstGeom>
                                  <a:noFill/>
                                  <a:ln w="9525">
                                    <a:solidFill>
                                      <a:srgbClr val="000000"/>
                                    </a:solidFill>
                                    <a:round/>
                                    <a:tailEnd type="triangle" w="med" len="med"/>
                                  </a:ln>
                                </wps:spPr>
                                <wps:bodyPr/>
                              </wps:wsp>
                              <wps:wsp>
                                <wps:cNvPr id="418" name="AutoShape 159"/>
                                <wps:cNvCnPr>
                                  <a:cxnSpLocks noChangeShapeType="1"/>
                                </wps:cNvCnPr>
                                <wps:spPr bwMode="auto">
                                  <a:xfrm flipV="1">
                                    <a:off x="3324" y="13696"/>
                                    <a:ext cx="5751" cy="49"/>
                                  </a:xfrm>
                                  <a:prstGeom prst="straightConnector1">
                                    <a:avLst/>
                                  </a:prstGeom>
                                  <a:noFill/>
                                  <a:ln w="9525">
                                    <a:solidFill>
                                      <a:srgbClr val="000000"/>
                                    </a:solidFill>
                                    <a:round/>
                                    <a:tailEnd type="triangle" w="med" len="med"/>
                                  </a:ln>
                                </wps:spPr>
                                <wps:bodyPr/>
                              </wps:wsp>
                            </wpg:grpSp>
                          </wpg:wgp>
                        </a:graphicData>
                      </a:graphic>
                    </wp:anchor>
                  </w:drawing>
                </mc:Choice>
                <mc:Fallback>
                  <w:pict>
                    <v:group id="Group 170" o:spid="_x0000_s1026" o:spt="203" style="position:absolute;left:0pt;margin-left:8.5pt;margin-top:4.2pt;height:107.05pt;width:397pt;z-index:251660288;mso-width-relative:page;mso-height-relative:page;" coordorigin="2164,10756" coordsize="8077,2141" o:gfxdata="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">
                      <o:lock v:ext="edit" aspectratio="f"/>
                      <v:shape id="文本框 2" o:spid="_x0000_s1026" o:spt="202" type="#_x0000_t202" style="position:absolute;left:4603;top:12499;height:398;width:3165;" fillcolor="#FFFFFF" filled="t" stroked="t" coordsize="21600,21600" o:gfxdata="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FDe68AAAA&#10;3A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w:txbxContent>
                            <w:p w14:paraId="514C1064">
                              <w:pPr>
                                <w:spacing w:line="240" w:lineRule="auto"/>
                                <w:jc w:val="center"/>
                                <w:rPr>
                                  <w:sz w:val="18"/>
                                  <w:szCs w:val="18"/>
                                </w:rPr>
                              </w:pPr>
                              <w:r>
                                <w:rPr>
                                  <w:rFonts w:hint="eastAsia"/>
                                  <w:sz w:val="18"/>
                                  <w:szCs w:val="18"/>
                                </w:rPr>
                                <w:t>观测时间</w:t>
                              </w:r>
                            </w:p>
                          </w:txbxContent>
                        </v:textbox>
                      </v:shape>
                      <v:shape id="Text Box 156" o:spid="_x0000_s1026" o:spt="202" type="#_x0000_t202" style="position:absolute;left:2164;top:10809;height:1713;width:538;" fillcolor="#FFFFFF" filled="t" stroked="t" coordsize="21600,21600" o:gfxdata="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xfJbugAAANwA&#10;AAAPAAAAAAAAAAEAIAAAACIAAABkcnMvZG93bnJldi54bWxQSwECFAAUAAAACACHTuJAMy8FnjsA&#10;AAA5AAAAEAAAAAAAAAABACAAAAAJAQAAZHJzL3NoYXBleG1sLnhtbFBLBQYAAAAABgAGAFsBAACz&#10;AwAAAAA=&#10;">
                        <v:fill on="t" focussize="0,0"/>
                        <v:stroke color="#FFFFFF" miterlimit="8" joinstyle="miter"/>
                        <v:imagedata o:title=""/>
                        <o:lock v:ext="edit" aspectratio="f"/>
                        <v:textbox style="layout-flow:vertical-ideographic;">
                          <w:txbxContent>
                            <w:p w14:paraId="273FC174">
                              <w:r>
                                <w:rPr>
                                  <w:rFonts w:hint="eastAsia"/>
                                  <w:sz w:val="18"/>
                                  <w:szCs w:val="18"/>
                                </w:rPr>
                                <w:t>累计</w:t>
                              </w:r>
                              <w:r>
                                <w:rPr>
                                  <w:sz w:val="18"/>
                                  <w:szCs w:val="18"/>
                                </w:rPr>
                                <w:t>变化量</w:t>
                              </w:r>
                              <w:r>
                                <w:t>（</w:t>
                              </w:r>
                              <w:r>
                                <w:rPr>
                                  <w:rFonts w:hint="eastAsia"/>
                                </w:rPr>
                                <w:t>mm</w:t>
                              </w:r>
                              <w:r>
                                <w:t>）</w:t>
                              </w:r>
                            </w:p>
                          </w:txbxContent>
                        </v:textbox>
                      </v:shape>
                      <v:group id="Group 157" o:spid="_x0000_s1026" o:spt="203" style="position:absolute;left:2590;top:10756;height:1825;width:7651;" coordorigin="3323,12253" coordsize="5752,1492" o:gfxdata="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FiJVnvwAAANwAAAAPAAAAAAAAAAEAIAAAACIAAABkcnMvZG93bnJldi54&#10;bWxQSwECFAAUAAAACACHTuJAMy8FnjsAAAA5AAAAFQAAAAAAAAABACAAAAAOAQAAZHJzL2dyb3Vw&#10;c2hhcGV4bWwueG1sUEsFBgAAAAAGAAYAYAEAAMsDAAAAAA==&#10;">
                        <o:lock v:ext="edit" aspectratio="f"/>
                        <v:shape id="AutoShape 158" o:spid="_x0000_s1026" o:spt="32" type="#_x0000_t32" style="position:absolute;left:3323;top:12253;flip:y;height:1486;width:1;" filled="f" stroked="t" coordsize="21600,21600" o:gfxdata="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EgqN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9" o:spid="_x0000_s1026" o:spt="32" type="#_x0000_t32" style="position:absolute;left:3324;top:13696;flip:y;height:49;width:5751;" filled="f" stroked="t" coordsize="21600,21600" o:gfxdata="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C/PK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w:pict>
                </mc:Fallback>
              </mc:AlternateContent>
            </w:r>
          </w:p>
        </w:tc>
      </w:tr>
    </w:tbl>
    <w:p w14:paraId="580092A7">
      <w:pPr>
        <w:spacing w:line="240" w:lineRule="auto"/>
        <w:rPr>
          <w:rFonts w:hint="eastAsia" w:ascii="Times New Roman" w:hAnsi="Times New Roman" w:cs="Times New Roman"/>
          <w:sz w:val="18"/>
          <w:szCs w:val="18"/>
          <w:highlight w:val="none"/>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18"/>
          <w:szCs w:val="18"/>
          <w:highlight w:val="none"/>
        </w:rPr>
        <w:t xml:space="preserve">观测：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计算：                              校核：</w:t>
      </w:r>
    </w:p>
    <w:p w14:paraId="51A90644">
      <w:pPr>
        <w:pStyle w:val="3"/>
        <w:adjustRightInd w:val="0"/>
        <w:snapToGrid w:val="0"/>
        <w:spacing w:before="0" w:after="0" w:line="360" w:lineRule="auto"/>
        <w:jc w:val="center"/>
        <w:rPr>
          <w:rFonts w:ascii="Times New Roman" w:hAnsi="Times New Roman" w:cs="Times New Roman"/>
          <w:highlight w:val="none"/>
        </w:rPr>
      </w:pPr>
      <w:bookmarkStart w:id="155" w:name="_Toc30280"/>
      <w:bookmarkStart w:id="156" w:name="_Toc25013"/>
      <w:bookmarkStart w:id="157" w:name="_Toc16889"/>
      <w:bookmarkStart w:id="158" w:name="_Toc5116"/>
      <w:bookmarkStart w:id="159" w:name="_Toc31040"/>
      <w:bookmarkStart w:id="160" w:name="_Toc525052907"/>
      <w:bookmarkStart w:id="161" w:name="_Toc15433"/>
      <w:bookmarkStart w:id="162" w:name="_Toc14848"/>
      <w:r>
        <w:rPr>
          <w:rFonts w:hint="eastAsia" w:ascii="Times New Roman" w:hAnsi="Times New Roman" w:cs="Times New Roman"/>
          <w:b w:val="0"/>
          <w:highlight w:val="none"/>
        </w:rPr>
        <w:t>附录</w:t>
      </w:r>
      <w:r>
        <w:rPr>
          <w:rFonts w:hint="eastAsia" w:ascii="Times New Roman" w:hAnsi="Times New Roman" w:cs="Times New Roman"/>
          <w:b w:val="0"/>
          <w:highlight w:val="none"/>
          <w:lang w:val="en-US" w:eastAsia="zh-CN"/>
        </w:rPr>
        <w:t>C</w:t>
      </w:r>
      <w:r>
        <w:rPr>
          <w:rFonts w:ascii="Times New Roman" w:hAnsi="Times New Roman" w:cs="Times New Roman"/>
          <w:b w:val="0"/>
          <w:highlight w:val="none"/>
        </w:rPr>
        <w:t xml:space="preserve"> </w:t>
      </w:r>
      <w:r>
        <w:rPr>
          <w:rFonts w:hint="eastAsia" w:ascii="Times New Roman" w:hAnsi="Times New Roman" w:cs="Times New Roman"/>
          <w:b w:val="0"/>
          <w:highlight w:val="none"/>
        </w:rPr>
        <w:t>深层水平位移（测斜）监测日报表</w:t>
      </w:r>
      <w:bookmarkEnd w:id="155"/>
      <w:bookmarkEnd w:id="156"/>
      <w:bookmarkEnd w:id="157"/>
      <w:bookmarkEnd w:id="158"/>
      <w:bookmarkEnd w:id="159"/>
      <w:bookmarkEnd w:id="160"/>
      <w:bookmarkEnd w:id="161"/>
      <w:bookmarkEnd w:id="162"/>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700"/>
        <w:gridCol w:w="642"/>
        <w:gridCol w:w="642"/>
        <w:gridCol w:w="642"/>
        <w:gridCol w:w="2"/>
        <w:gridCol w:w="640"/>
        <w:gridCol w:w="642"/>
        <w:gridCol w:w="642"/>
        <w:gridCol w:w="4"/>
        <w:gridCol w:w="638"/>
        <w:gridCol w:w="642"/>
        <w:gridCol w:w="648"/>
        <w:gridCol w:w="1539"/>
      </w:tblGrid>
      <w:tr w14:paraId="2CE0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14:paraId="761CECC8">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委托单位：                        监测单位：                            报表编号：</w:t>
            </w:r>
          </w:p>
        </w:tc>
      </w:tr>
      <w:tr w14:paraId="26B8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14:paraId="34A28FD5">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工程名称：                        工程地点：                            天气：</w:t>
            </w:r>
          </w:p>
        </w:tc>
      </w:tr>
      <w:tr w14:paraId="5A86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14:paraId="5F6D2244">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仪器名称及编号：                                观测依据：</w:t>
            </w:r>
          </w:p>
        </w:tc>
      </w:tr>
      <w:tr w14:paraId="419F9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auto" w:sz="4" w:space="0"/>
              <w:left w:val="single" w:color="000000" w:sz="4" w:space="0"/>
              <w:bottom w:val="single" w:color="000000" w:sz="4" w:space="0"/>
              <w:right w:val="single" w:color="000000" w:sz="4" w:space="0"/>
            </w:tcBorders>
            <w:shd w:val="clear" w:color="000000" w:fill="D9D9D9"/>
            <w:vAlign w:val="center"/>
          </w:tcPr>
          <w:p w14:paraId="47EB95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监测数据成果汇总</w:t>
            </w:r>
          </w:p>
        </w:tc>
      </w:tr>
      <w:tr w14:paraId="39DC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92" w:type="pct"/>
            <w:vMerge w:val="restart"/>
            <w:tcBorders>
              <w:top w:val="nil"/>
              <w:left w:val="single" w:color="000000" w:sz="4" w:space="0"/>
              <w:right w:val="single" w:color="000000" w:sz="4" w:space="0"/>
            </w:tcBorders>
            <w:shd w:val="clear" w:color="auto" w:fill="auto"/>
            <w:vAlign w:val="center"/>
          </w:tcPr>
          <w:p w14:paraId="44D36434">
            <w:pPr>
              <w:keepNext w:val="0"/>
              <w:keepLines w:val="0"/>
              <w:pageBreakBefore w:val="0"/>
              <w:kinsoku/>
              <w:wordWrap/>
              <w:overflowPunct/>
              <w:topLinePunct w:val="0"/>
              <w:autoSpaceDE/>
              <w:autoSpaceDN/>
              <w:bidi w:val="0"/>
              <w:adjustRightInd/>
              <w:snapToGrid/>
              <w:spacing w:line="240" w:lineRule="exact"/>
              <w:jc w:val="righ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孔号</w:t>
            </w:r>
          </w:p>
        </w:tc>
        <w:tc>
          <w:tcPr>
            <w:tcW w:w="410" w:type="pct"/>
            <w:vMerge w:val="restart"/>
            <w:tcBorders>
              <w:top w:val="nil"/>
              <w:left w:val="single" w:color="000000" w:sz="4" w:space="0"/>
              <w:bottom w:val="single" w:color="000000" w:sz="4" w:space="0"/>
              <w:right w:val="single" w:color="000000" w:sz="4" w:space="0"/>
              <w:tl2br w:val="single" w:color="000000" w:sz="4" w:space="0"/>
            </w:tcBorders>
            <w:shd w:val="clear" w:color="auto" w:fill="auto"/>
            <w:vAlign w:val="center"/>
          </w:tcPr>
          <w:p w14:paraId="69C9F4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时间</w:t>
            </w:r>
          </w:p>
          <w:p w14:paraId="5ECEB625">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cs="Times New Roman"/>
                <w:color w:val="000000"/>
                <w:kern w:val="0"/>
                <w:sz w:val="14"/>
                <w:szCs w:val="14"/>
                <w:highlight w:val="none"/>
              </w:rPr>
            </w:pPr>
          </w:p>
          <w:p w14:paraId="14F84D99">
            <w:pPr>
              <w:keepNext w:val="0"/>
              <w:keepLines w:val="0"/>
              <w:pageBreakBefore w:val="0"/>
              <w:widowControl/>
              <w:kinsoku/>
              <w:wordWrap/>
              <w:overflowPunct/>
              <w:topLinePunct w:val="0"/>
              <w:autoSpaceDE/>
              <w:autoSpaceDN/>
              <w:bidi w:val="0"/>
              <w:adjustRightInd/>
              <w:snapToGrid/>
              <w:spacing w:line="240" w:lineRule="exact"/>
              <w:ind w:left="-48" w:leftChars="-20"/>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深度</w:t>
            </w:r>
          </w:p>
          <w:p w14:paraId="4A740B63">
            <w:pPr>
              <w:keepNext w:val="0"/>
              <w:keepLines w:val="0"/>
              <w:pageBreakBefore w:val="0"/>
              <w:widowControl/>
              <w:kinsoku/>
              <w:wordWrap/>
              <w:overflowPunct/>
              <w:topLinePunct w:val="0"/>
              <w:autoSpaceDE/>
              <w:autoSpaceDN/>
              <w:bidi w:val="0"/>
              <w:adjustRightInd/>
              <w:snapToGrid/>
              <w:spacing w:line="240" w:lineRule="exact"/>
              <w:ind w:left="-48" w:leftChars="-20"/>
              <w:jc w:val="both"/>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（m</w:t>
            </w:r>
            <w:r>
              <w:rPr>
                <w:rFonts w:ascii="Times New Roman" w:hAnsi="Times New Roman" w:cs="Times New Roman"/>
                <w:color w:val="000000"/>
                <w:kern w:val="0"/>
                <w:sz w:val="14"/>
                <w:szCs w:val="14"/>
                <w:highlight w:val="none"/>
              </w:rPr>
              <w:t>）</w:t>
            </w:r>
          </w:p>
        </w:tc>
        <w:tc>
          <w:tcPr>
            <w:tcW w:w="1131" w:type="pct"/>
            <w:gridSpan w:val="4"/>
            <w:tcBorders>
              <w:top w:val="single" w:color="000000" w:sz="4" w:space="0"/>
              <w:left w:val="nil"/>
              <w:bottom w:val="single" w:color="000000" w:sz="4" w:space="0"/>
              <w:right w:val="single" w:color="000000" w:sz="4" w:space="0"/>
            </w:tcBorders>
            <w:shd w:val="clear" w:color="auto" w:fill="auto"/>
            <w:vAlign w:val="center"/>
          </w:tcPr>
          <w:p w14:paraId="2FDDA1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131" w:type="pct"/>
            <w:gridSpan w:val="4"/>
            <w:tcBorders>
              <w:top w:val="nil"/>
              <w:left w:val="nil"/>
              <w:bottom w:val="single" w:color="000000" w:sz="4" w:space="0"/>
              <w:right w:val="single" w:color="000000" w:sz="4" w:space="0"/>
            </w:tcBorders>
            <w:shd w:val="clear" w:color="auto" w:fill="auto"/>
            <w:vAlign w:val="center"/>
          </w:tcPr>
          <w:p w14:paraId="3D80BE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131" w:type="pct"/>
            <w:gridSpan w:val="3"/>
            <w:tcBorders>
              <w:top w:val="nil"/>
              <w:left w:val="nil"/>
              <w:bottom w:val="single" w:color="000000" w:sz="4" w:space="0"/>
              <w:right w:val="single" w:color="000000" w:sz="4" w:space="0"/>
            </w:tcBorders>
            <w:shd w:val="clear" w:color="auto" w:fill="auto"/>
            <w:vAlign w:val="center"/>
          </w:tcPr>
          <w:p w14:paraId="31B14B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902" w:type="pct"/>
            <w:tcBorders>
              <w:top w:val="nil"/>
              <w:left w:val="nil"/>
              <w:bottom w:val="single" w:color="000000" w:sz="4" w:space="0"/>
              <w:right w:val="single" w:color="000000" w:sz="4" w:space="0"/>
            </w:tcBorders>
            <w:shd w:val="clear" w:color="auto" w:fill="auto"/>
            <w:vAlign w:val="center"/>
          </w:tcPr>
          <w:p w14:paraId="4C1507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监测曲线</w:t>
            </w:r>
          </w:p>
        </w:tc>
      </w:tr>
      <w:tr w14:paraId="2D96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92" w:type="pct"/>
            <w:vMerge w:val="continue"/>
            <w:tcBorders>
              <w:left w:val="single" w:color="000000" w:sz="4" w:space="0"/>
              <w:right w:val="single" w:color="000000" w:sz="4" w:space="0"/>
              <w:tl2br w:val="single" w:color="000000" w:sz="4" w:space="0"/>
            </w:tcBorders>
            <w:vAlign w:val="center"/>
          </w:tcPr>
          <w:p w14:paraId="09AB3300">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p>
        </w:tc>
        <w:tc>
          <w:tcPr>
            <w:tcW w:w="410" w:type="pct"/>
            <w:vMerge w:val="continue"/>
            <w:tcBorders>
              <w:top w:val="nil"/>
              <w:left w:val="single" w:color="000000" w:sz="4" w:space="0"/>
              <w:bottom w:val="single" w:color="000000" w:sz="4" w:space="0"/>
              <w:right w:val="single" w:color="000000" w:sz="4" w:space="0"/>
            </w:tcBorders>
            <w:vAlign w:val="center"/>
          </w:tcPr>
          <w:p w14:paraId="5BEEE5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1131" w:type="pct"/>
            <w:gridSpan w:val="4"/>
            <w:tcBorders>
              <w:top w:val="single" w:color="000000" w:sz="4" w:space="0"/>
              <w:left w:val="nil"/>
              <w:bottom w:val="single" w:color="000000" w:sz="4" w:space="0"/>
              <w:right w:val="single" w:color="000000" w:sz="4" w:space="0"/>
            </w:tcBorders>
            <w:shd w:val="clear" w:color="auto" w:fill="auto"/>
            <w:vAlign w:val="center"/>
          </w:tcPr>
          <w:p w14:paraId="394730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131" w:type="pct"/>
            <w:gridSpan w:val="4"/>
            <w:tcBorders>
              <w:top w:val="nil"/>
              <w:left w:val="nil"/>
              <w:bottom w:val="single" w:color="000000" w:sz="4" w:space="0"/>
              <w:right w:val="single" w:color="000000" w:sz="4" w:space="0"/>
            </w:tcBorders>
            <w:shd w:val="clear" w:color="auto" w:fill="auto"/>
            <w:vAlign w:val="center"/>
          </w:tcPr>
          <w:p w14:paraId="6F9FBB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131" w:type="pct"/>
            <w:gridSpan w:val="3"/>
            <w:tcBorders>
              <w:top w:val="nil"/>
              <w:left w:val="nil"/>
              <w:bottom w:val="single" w:color="000000" w:sz="4" w:space="0"/>
              <w:right w:val="single" w:color="000000" w:sz="4" w:space="0"/>
            </w:tcBorders>
            <w:shd w:val="clear" w:color="auto" w:fill="auto"/>
            <w:vAlign w:val="center"/>
          </w:tcPr>
          <w:p w14:paraId="14E2B4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902" w:type="pct"/>
            <w:vMerge w:val="restart"/>
            <w:tcBorders>
              <w:top w:val="nil"/>
              <w:left w:val="nil"/>
              <w:right w:val="single" w:color="000000" w:sz="4" w:space="0"/>
            </w:tcBorders>
            <w:shd w:val="clear" w:color="auto" w:fill="auto"/>
            <w:vAlign w:val="center"/>
          </w:tcPr>
          <w:p w14:paraId="1B092F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kern w:val="0"/>
                <w:sz w:val="14"/>
                <w:szCs w:val="14"/>
                <w:highlight w:val="none"/>
              </w:rPr>
            </w:pPr>
            <w:r>
              <w:rPr>
                <w:rFonts w:ascii="Times New Roman" w:hAnsi="Times New Roman" w:cs="Times New Roman"/>
                <w:highlight w:val="none"/>
              </w:rPr>
              <w:drawing>
                <wp:inline distT="0" distB="0" distL="0" distR="0">
                  <wp:extent cx="948055" cy="4662805"/>
                  <wp:effectExtent l="0" t="0" r="4445" b="4445"/>
                  <wp:docPr id="1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
                          <pic:cNvPicPr>
                            <a:picLocks noChangeAspect="1" noChangeArrowheads="1"/>
                          </pic:cNvPicPr>
                        </pic:nvPicPr>
                        <pic:blipFill>
                          <a:blip r:embed="rId29">
                            <a:extLst>
                              <a:ext uri="{28A0092B-C50C-407E-A947-70E740481C1C}">
                                <a14:useLocalDpi xmlns:a14="http://schemas.microsoft.com/office/drawing/2010/main" val="0"/>
                              </a:ext>
                            </a:extLst>
                          </a:blip>
                          <a:srcRect l="12887"/>
                          <a:stretch>
                            <a:fillRect/>
                          </a:stretch>
                        </pic:blipFill>
                        <pic:spPr>
                          <a:xfrm>
                            <a:off x="0" y="0"/>
                            <a:ext cx="948055" cy="4662805"/>
                          </a:xfrm>
                          <a:prstGeom prst="rect">
                            <a:avLst/>
                          </a:prstGeom>
                          <a:noFill/>
                          <a:ln>
                            <a:noFill/>
                          </a:ln>
                        </pic:spPr>
                      </pic:pic>
                    </a:graphicData>
                  </a:graphic>
                </wp:inline>
              </w:drawing>
            </w:r>
          </w:p>
        </w:tc>
      </w:tr>
      <w:tr w14:paraId="0F84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292" w:type="pct"/>
            <w:vMerge w:val="continue"/>
            <w:tcBorders>
              <w:left w:val="single" w:color="000000" w:sz="4" w:space="0"/>
              <w:bottom w:val="single" w:color="000000" w:sz="4" w:space="0"/>
              <w:right w:val="single" w:color="000000" w:sz="4" w:space="0"/>
              <w:tl2br w:val="single" w:color="000000" w:sz="4" w:space="0"/>
            </w:tcBorders>
            <w:vAlign w:val="center"/>
          </w:tcPr>
          <w:p w14:paraId="2806EEBD">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p>
        </w:tc>
        <w:tc>
          <w:tcPr>
            <w:tcW w:w="410" w:type="pct"/>
            <w:vMerge w:val="continue"/>
            <w:tcBorders>
              <w:top w:val="nil"/>
              <w:left w:val="single" w:color="000000" w:sz="4" w:space="0"/>
              <w:bottom w:val="single" w:color="000000" w:sz="4" w:space="0"/>
              <w:right w:val="single" w:color="000000" w:sz="4" w:space="0"/>
            </w:tcBorders>
            <w:vAlign w:val="center"/>
          </w:tcPr>
          <w:p w14:paraId="14CC6A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76" w:type="pct"/>
            <w:tcBorders>
              <w:top w:val="nil"/>
              <w:left w:val="single" w:color="000000" w:sz="4" w:space="0"/>
              <w:bottom w:val="single" w:color="000000" w:sz="4" w:space="0"/>
              <w:right w:val="single" w:color="000000" w:sz="4" w:space="0"/>
            </w:tcBorders>
            <w:shd w:val="clear" w:color="auto" w:fill="auto"/>
            <w:vAlign w:val="center"/>
          </w:tcPr>
          <w:p w14:paraId="5E1B7A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376" w:type="pct"/>
            <w:tcBorders>
              <w:top w:val="nil"/>
              <w:left w:val="single" w:color="000000" w:sz="4" w:space="0"/>
              <w:bottom w:val="single" w:color="000000" w:sz="4" w:space="0"/>
              <w:right w:val="single" w:color="000000" w:sz="4" w:space="0"/>
            </w:tcBorders>
            <w:shd w:val="clear" w:color="auto" w:fill="auto"/>
            <w:vAlign w:val="center"/>
          </w:tcPr>
          <w:p w14:paraId="218A7C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376" w:type="pct"/>
            <w:tcBorders>
              <w:top w:val="nil"/>
              <w:left w:val="single" w:color="000000" w:sz="4" w:space="0"/>
              <w:bottom w:val="single" w:color="auto" w:sz="4" w:space="0"/>
              <w:right w:val="single" w:color="000000" w:sz="4" w:space="0"/>
            </w:tcBorders>
            <w:shd w:val="clear" w:color="auto" w:fill="auto"/>
            <w:vAlign w:val="center"/>
          </w:tcPr>
          <w:p w14:paraId="0C26D4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          速率(mm/d)</w:t>
            </w:r>
          </w:p>
        </w:tc>
        <w:tc>
          <w:tcPr>
            <w:tcW w:w="376" w:type="pct"/>
            <w:gridSpan w:val="2"/>
            <w:tcBorders>
              <w:top w:val="nil"/>
              <w:left w:val="nil"/>
              <w:bottom w:val="single" w:color="auto" w:sz="4" w:space="0"/>
              <w:right w:val="single" w:color="000000" w:sz="4" w:space="0"/>
            </w:tcBorders>
            <w:shd w:val="clear" w:color="auto" w:fill="auto"/>
            <w:vAlign w:val="center"/>
          </w:tcPr>
          <w:p w14:paraId="29E726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376" w:type="pct"/>
            <w:tcBorders>
              <w:top w:val="nil"/>
              <w:left w:val="nil"/>
              <w:bottom w:val="single" w:color="auto" w:sz="4" w:space="0"/>
              <w:right w:val="single" w:color="000000" w:sz="4" w:space="0"/>
            </w:tcBorders>
            <w:shd w:val="clear" w:color="auto" w:fill="auto"/>
            <w:vAlign w:val="center"/>
          </w:tcPr>
          <w:p w14:paraId="2A0EED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376" w:type="pct"/>
            <w:tcBorders>
              <w:top w:val="nil"/>
              <w:left w:val="nil"/>
              <w:bottom w:val="single" w:color="auto" w:sz="4" w:space="0"/>
              <w:right w:val="single" w:color="000000" w:sz="4" w:space="0"/>
            </w:tcBorders>
            <w:shd w:val="clear" w:color="auto" w:fill="auto"/>
            <w:vAlign w:val="center"/>
          </w:tcPr>
          <w:p w14:paraId="7ED9BD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191413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376" w:type="pct"/>
            <w:gridSpan w:val="2"/>
            <w:tcBorders>
              <w:top w:val="nil"/>
              <w:left w:val="nil"/>
              <w:bottom w:val="single" w:color="auto" w:sz="4" w:space="0"/>
              <w:right w:val="single" w:color="000000" w:sz="4" w:space="0"/>
            </w:tcBorders>
            <w:shd w:val="clear" w:color="auto" w:fill="auto"/>
            <w:vAlign w:val="center"/>
          </w:tcPr>
          <w:p w14:paraId="7F0549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376" w:type="pct"/>
            <w:tcBorders>
              <w:top w:val="nil"/>
              <w:left w:val="nil"/>
              <w:bottom w:val="single" w:color="auto" w:sz="4" w:space="0"/>
              <w:right w:val="single" w:color="000000" w:sz="4" w:space="0"/>
            </w:tcBorders>
            <w:shd w:val="clear" w:color="auto" w:fill="auto"/>
            <w:vAlign w:val="center"/>
          </w:tcPr>
          <w:p w14:paraId="123103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380" w:type="pct"/>
            <w:tcBorders>
              <w:top w:val="nil"/>
              <w:left w:val="nil"/>
              <w:bottom w:val="single" w:color="auto" w:sz="4" w:space="0"/>
              <w:right w:val="single" w:color="000000" w:sz="4" w:space="0"/>
            </w:tcBorders>
            <w:shd w:val="clear" w:color="auto" w:fill="auto"/>
            <w:vAlign w:val="center"/>
          </w:tcPr>
          <w:p w14:paraId="066D85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755511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902" w:type="pct"/>
            <w:vMerge w:val="continue"/>
            <w:tcBorders>
              <w:left w:val="nil"/>
              <w:right w:val="single" w:color="000000" w:sz="4" w:space="0"/>
            </w:tcBorders>
            <w:shd w:val="clear" w:color="auto" w:fill="auto"/>
            <w:vAlign w:val="center"/>
          </w:tcPr>
          <w:p w14:paraId="4ED8B87D">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kern w:val="0"/>
                <w:sz w:val="14"/>
                <w:szCs w:val="14"/>
                <w:highlight w:val="none"/>
              </w:rPr>
            </w:pPr>
          </w:p>
        </w:tc>
      </w:tr>
      <w:tr w14:paraId="379F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restart"/>
            <w:tcBorders>
              <w:top w:val="single" w:color="000000" w:sz="4" w:space="0"/>
              <w:left w:val="single" w:color="000000" w:sz="4" w:space="0"/>
              <w:right w:val="single" w:color="000000" w:sz="4" w:space="0"/>
            </w:tcBorders>
            <w:shd w:val="clear" w:color="auto" w:fill="auto"/>
            <w:noWrap/>
            <w:vAlign w:val="center"/>
          </w:tcPr>
          <w:p w14:paraId="43149FF6">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3184483E">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0C3C370">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109B914">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3ACB9AF">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3B96FB1A">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766DBFD5">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74603011">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3F835729">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76C0641F">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667D1234">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44FD732B">
            <w:pPr>
              <w:spacing w:line="240" w:lineRule="auto"/>
              <w:jc w:val="center"/>
              <w:rPr>
                <w:rFonts w:ascii="Times New Roman" w:hAnsi="Times New Roman" w:cs="Times New Roman"/>
                <w:color w:val="000000"/>
                <w:kern w:val="0"/>
                <w:sz w:val="14"/>
                <w:szCs w:val="14"/>
                <w:highlight w:val="none"/>
              </w:rPr>
            </w:pPr>
          </w:p>
        </w:tc>
      </w:tr>
      <w:tr w14:paraId="38FE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194AD6E9">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7D37B2FD">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6C0E3748">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E239AC5">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3263B991">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1A32A648">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6839F5A1">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1010196">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3AC71B3E">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3E938818">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14192C8B">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081B1D83">
            <w:pPr>
              <w:spacing w:line="240" w:lineRule="auto"/>
              <w:jc w:val="center"/>
              <w:rPr>
                <w:rFonts w:ascii="Times New Roman" w:hAnsi="Times New Roman" w:cs="Times New Roman"/>
                <w:color w:val="000000"/>
                <w:kern w:val="0"/>
                <w:sz w:val="14"/>
                <w:szCs w:val="14"/>
                <w:highlight w:val="none"/>
              </w:rPr>
            </w:pPr>
          </w:p>
        </w:tc>
      </w:tr>
      <w:tr w14:paraId="35EB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7E577308">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0E71591A">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137FD08">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38D22720">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0099F9E2">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593ED572">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7DF9A08B">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04106DB4">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7587499D">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4FEA132">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66704E3D">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142BF90C">
            <w:pPr>
              <w:spacing w:line="240" w:lineRule="auto"/>
              <w:jc w:val="center"/>
              <w:rPr>
                <w:rFonts w:ascii="Times New Roman" w:hAnsi="Times New Roman" w:cs="Times New Roman"/>
                <w:color w:val="000000"/>
                <w:kern w:val="0"/>
                <w:sz w:val="14"/>
                <w:szCs w:val="14"/>
                <w:highlight w:val="none"/>
              </w:rPr>
            </w:pPr>
          </w:p>
        </w:tc>
      </w:tr>
      <w:tr w14:paraId="4FD1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4EF2FF5A">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69636122">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E213CA3">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0E14BEFD">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CEBE125">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1F745C9D">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3D02537">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560ED75">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7AF78313">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762705F2">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1AED2D6B">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5C901123">
            <w:pPr>
              <w:spacing w:line="240" w:lineRule="auto"/>
              <w:jc w:val="center"/>
              <w:rPr>
                <w:rFonts w:ascii="Times New Roman" w:hAnsi="Times New Roman" w:cs="Times New Roman"/>
                <w:color w:val="000000"/>
                <w:kern w:val="0"/>
                <w:sz w:val="14"/>
                <w:szCs w:val="14"/>
                <w:highlight w:val="none"/>
              </w:rPr>
            </w:pPr>
          </w:p>
        </w:tc>
      </w:tr>
      <w:tr w14:paraId="7339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2E41CFD9">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7D241F7C">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3837CAF0">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2D9A8A3">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5A1CFD2">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4B017E10">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F70B983">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D671EB2">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6B8040BE">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4A07032">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32141FD3">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066664B7">
            <w:pPr>
              <w:spacing w:line="240" w:lineRule="auto"/>
              <w:jc w:val="center"/>
              <w:rPr>
                <w:rFonts w:ascii="Times New Roman" w:hAnsi="Times New Roman" w:cs="Times New Roman"/>
                <w:color w:val="000000"/>
                <w:kern w:val="0"/>
                <w:sz w:val="14"/>
                <w:szCs w:val="14"/>
                <w:highlight w:val="none"/>
              </w:rPr>
            </w:pPr>
          </w:p>
        </w:tc>
      </w:tr>
      <w:tr w14:paraId="59BF6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7788A43D">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12EB8357">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492BDEE4">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6A098C90">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142E6C4">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72B928F2">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6D5AC3A">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3F4F322C">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3B552856">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02E0D2F2">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6F568813">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25FD9C35">
            <w:pPr>
              <w:spacing w:line="240" w:lineRule="auto"/>
              <w:jc w:val="center"/>
              <w:rPr>
                <w:rFonts w:ascii="Times New Roman" w:hAnsi="Times New Roman" w:cs="Times New Roman"/>
                <w:color w:val="000000"/>
                <w:kern w:val="0"/>
                <w:sz w:val="14"/>
                <w:szCs w:val="14"/>
                <w:highlight w:val="none"/>
              </w:rPr>
            </w:pPr>
          </w:p>
        </w:tc>
      </w:tr>
      <w:tr w14:paraId="4CF7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047BD880">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0BE0E30E">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0D6FBD85">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6421AE89">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048385FF">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1019ABE8">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72211B9">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0955602B">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7F2AA0A8">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02F512C6">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03FDD48D">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54CF30F3">
            <w:pPr>
              <w:spacing w:line="240" w:lineRule="auto"/>
              <w:jc w:val="center"/>
              <w:rPr>
                <w:rFonts w:ascii="Times New Roman" w:hAnsi="Times New Roman" w:cs="Times New Roman"/>
                <w:color w:val="000000"/>
                <w:kern w:val="0"/>
                <w:sz w:val="14"/>
                <w:szCs w:val="14"/>
                <w:highlight w:val="none"/>
              </w:rPr>
            </w:pPr>
          </w:p>
        </w:tc>
      </w:tr>
      <w:tr w14:paraId="7D82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191D037A">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3B2786F6">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6A7C1102">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0CDE8DB6">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4F9AEC6B">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19C96207">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66B3ED5E">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6154043B">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3ED5429A">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6909912">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515CEE96">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37CD81C8">
            <w:pPr>
              <w:spacing w:line="240" w:lineRule="auto"/>
              <w:jc w:val="center"/>
              <w:rPr>
                <w:rFonts w:ascii="Times New Roman" w:hAnsi="Times New Roman" w:cs="Times New Roman"/>
                <w:color w:val="000000"/>
                <w:kern w:val="0"/>
                <w:sz w:val="14"/>
                <w:szCs w:val="14"/>
                <w:highlight w:val="none"/>
              </w:rPr>
            </w:pPr>
          </w:p>
        </w:tc>
      </w:tr>
      <w:tr w14:paraId="1D4C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43DEE7FC">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7CCF59D7">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8F695DF">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F77EA43">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47E893AC">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15B65831">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42205C25">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0D2FA470">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7F76C349">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6B77D319">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2B3355FF">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3A6DF3D6">
            <w:pPr>
              <w:spacing w:line="240" w:lineRule="auto"/>
              <w:jc w:val="center"/>
              <w:rPr>
                <w:rFonts w:ascii="Times New Roman" w:hAnsi="Times New Roman" w:cs="Times New Roman"/>
                <w:color w:val="000000"/>
                <w:kern w:val="0"/>
                <w:sz w:val="14"/>
                <w:szCs w:val="14"/>
                <w:highlight w:val="none"/>
              </w:rPr>
            </w:pPr>
          </w:p>
        </w:tc>
      </w:tr>
      <w:tr w14:paraId="43BE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097F14FC">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0EE30135">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7BD0770B">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D4F351A">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3EBBC7F6">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75A4078F">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4567E549">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30666685">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12A3BE1C">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753939CA">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638D7307">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030981F7">
            <w:pPr>
              <w:spacing w:line="240" w:lineRule="auto"/>
              <w:jc w:val="center"/>
              <w:rPr>
                <w:rFonts w:ascii="Times New Roman" w:hAnsi="Times New Roman" w:cs="Times New Roman"/>
                <w:color w:val="000000"/>
                <w:kern w:val="0"/>
                <w:sz w:val="14"/>
                <w:szCs w:val="14"/>
                <w:highlight w:val="none"/>
              </w:rPr>
            </w:pPr>
          </w:p>
        </w:tc>
      </w:tr>
      <w:tr w14:paraId="4BEF2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17618D7E">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76400396">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E113C69">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4329FC63">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691D0D7">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514A16F1">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1F9CEA4">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5A9F8A5">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7F8EF38A">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B23651C">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524E3A67">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0EE6E3F4">
            <w:pPr>
              <w:spacing w:line="240" w:lineRule="auto"/>
              <w:jc w:val="center"/>
              <w:rPr>
                <w:rFonts w:ascii="Times New Roman" w:hAnsi="Times New Roman" w:cs="Times New Roman"/>
                <w:color w:val="000000"/>
                <w:kern w:val="0"/>
                <w:sz w:val="14"/>
                <w:szCs w:val="14"/>
                <w:highlight w:val="none"/>
              </w:rPr>
            </w:pPr>
          </w:p>
        </w:tc>
      </w:tr>
      <w:tr w14:paraId="0340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6B39B45C">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66BCC0CA">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05F2389">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753F246D">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BF638A5">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0996B748">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CAFB206">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EF1D5B9">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77A3267E">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4A683A2D">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4C528D44">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143C94B0">
            <w:pPr>
              <w:spacing w:line="240" w:lineRule="auto"/>
              <w:jc w:val="center"/>
              <w:rPr>
                <w:rFonts w:ascii="Times New Roman" w:hAnsi="Times New Roman" w:cs="Times New Roman"/>
                <w:color w:val="000000"/>
                <w:kern w:val="0"/>
                <w:sz w:val="14"/>
                <w:szCs w:val="14"/>
                <w:highlight w:val="none"/>
              </w:rPr>
            </w:pPr>
          </w:p>
        </w:tc>
      </w:tr>
      <w:tr w14:paraId="08D4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26F98E28">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50F6837B">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A57A218">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19070C4">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372841DF">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51A2F1A1">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6EBD2E4A">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6D48767B">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54DAAF5B">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7641E09">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06031E77">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3DFDB594">
            <w:pPr>
              <w:spacing w:line="240" w:lineRule="auto"/>
              <w:jc w:val="center"/>
              <w:rPr>
                <w:rFonts w:ascii="Times New Roman" w:hAnsi="Times New Roman" w:cs="Times New Roman"/>
                <w:color w:val="000000"/>
                <w:kern w:val="0"/>
                <w:sz w:val="14"/>
                <w:szCs w:val="14"/>
                <w:highlight w:val="none"/>
              </w:rPr>
            </w:pPr>
          </w:p>
        </w:tc>
      </w:tr>
      <w:tr w14:paraId="7BD3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0A584501">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2427EB1B">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718FB47">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0F669D18">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17D0A1A">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70AF45E6">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7B2F5BA8">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76714587">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0651E298">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A19B716">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0B6E96B3">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3F491569">
            <w:pPr>
              <w:spacing w:line="240" w:lineRule="auto"/>
              <w:jc w:val="center"/>
              <w:rPr>
                <w:rFonts w:ascii="Times New Roman" w:hAnsi="Times New Roman" w:cs="Times New Roman"/>
                <w:color w:val="000000"/>
                <w:kern w:val="0"/>
                <w:sz w:val="14"/>
                <w:szCs w:val="14"/>
                <w:highlight w:val="none"/>
              </w:rPr>
            </w:pPr>
          </w:p>
        </w:tc>
      </w:tr>
      <w:tr w14:paraId="08A4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79CE0CF9">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6E40E8F6">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73B72097">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4133E0BC">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3917D3FE">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77545917">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08BC16E7">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42B47263">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6916B73B">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FF36C58">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756DB595">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0231E87F">
            <w:pPr>
              <w:spacing w:line="240" w:lineRule="auto"/>
              <w:jc w:val="center"/>
              <w:rPr>
                <w:rFonts w:ascii="Times New Roman" w:hAnsi="Times New Roman" w:cs="Times New Roman"/>
                <w:color w:val="000000"/>
                <w:kern w:val="0"/>
                <w:sz w:val="14"/>
                <w:szCs w:val="14"/>
                <w:highlight w:val="none"/>
              </w:rPr>
            </w:pPr>
          </w:p>
        </w:tc>
      </w:tr>
      <w:tr w14:paraId="38A80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61ADB949">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1D486EBD">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8A263FA">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02E2B49A">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4412C5A">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0D998520">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E8D452E">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BDB6911">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4D9C4BBD">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6FBA9E6">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52A4B293">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26D3216B">
            <w:pPr>
              <w:spacing w:line="240" w:lineRule="auto"/>
              <w:jc w:val="center"/>
              <w:rPr>
                <w:rFonts w:ascii="Times New Roman" w:hAnsi="Times New Roman" w:cs="Times New Roman"/>
                <w:color w:val="000000"/>
                <w:kern w:val="0"/>
                <w:sz w:val="14"/>
                <w:szCs w:val="14"/>
                <w:highlight w:val="none"/>
              </w:rPr>
            </w:pPr>
          </w:p>
        </w:tc>
      </w:tr>
      <w:tr w14:paraId="5481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2BC37BAD">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3C9630DE">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713B677F">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69B5A201">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71285733">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5A5DBC74">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7630DC24">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854145C">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404F9216">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C2CA701">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17BE2A42">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39891434">
            <w:pPr>
              <w:spacing w:line="240" w:lineRule="auto"/>
              <w:jc w:val="center"/>
              <w:rPr>
                <w:rFonts w:ascii="Times New Roman" w:hAnsi="Times New Roman" w:cs="Times New Roman"/>
                <w:color w:val="000000"/>
                <w:kern w:val="0"/>
                <w:sz w:val="14"/>
                <w:szCs w:val="14"/>
                <w:highlight w:val="none"/>
              </w:rPr>
            </w:pPr>
          </w:p>
        </w:tc>
      </w:tr>
      <w:tr w14:paraId="40F6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1E8809BD">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3661167C">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47EE3F14">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3700CBB5">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90B2072">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41514EFF">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0188B468">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7F14BBE0">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3E9ABD03">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80F040D">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71F4B055">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710AB028">
            <w:pPr>
              <w:spacing w:line="240" w:lineRule="auto"/>
              <w:jc w:val="center"/>
              <w:rPr>
                <w:rFonts w:ascii="Times New Roman" w:hAnsi="Times New Roman" w:cs="Times New Roman"/>
                <w:color w:val="000000"/>
                <w:kern w:val="0"/>
                <w:sz w:val="14"/>
                <w:szCs w:val="14"/>
                <w:highlight w:val="none"/>
              </w:rPr>
            </w:pPr>
          </w:p>
        </w:tc>
      </w:tr>
      <w:tr w14:paraId="55EC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3B5891B4">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53C2F695">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4762CB0">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028E1D2E">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380A72D9">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2AF26EDC">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751E2E9D">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745484E">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139B7A7F">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7F9EFB90">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6E792B36">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5B09C829">
            <w:pPr>
              <w:spacing w:line="240" w:lineRule="auto"/>
              <w:jc w:val="center"/>
              <w:rPr>
                <w:rFonts w:ascii="Times New Roman" w:hAnsi="Times New Roman" w:cs="Times New Roman"/>
                <w:color w:val="000000"/>
                <w:kern w:val="0"/>
                <w:sz w:val="14"/>
                <w:szCs w:val="14"/>
                <w:highlight w:val="none"/>
              </w:rPr>
            </w:pPr>
          </w:p>
        </w:tc>
      </w:tr>
      <w:tr w14:paraId="0F651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62D14486">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1F0A25C8">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2755734">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4953F612">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6148F00">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74420C23">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330F04AF">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8BE227A">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663C74CE">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BFB72AD">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5DC676FA">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26D0A581">
            <w:pPr>
              <w:spacing w:line="240" w:lineRule="auto"/>
              <w:jc w:val="center"/>
              <w:rPr>
                <w:rFonts w:ascii="Times New Roman" w:hAnsi="Times New Roman" w:cs="Times New Roman"/>
                <w:color w:val="000000"/>
                <w:kern w:val="0"/>
                <w:sz w:val="14"/>
                <w:szCs w:val="14"/>
                <w:highlight w:val="none"/>
              </w:rPr>
            </w:pPr>
          </w:p>
        </w:tc>
      </w:tr>
      <w:tr w14:paraId="5611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14:paraId="29A7329A">
            <w:pPr>
              <w:widowControl/>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3F9EB822">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9043B36">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42FECDC8">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23257488">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674A1352">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7EF6CC1">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0C87332">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778C9DE1">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0D09F1B5">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430137DA">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3EC730F1">
            <w:pPr>
              <w:spacing w:line="240" w:lineRule="auto"/>
              <w:jc w:val="center"/>
              <w:rPr>
                <w:rFonts w:ascii="Times New Roman" w:hAnsi="Times New Roman" w:cs="Times New Roman"/>
                <w:color w:val="000000"/>
                <w:kern w:val="0"/>
                <w:sz w:val="14"/>
                <w:szCs w:val="14"/>
                <w:highlight w:val="none"/>
              </w:rPr>
            </w:pPr>
          </w:p>
        </w:tc>
      </w:tr>
      <w:tr w14:paraId="0AB6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bottom w:val="single" w:color="000000" w:sz="4" w:space="0"/>
              <w:right w:val="single" w:color="000000" w:sz="4" w:space="0"/>
              <w:tl2br w:val="single" w:color="000000" w:sz="4" w:space="0"/>
            </w:tcBorders>
            <w:shd w:val="clear" w:color="auto" w:fill="auto"/>
            <w:noWrap/>
            <w:vAlign w:val="center"/>
          </w:tcPr>
          <w:p w14:paraId="03445C7D">
            <w:pPr>
              <w:widowControl/>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14:paraId="5AEEB936">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100B235C">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FA76176">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3DA89AA4">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7DEB408D">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4F1DAE03">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32590793">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14:paraId="3D618BDE">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14:paraId="5BE96A61">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14:paraId="52A4913B">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2320D4B5">
            <w:pPr>
              <w:spacing w:line="240" w:lineRule="auto"/>
              <w:jc w:val="center"/>
              <w:rPr>
                <w:rFonts w:ascii="Times New Roman" w:hAnsi="Times New Roman" w:cs="Times New Roman"/>
                <w:color w:val="000000"/>
                <w:kern w:val="0"/>
                <w:sz w:val="14"/>
                <w:szCs w:val="14"/>
                <w:highlight w:val="none"/>
              </w:rPr>
            </w:pPr>
          </w:p>
        </w:tc>
      </w:tr>
      <w:tr w14:paraId="4275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8F65">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工况简述</w:t>
            </w:r>
          </w:p>
        </w:tc>
        <w:tc>
          <w:tcPr>
            <w:tcW w:w="1131" w:type="pct"/>
            <w:gridSpan w:val="4"/>
            <w:tcBorders>
              <w:top w:val="single" w:color="000000" w:sz="4" w:space="0"/>
              <w:left w:val="nil"/>
              <w:bottom w:val="single" w:color="000000" w:sz="4" w:space="0"/>
              <w:right w:val="single" w:color="000000" w:sz="4" w:space="0"/>
            </w:tcBorders>
            <w:shd w:val="clear" w:color="auto" w:fill="auto"/>
            <w:noWrap/>
            <w:vAlign w:val="center"/>
          </w:tcPr>
          <w:p w14:paraId="4C8CB921">
            <w:pPr>
              <w:widowControl/>
              <w:spacing w:line="240" w:lineRule="auto"/>
              <w:jc w:val="center"/>
              <w:rPr>
                <w:rFonts w:ascii="Times New Roman" w:hAnsi="Times New Roman" w:cs="Times New Roman"/>
                <w:color w:val="000000"/>
                <w:kern w:val="0"/>
                <w:sz w:val="14"/>
                <w:szCs w:val="14"/>
                <w:highlight w:val="none"/>
              </w:rPr>
            </w:pPr>
          </w:p>
        </w:tc>
        <w:tc>
          <w:tcPr>
            <w:tcW w:w="1131" w:type="pct"/>
            <w:gridSpan w:val="4"/>
            <w:tcBorders>
              <w:top w:val="nil"/>
              <w:left w:val="nil"/>
              <w:bottom w:val="single" w:color="000000" w:sz="4" w:space="0"/>
              <w:right w:val="single" w:color="000000" w:sz="4" w:space="0"/>
            </w:tcBorders>
            <w:shd w:val="clear" w:color="auto" w:fill="auto"/>
            <w:noWrap/>
            <w:vAlign w:val="center"/>
          </w:tcPr>
          <w:p w14:paraId="498AFD4F">
            <w:pPr>
              <w:widowControl/>
              <w:spacing w:line="240" w:lineRule="auto"/>
              <w:jc w:val="center"/>
              <w:rPr>
                <w:rFonts w:ascii="Times New Roman" w:hAnsi="Times New Roman" w:cs="Times New Roman"/>
                <w:color w:val="000000"/>
                <w:kern w:val="0"/>
                <w:sz w:val="14"/>
                <w:szCs w:val="14"/>
                <w:highlight w:val="none"/>
              </w:rPr>
            </w:pPr>
          </w:p>
        </w:tc>
        <w:tc>
          <w:tcPr>
            <w:tcW w:w="1131" w:type="pct"/>
            <w:gridSpan w:val="3"/>
            <w:tcBorders>
              <w:top w:val="nil"/>
              <w:left w:val="nil"/>
              <w:bottom w:val="single" w:color="000000" w:sz="4" w:space="0"/>
              <w:right w:val="single" w:color="000000" w:sz="4" w:space="0"/>
            </w:tcBorders>
            <w:shd w:val="clear" w:color="auto" w:fill="auto"/>
            <w:noWrap/>
            <w:vAlign w:val="center"/>
          </w:tcPr>
          <w:p w14:paraId="47F77507">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14:paraId="2C3B630C">
            <w:pPr>
              <w:widowControl/>
              <w:spacing w:line="240" w:lineRule="auto"/>
              <w:jc w:val="center"/>
              <w:rPr>
                <w:rFonts w:ascii="Times New Roman" w:hAnsi="Times New Roman" w:cs="Times New Roman"/>
                <w:color w:val="000000"/>
                <w:kern w:val="0"/>
                <w:sz w:val="14"/>
                <w:szCs w:val="14"/>
                <w:highlight w:val="none"/>
              </w:rPr>
            </w:pPr>
          </w:p>
        </w:tc>
      </w:tr>
      <w:tr w14:paraId="7BC1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7EA2">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累计向</w:t>
            </w:r>
            <w:r>
              <w:rPr>
                <w:rFonts w:hint="eastAsia" w:ascii="Times New Roman" w:hAnsi="Times New Roman" w:cs="Times New Roman"/>
                <w:color w:val="000000"/>
                <w:kern w:val="0"/>
                <w:sz w:val="14"/>
                <w:szCs w:val="14"/>
                <w:highlight w:val="none"/>
                <w:lang w:val="en-US" w:eastAsia="zh-CN"/>
              </w:rPr>
              <w:t>边坡</w:t>
            </w:r>
            <w:r>
              <w:rPr>
                <w:rFonts w:hint="eastAsia" w:ascii="Times New Roman" w:hAnsi="Times New Roman" w:cs="Times New Roman"/>
                <w:color w:val="000000"/>
                <w:kern w:val="0"/>
                <w:sz w:val="14"/>
                <w:szCs w:val="14"/>
                <w:highlight w:val="none"/>
              </w:rPr>
              <w:t>内位移最大值</w:t>
            </w:r>
          </w:p>
        </w:tc>
        <w:tc>
          <w:tcPr>
            <w:tcW w:w="1131" w:type="pct"/>
            <w:gridSpan w:val="4"/>
            <w:tcBorders>
              <w:top w:val="single" w:color="000000" w:sz="4" w:space="0"/>
              <w:left w:val="nil"/>
              <w:bottom w:val="single" w:color="000000" w:sz="4" w:space="0"/>
              <w:right w:val="single" w:color="000000" w:sz="4" w:space="0"/>
            </w:tcBorders>
            <w:shd w:val="clear" w:color="auto" w:fill="auto"/>
            <w:noWrap/>
            <w:vAlign w:val="center"/>
          </w:tcPr>
          <w:p w14:paraId="6E9904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深度</w:t>
            </w:r>
            <w:r>
              <w:rPr>
                <w:rFonts w:ascii="Times New Roman" w:hAnsi="Times New Roman" w:cs="Times New Roman"/>
                <w:color w:val="000000"/>
                <w:kern w:val="0"/>
                <w:sz w:val="14"/>
                <w:szCs w:val="14"/>
                <w:highlight w:val="none"/>
              </w:rPr>
              <w:t>）</w:t>
            </w:r>
          </w:p>
        </w:tc>
        <w:tc>
          <w:tcPr>
            <w:tcW w:w="1131" w:type="pct"/>
            <w:gridSpan w:val="4"/>
            <w:tcBorders>
              <w:top w:val="nil"/>
              <w:left w:val="nil"/>
              <w:bottom w:val="single" w:color="000000" w:sz="4" w:space="0"/>
              <w:right w:val="single" w:color="000000" w:sz="4" w:space="0"/>
            </w:tcBorders>
            <w:shd w:val="clear" w:color="auto" w:fill="auto"/>
            <w:noWrap/>
            <w:vAlign w:val="center"/>
          </w:tcPr>
          <w:p w14:paraId="3A7B03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变化量（深度）</w:t>
            </w:r>
          </w:p>
        </w:tc>
        <w:tc>
          <w:tcPr>
            <w:tcW w:w="1131" w:type="pct"/>
            <w:gridSpan w:val="3"/>
            <w:tcBorders>
              <w:top w:val="nil"/>
              <w:left w:val="nil"/>
              <w:bottom w:val="single" w:color="000000" w:sz="4" w:space="0"/>
              <w:right w:val="single" w:color="000000" w:sz="4" w:space="0"/>
            </w:tcBorders>
            <w:shd w:val="clear" w:color="auto" w:fill="auto"/>
            <w:noWrap/>
            <w:vAlign w:val="center"/>
          </w:tcPr>
          <w:p w14:paraId="03822F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变化量（深度）</w:t>
            </w:r>
          </w:p>
        </w:tc>
        <w:tc>
          <w:tcPr>
            <w:tcW w:w="902" w:type="pct"/>
            <w:vMerge w:val="continue"/>
            <w:tcBorders>
              <w:left w:val="nil"/>
              <w:right w:val="single" w:color="000000" w:sz="4" w:space="0"/>
            </w:tcBorders>
            <w:shd w:val="clear" w:color="auto" w:fill="auto"/>
            <w:noWrap/>
            <w:vAlign w:val="center"/>
          </w:tcPr>
          <w:p w14:paraId="481C6813">
            <w:pPr>
              <w:widowControl/>
              <w:spacing w:line="240" w:lineRule="auto"/>
              <w:jc w:val="center"/>
              <w:rPr>
                <w:rFonts w:ascii="Times New Roman" w:hAnsi="Times New Roman" w:cs="Times New Roman"/>
                <w:color w:val="000000"/>
                <w:kern w:val="0"/>
                <w:sz w:val="14"/>
                <w:szCs w:val="14"/>
                <w:highlight w:val="none"/>
              </w:rPr>
            </w:pPr>
          </w:p>
        </w:tc>
      </w:tr>
      <w:tr w14:paraId="441D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1D37">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累计向</w:t>
            </w:r>
            <w:r>
              <w:rPr>
                <w:rFonts w:hint="eastAsia" w:ascii="Times New Roman" w:hAnsi="Times New Roman" w:cs="Times New Roman"/>
                <w:color w:val="000000"/>
                <w:kern w:val="0"/>
                <w:sz w:val="14"/>
                <w:szCs w:val="14"/>
                <w:highlight w:val="none"/>
                <w:lang w:val="en-US" w:eastAsia="zh-CN"/>
              </w:rPr>
              <w:t>边坡</w:t>
            </w:r>
            <w:r>
              <w:rPr>
                <w:rFonts w:hint="eastAsia" w:ascii="Times New Roman" w:hAnsi="Times New Roman" w:cs="Times New Roman"/>
                <w:color w:val="000000"/>
                <w:kern w:val="0"/>
                <w:sz w:val="14"/>
                <w:szCs w:val="14"/>
                <w:highlight w:val="none"/>
              </w:rPr>
              <w:t>外位移最大值</w:t>
            </w:r>
          </w:p>
        </w:tc>
        <w:tc>
          <w:tcPr>
            <w:tcW w:w="1131" w:type="pct"/>
            <w:gridSpan w:val="4"/>
            <w:tcBorders>
              <w:top w:val="single" w:color="000000" w:sz="4" w:space="0"/>
              <w:left w:val="nil"/>
              <w:bottom w:val="single" w:color="000000" w:sz="4" w:space="0"/>
              <w:right w:val="single" w:color="000000" w:sz="4" w:space="0"/>
            </w:tcBorders>
            <w:shd w:val="clear" w:color="auto" w:fill="auto"/>
            <w:noWrap/>
            <w:vAlign w:val="center"/>
          </w:tcPr>
          <w:p w14:paraId="3BC53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深度</w:t>
            </w:r>
            <w:r>
              <w:rPr>
                <w:rFonts w:ascii="Times New Roman" w:hAnsi="Times New Roman" w:cs="Times New Roman"/>
                <w:color w:val="000000"/>
                <w:kern w:val="0"/>
                <w:sz w:val="14"/>
                <w:szCs w:val="14"/>
                <w:highlight w:val="none"/>
              </w:rPr>
              <w:t>）</w:t>
            </w:r>
          </w:p>
        </w:tc>
        <w:tc>
          <w:tcPr>
            <w:tcW w:w="1131" w:type="pct"/>
            <w:gridSpan w:val="4"/>
            <w:tcBorders>
              <w:top w:val="nil"/>
              <w:left w:val="nil"/>
              <w:bottom w:val="single" w:color="000000" w:sz="4" w:space="0"/>
              <w:right w:val="single" w:color="000000" w:sz="4" w:space="0"/>
            </w:tcBorders>
            <w:shd w:val="clear" w:color="auto" w:fill="auto"/>
            <w:noWrap/>
            <w:vAlign w:val="center"/>
          </w:tcPr>
          <w:p w14:paraId="2194FF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变化量（深度）</w:t>
            </w:r>
          </w:p>
        </w:tc>
        <w:tc>
          <w:tcPr>
            <w:tcW w:w="1131" w:type="pct"/>
            <w:gridSpan w:val="3"/>
            <w:tcBorders>
              <w:top w:val="nil"/>
              <w:left w:val="nil"/>
              <w:bottom w:val="single" w:color="000000" w:sz="4" w:space="0"/>
              <w:right w:val="single" w:color="000000" w:sz="4" w:space="0"/>
            </w:tcBorders>
            <w:shd w:val="clear" w:color="auto" w:fill="auto"/>
            <w:noWrap/>
            <w:vAlign w:val="center"/>
          </w:tcPr>
          <w:p w14:paraId="6A65C8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变化量（深度）</w:t>
            </w:r>
          </w:p>
        </w:tc>
        <w:tc>
          <w:tcPr>
            <w:tcW w:w="902" w:type="pct"/>
            <w:vMerge w:val="continue"/>
            <w:tcBorders>
              <w:left w:val="nil"/>
              <w:right w:val="single" w:color="000000" w:sz="4" w:space="0"/>
            </w:tcBorders>
            <w:shd w:val="clear" w:color="auto" w:fill="auto"/>
            <w:noWrap/>
            <w:vAlign w:val="center"/>
          </w:tcPr>
          <w:p w14:paraId="18D8FD3E">
            <w:pPr>
              <w:widowControl/>
              <w:spacing w:line="240" w:lineRule="auto"/>
              <w:jc w:val="center"/>
              <w:rPr>
                <w:rFonts w:ascii="Times New Roman" w:hAnsi="Times New Roman" w:cs="Times New Roman"/>
                <w:color w:val="000000"/>
                <w:kern w:val="0"/>
                <w:sz w:val="14"/>
                <w:szCs w:val="14"/>
                <w:highlight w:val="none"/>
              </w:rPr>
            </w:pPr>
          </w:p>
        </w:tc>
      </w:tr>
      <w:tr w14:paraId="5B5E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7A44">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最大速率(mm/d)</w:t>
            </w:r>
          </w:p>
        </w:tc>
        <w:tc>
          <w:tcPr>
            <w:tcW w:w="1131" w:type="pct"/>
            <w:gridSpan w:val="4"/>
            <w:tcBorders>
              <w:top w:val="single" w:color="000000" w:sz="4" w:space="0"/>
              <w:left w:val="nil"/>
              <w:bottom w:val="single" w:color="000000" w:sz="4" w:space="0"/>
              <w:right w:val="single" w:color="000000" w:sz="4" w:space="0"/>
            </w:tcBorders>
            <w:shd w:val="clear" w:color="auto" w:fill="auto"/>
            <w:noWrap/>
            <w:vAlign w:val="center"/>
          </w:tcPr>
          <w:p w14:paraId="2BBF49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深度</w:t>
            </w:r>
            <w:r>
              <w:rPr>
                <w:rFonts w:ascii="Times New Roman" w:hAnsi="Times New Roman" w:cs="Times New Roman"/>
                <w:color w:val="000000"/>
                <w:kern w:val="0"/>
                <w:sz w:val="14"/>
                <w:szCs w:val="14"/>
                <w:highlight w:val="none"/>
              </w:rPr>
              <w:t>）</w:t>
            </w:r>
          </w:p>
        </w:tc>
        <w:tc>
          <w:tcPr>
            <w:tcW w:w="1131" w:type="pct"/>
            <w:gridSpan w:val="4"/>
            <w:tcBorders>
              <w:top w:val="nil"/>
              <w:left w:val="nil"/>
              <w:bottom w:val="single" w:color="000000" w:sz="4" w:space="0"/>
              <w:right w:val="single" w:color="000000" w:sz="4" w:space="0"/>
            </w:tcBorders>
            <w:shd w:val="clear" w:color="auto" w:fill="auto"/>
            <w:noWrap/>
            <w:vAlign w:val="center"/>
          </w:tcPr>
          <w:p w14:paraId="77455D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变化速率（深度）</w:t>
            </w:r>
          </w:p>
        </w:tc>
        <w:tc>
          <w:tcPr>
            <w:tcW w:w="1131" w:type="pct"/>
            <w:gridSpan w:val="3"/>
            <w:tcBorders>
              <w:top w:val="nil"/>
              <w:left w:val="nil"/>
              <w:bottom w:val="single" w:color="000000" w:sz="4" w:space="0"/>
              <w:right w:val="single" w:color="000000" w:sz="4" w:space="0"/>
            </w:tcBorders>
            <w:shd w:val="clear" w:color="auto" w:fill="auto"/>
            <w:noWrap/>
            <w:vAlign w:val="center"/>
          </w:tcPr>
          <w:p w14:paraId="4167A0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变化速率（深度）</w:t>
            </w:r>
          </w:p>
        </w:tc>
        <w:tc>
          <w:tcPr>
            <w:tcW w:w="902" w:type="pct"/>
            <w:vMerge w:val="continue"/>
            <w:tcBorders>
              <w:left w:val="nil"/>
              <w:bottom w:val="single" w:color="000000" w:sz="4" w:space="0"/>
              <w:right w:val="single" w:color="000000" w:sz="4" w:space="0"/>
            </w:tcBorders>
            <w:shd w:val="clear" w:color="auto" w:fill="auto"/>
            <w:noWrap/>
            <w:vAlign w:val="center"/>
          </w:tcPr>
          <w:p w14:paraId="25A6B82E">
            <w:pPr>
              <w:widowControl/>
              <w:spacing w:line="240" w:lineRule="auto"/>
              <w:jc w:val="center"/>
              <w:rPr>
                <w:rFonts w:ascii="Times New Roman" w:hAnsi="Times New Roman" w:cs="Times New Roman"/>
                <w:color w:val="000000"/>
                <w:kern w:val="0"/>
                <w:sz w:val="14"/>
                <w:szCs w:val="14"/>
                <w:highlight w:val="none"/>
              </w:rPr>
            </w:pPr>
          </w:p>
        </w:tc>
      </w:tr>
      <w:tr w14:paraId="69CF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7E4A50A">
            <w:pPr>
              <w:widowControl/>
              <w:spacing w:line="240" w:lineRule="auto"/>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备注:</w:t>
            </w:r>
          </w:p>
          <w:p w14:paraId="680A66A5">
            <w:pPr>
              <w:widowControl/>
              <w:spacing w:line="240" w:lineRule="auto"/>
              <w:ind w:firstLine="280" w:firstLineChars="200"/>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1）表中次数为进场次数；2 ）水平位移量“+”表示向</w:t>
            </w:r>
            <w:r>
              <w:rPr>
                <w:rFonts w:hint="eastAsia" w:ascii="Times New Roman" w:hAnsi="Times New Roman" w:cs="Times New Roman"/>
                <w:color w:val="000000"/>
                <w:kern w:val="0"/>
                <w:sz w:val="14"/>
                <w:szCs w:val="14"/>
                <w:highlight w:val="none"/>
                <w:lang w:val="en-US" w:eastAsia="zh-CN"/>
              </w:rPr>
              <w:t>边坡</w:t>
            </w:r>
            <w:r>
              <w:rPr>
                <w:rFonts w:hint="eastAsia" w:ascii="Times New Roman" w:hAnsi="Times New Roman" w:cs="Times New Roman"/>
                <w:color w:val="000000"/>
                <w:kern w:val="0"/>
                <w:sz w:val="14"/>
                <w:szCs w:val="14"/>
                <w:highlight w:val="none"/>
              </w:rPr>
              <w:t>内位移，“-”表示向</w:t>
            </w:r>
            <w:r>
              <w:rPr>
                <w:rFonts w:hint="eastAsia" w:ascii="Times New Roman" w:hAnsi="Times New Roman" w:cs="Times New Roman"/>
                <w:color w:val="000000"/>
                <w:kern w:val="0"/>
                <w:sz w:val="14"/>
                <w:szCs w:val="14"/>
                <w:highlight w:val="none"/>
                <w:lang w:val="en-US" w:eastAsia="zh-CN"/>
              </w:rPr>
              <w:t>边坡</w:t>
            </w:r>
            <w:r>
              <w:rPr>
                <w:rFonts w:hint="eastAsia" w:ascii="Times New Roman" w:hAnsi="Times New Roman" w:cs="Times New Roman"/>
                <w:color w:val="000000"/>
                <w:kern w:val="0"/>
                <w:sz w:val="14"/>
                <w:szCs w:val="14"/>
                <w:highlight w:val="none"/>
              </w:rPr>
              <w:t>外位移</w:t>
            </w:r>
            <w:r>
              <w:rPr>
                <w:rFonts w:ascii="Times New Roman" w:hAnsi="Times New Roman" w:cs="Times New Roman"/>
                <w:color w:val="000000"/>
                <w:kern w:val="0"/>
                <w:sz w:val="14"/>
                <w:szCs w:val="14"/>
                <w:highlight w:val="none"/>
              </w:rPr>
              <w:t>。</w:t>
            </w:r>
          </w:p>
        </w:tc>
      </w:tr>
    </w:tbl>
    <w:p w14:paraId="2ACE777C">
      <w:pPr>
        <w:ind w:firstLine="180" w:firstLineChars="100"/>
        <w:rPr>
          <w:rFonts w:hint="eastAsia" w:ascii="Times New Roman" w:hAnsi="Times New Roman" w:cs="Times New Roman"/>
          <w:sz w:val="18"/>
          <w:szCs w:val="18"/>
          <w:highlight w:val="none"/>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18"/>
          <w:szCs w:val="18"/>
          <w:highlight w:val="none"/>
        </w:rPr>
        <w:t xml:space="preserve">观测：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计算：                              校核：</w:t>
      </w:r>
    </w:p>
    <w:p w14:paraId="68D4C704">
      <w:pPr>
        <w:pStyle w:val="3"/>
        <w:adjustRightInd w:val="0"/>
        <w:snapToGrid w:val="0"/>
        <w:spacing w:before="0" w:after="0" w:line="360" w:lineRule="auto"/>
        <w:jc w:val="center"/>
        <w:rPr>
          <w:rFonts w:ascii="Times New Roman" w:hAnsi="Times New Roman" w:cs="Times New Roman"/>
          <w:highlight w:val="none"/>
        </w:rPr>
      </w:pPr>
      <w:bookmarkStart w:id="163" w:name="_Toc12238"/>
      <w:bookmarkStart w:id="164" w:name="_Toc3748"/>
      <w:bookmarkStart w:id="165" w:name="_Toc7198"/>
      <w:bookmarkStart w:id="166" w:name="_Toc18077"/>
      <w:bookmarkStart w:id="167" w:name="_Toc3937"/>
      <w:bookmarkStart w:id="168" w:name="_Toc525052908"/>
      <w:bookmarkStart w:id="169" w:name="_Toc180"/>
      <w:bookmarkStart w:id="170" w:name="_Toc1252"/>
      <w:r>
        <w:rPr>
          <w:rFonts w:hint="eastAsia" w:ascii="Times New Roman" w:hAnsi="Times New Roman" w:cs="Times New Roman"/>
          <w:b w:val="0"/>
          <w:highlight w:val="none"/>
        </w:rPr>
        <w:t>附录</w:t>
      </w:r>
      <w:r>
        <w:rPr>
          <w:rFonts w:hint="eastAsia" w:ascii="Times New Roman" w:hAnsi="Times New Roman" w:cs="Times New Roman"/>
          <w:b w:val="0"/>
          <w:highlight w:val="none"/>
          <w:lang w:val="en-US" w:eastAsia="zh-CN"/>
        </w:rPr>
        <w:t>D</w:t>
      </w:r>
      <w:r>
        <w:rPr>
          <w:rFonts w:ascii="Times New Roman" w:hAnsi="Times New Roman" w:cs="Times New Roman"/>
          <w:b w:val="0"/>
          <w:highlight w:val="none"/>
        </w:rPr>
        <w:t xml:space="preserve"> </w:t>
      </w:r>
      <w:r>
        <w:rPr>
          <w:rFonts w:hint="eastAsia" w:ascii="Times New Roman" w:hAnsi="Times New Roman" w:cs="Times New Roman"/>
          <w:b w:val="0"/>
          <w:highlight w:val="none"/>
        </w:rPr>
        <w:t>倾斜监测日报表</w:t>
      </w:r>
      <w:bookmarkEnd w:id="163"/>
      <w:bookmarkEnd w:id="164"/>
      <w:bookmarkEnd w:id="165"/>
      <w:bookmarkEnd w:id="166"/>
      <w:bookmarkEnd w:id="167"/>
      <w:bookmarkEnd w:id="168"/>
      <w:bookmarkEnd w:id="169"/>
      <w:bookmarkEnd w:id="170"/>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656"/>
        <w:gridCol w:w="603"/>
        <w:gridCol w:w="675"/>
        <w:gridCol w:w="675"/>
        <w:gridCol w:w="345"/>
        <w:gridCol w:w="675"/>
        <w:gridCol w:w="675"/>
        <w:gridCol w:w="345"/>
        <w:gridCol w:w="675"/>
        <w:gridCol w:w="675"/>
        <w:gridCol w:w="345"/>
        <w:gridCol w:w="675"/>
        <w:gridCol w:w="676"/>
        <w:gridCol w:w="346"/>
      </w:tblGrid>
      <w:tr w14:paraId="0073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5"/>
            <w:tcBorders>
              <w:top w:val="nil"/>
              <w:left w:val="nil"/>
              <w:bottom w:val="nil"/>
              <w:right w:val="nil"/>
            </w:tcBorders>
            <w:vAlign w:val="center"/>
          </w:tcPr>
          <w:p w14:paraId="6B350E18">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委托单位：                        监测单位：                            报表编号：</w:t>
            </w:r>
          </w:p>
        </w:tc>
      </w:tr>
      <w:tr w14:paraId="43E6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5"/>
            <w:tcBorders>
              <w:top w:val="nil"/>
              <w:left w:val="nil"/>
              <w:bottom w:val="nil"/>
              <w:right w:val="nil"/>
            </w:tcBorders>
            <w:vAlign w:val="center"/>
          </w:tcPr>
          <w:p w14:paraId="02ADFC7D">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工程名称：                        工程地点：                            天气：</w:t>
            </w:r>
          </w:p>
        </w:tc>
      </w:tr>
      <w:tr w14:paraId="53FE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5"/>
            <w:tcBorders>
              <w:top w:val="nil"/>
              <w:left w:val="nil"/>
              <w:bottom w:val="nil"/>
              <w:right w:val="nil"/>
            </w:tcBorders>
            <w:vAlign w:val="center"/>
          </w:tcPr>
          <w:p w14:paraId="7FFDA3B8">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仪器名称及编号：                                观测依据：</w:t>
            </w:r>
          </w:p>
        </w:tc>
      </w:tr>
      <w:tr w14:paraId="2690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5"/>
            <w:tcBorders>
              <w:top w:val="single" w:color="auto" w:sz="4" w:space="0"/>
              <w:left w:val="single" w:color="000000" w:sz="4" w:space="0"/>
              <w:bottom w:val="single" w:color="000000" w:sz="4" w:space="0"/>
              <w:right w:val="single" w:color="000000" w:sz="4" w:space="0"/>
            </w:tcBorders>
            <w:shd w:val="clear" w:color="000000" w:fill="D9D9D9"/>
            <w:vAlign w:val="center"/>
          </w:tcPr>
          <w:p w14:paraId="66DB91A7">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监测数据成果汇总</w:t>
            </w:r>
          </w:p>
        </w:tc>
      </w:tr>
      <w:tr w14:paraId="3F7EB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22" w:type="pct"/>
            <w:vMerge w:val="restart"/>
            <w:tcBorders>
              <w:top w:val="nil"/>
              <w:left w:val="single" w:color="000000" w:sz="4" w:space="0"/>
              <w:bottom w:val="single" w:color="000000" w:sz="4" w:space="0"/>
              <w:right w:val="single" w:color="000000" w:sz="4" w:space="0"/>
              <w:tl2br w:val="single" w:color="000000" w:sz="4" w:space="0"/>
            </w:tcBorders>
            <w:shd w:val="clear" w:color="auto" w:fill="auto"/>
          </w:tcPr>
          <w:p w14:paraId="695F14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时间</w:t>
            </w:r>
          </w:p>
          <w:p w14:paraId="54A84E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p>
          <w:p w14:paraId="5CA1F40F">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14:paraId="6B24ADAF">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14:paraId="68ACBDEF">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14:paraId="624D73E6">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测点</w:t>
            </w:r>
          </w:p>
        </w:tc>
        <w:tc>
          <w:tcPr>
            <w:tcW w:w="442" w:type="pct"/>
            <w:vMerge w:val="restart"/>
            <w:tcBorders>
              <w:top w:val="nil"/>
              <w:left w:val="single" w:color="000000" w:sz="4" w:space="0"/>
              <w:bottom w:val="single" w:color="000000" w:sz="4" w:space="0"/>
              <w:right w:val="single" w:color="000000" w:sz="4" w:space="0"/>
            </w:tcBorders>
            <w:shd w:val="clear" w:color="auto" w:fill="auto"/>
            <w:vAlign w:val="center"/>
          </w:tcPr>
          <w:p w14:paraId="1EC202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建筑物               高度（观测高度）     (m)</w:t>
            </w:r>
          </w:p>
        </w:tc>
        <w:tc>
          <w:tcPr>
            <w:tcW w:w="391" w:type="pct"/>
            <w:vMerge w:val="restart"/>
            <w:tcBorders>
              <w:top w:val="nil"/>
              <w:left w:val="single" w:color="000000" w:sz="4" w:space="0"/>
              <w:bottom w:val="single" w:color="000000" w:sz="4" w:space="0"/>
              <w:right w:val="single" w:color="000000" w:sz="4" w:space="0"/>
            </w:tcBorders>
            <w:shd w:val="clear" w:color="auto" w:fill="auto"/>
            <w:vAlign w:val="center"/>
          </w:tcPr>
          <w:p w14:paraId="45C82E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初始</w:t>
            </w:r>
          </w:p>
          <w:p w14:paraId="5594A0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绝对倾斜率（‰）</w:t>
            </w:r>
          </w:p>
        </w:tc>
        <w:tc>
          <w:tcPr>
            <w:tcW w:w="940" w:type="pct"/>
            <w:gridSpan w:val="3"/>
            <w:tcBorders>
              <w:top w:val="single" w:color="000000" w:sz="4" w:space="0"/>
              <w:left w:val="nil"/>
              <w:bottom w:val="single" w:color="000000" w:sz="4" w:space="0"/>
              <w:right w:val="single" w:color="000000" w:sz="4" w:space="0"/>
            </w:tcBorders>
            <w:shd w:val="clear" w:color="auto" w:fill="auto"/>
            <w:vAlign w:val="center"/>
          </w:tcPr>
          <w:p w14:paraId="209555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940" w:type="pct"/>
            <w:gridSpan w:val="3"/>
            <w:tcBorders>
              <w:top w:val="nil"/>
              <w:left w:val="nil"/>
              <w:bottom w:val="single" w:color="000000" w:sz="4" w:space="0"/>
              <w:right w:val="single" w:color="000000" w:sz="4" w:space="0"/>
            </w:tcBorders>
            <w:shd w:val="clear" w:color="auto" w:fill="auto"/>
            <w:vAlign w:val="center"/>
          </w:tcPr>
          <w:p w14:paraId="11C97A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940" w:type="pct"/>
            <w:gridSpan w:val="3"/>
            <w:tcBorders>
              <w:top w:val="nil"/>
              <w:left w:val="nil"/>
              <w:bottom w:val="single" w:color="000000" w:sz="4" w:space="0"/>
              <w:right w:val="single" w:color="000000" w:sz="4" w:space="0"/>
            </w:tcBorders>
            <w:shd w:val="clear" w:color="auto" w:fill="auto"/>
            <w:vAlign w:val="center"/>
          </w:tcPr>
          <w:p w14:paraId="089CEE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21" w:type="pct"/>
            <w:gridSpan w:val="3"/>
            <w:tcBorders>
              <w:top w:val="nil"/>
              <w:left w:val="nil"/>
              <w:bottom w:val="single" w:color="000000" w:sz="4" w:space="0"/>
              <w:right w:val="single" w:color="000000" w:sz="4" w:space="0"/>
            </w:tcBorders>
            <w:shd w:val="clear" w:color="auto" w:fill="auto"/>
            <w:vAlign w:val="center"/>
          </w:tcPr>
          <w:p w14:paraId="587288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r>
      <w:tr w14:paraId="777D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22" w:type="pct"/>
            <w:vMerge w:val="continue"/>
            <w:tcBorders>
              <w:top w:val="nil"/>
              <w:left w:val="single" w:color="000000" w:sz="4" w:space="0"/>
              <w:bottom w:val="single" w:color="000000" w:sz="4" w:space="0"/>
              <w:right w:val="single" w:color="000000" w:sz="4" w:space="0"/>
            </w:tcBorders>
            <w:vAlign w:val="center"/>
          </w:tcPr>
          <w:p w14:paraId="636858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442" w:type="pct"/>
            <w:vMerge w:val="continue"/>
            <w:tcBorders>
              <w:top w:val="nil"/>
              <w:left w:val="single" w:color="000000" w:sz="4" w:space="0"/>
              <w:bottom w:val="single" w:color="000000" w:sz="4" w:space="0"/>
              <w:right w:val="single" w:color="000000" w:sz="4" w:space="0"/>
            </w:tcBorders>
            <w:vAlign w:val="center"/>
          </w:tcPr>
          <w:p w14:paraId="60C9B9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91" w:type="pct"/>
            <w:vMerge w:val="continue"/>
            <w:tcBorders>
              <w:top w:val="nil"/>
              <w:left w:val="single" w:color="000000" w:sz="4" w:space="0"/>
              <w:bottom w:val="single" w:color="000000" w:sz="4" w:space="0"/>
              <w:right w:val="single" w:color="000000" w:sz="4" w:space="0"/>
            </w:tcBorders>
            <w:vAlign w:val="center"/>
          </w:tcPr>
          <w:p w14:paraId="1F77AD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940" w:type="pct"/>
            <w:gridSpan w:val="3"/>
            <w:tcBorders>
              <w:top w:val="single" w:color="000000" w:sz="4" w:space="0"/>
              <w:left w:val="nil"/>
              <w:bottom w:val="single" w:color="000000" w:sz="4" w:space="0"/>
              <w:right w:val="single" w:color="000000" w:sz="4" w:space="0"/>
            </w:tcBorders>
            <w:shd w:val="clear" w:color="auto" w:fill="auto"/>
            <w:vAlign w:val="center"/>
          </w:tcPr>
          <w:p w14:paraId="5899B2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940" w:type="pct"/>
            <w:gridSpan w:val="3"/>
            <w:tcBorders>
              <w:top w:val="nil"/>
              <w:left w:val="nil"/>
              <w:bottom w:val="single" w:color="000000" w:sz="4" w:space="0"/>
              <w:right w:val="single" w:color="000000" w:sz="4" w:space="0"/>
            </w:tcBorders>
            <w:shd w:val="clear" w:color="auto" w:fill="auto"/>
            <w:vAlign w:val="center"/>
          </w:tcPr>
          <w:p w14:paraId="78957A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940" w:type="pct"/>
            <w:gridSpan w:val="3"/>
            <w:tcBorders>
              <w:top w:val="nil"/>
              <w:left w:val="nil"/>
              <w:bottom w:val="single" w:color="000000" w:sz="4" w:space="0"/>
              <w:right w:val="single" w:color="000000" w:sz="4" w:space="0"/>
            </w:tcBorders>
            <w:shd w:val="clear" w:color="auto" w:fill="auto"/>
            <w:vAlign w:val="center"/>
          </w:tcPr>
          <w:p w14:paraId="34C78B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21" w:type="pct"/>
            <w:gridSpan w:val="3"/>
            <w:tcBorders>
              <w:top w:val="nil"/>
              <w:left w:val="nil"/>
              <w:bottom w:val="single" w:color="000000" w:sz="4" w:space="0"/>
              <w:right w:val="single" w:color="000000" w:sz="4" w:space="0"/>
            </w:tcBorders>
            <w:shd w:val="clear" w:color="auto" w:fill="auto"/>
            <w:vAlign w:val="center"/>
          </w:tcPr>
          <w:p w14:paraId="23919A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r>
      <w:tr w14:paraId="2C94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322" w:type="pct"/>
            <w:vMerge w:val="continue"/>
            <w:tcBorders>
              <w:top w:val="nil"/>
              <w:left w:val="single" w:color="000000" w:sz="4" w:space="0"/>
              <w:bottom w:val="single" w:color="000000" w:sz="4" w:space="0"/>
              <w:right w:val="single" w:color="000000" w:sz="4" w:space="0"/>
            </w:tcBorders>
            <w:vAlign w:val="center"/>
          </w:tcPr>
          <w:p w14:paraId="03B904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442" w:type="pct"/>
            <w:vMerge w:val="continue"/>
            <w:tcBorders>
              <w:top w:val="nil"/>
              <w:left w:val="single" w:color="000000" w:sz="4" w:space="0"/>
              <w:bottom w:val="single" w:color="000000" w:sz="4" w:space="0"/>
              <w:right w:val="single" w:color="000000" w:sz="4" w:space="0"/>
            </w:tcBorders>
            <w:vAlign w:val="center"/>
          </w:tcPr>
          <w:p w14:paraId="646BC2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91" w:type="pct"/>
            <w:vMerge w:val="continue"/>
            <w:tcBorders>
              <w:top w:val="nil"/>
              <w:left w:val="single" w:color="000000" w:sz="4" w:space="0"/>
              <w:bottom w:val="single" w:color="000000" w:sz="4" w:space="0"/>
              <w:right w:val="single" w:color="000000" w:sz="4" w:space="0"/>
            </w:tcBorders>
            <w:vAlign w:val="center"/>
          </w:tcPr>
          <w:p w14:paraId="0FFB5F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13" w:type="pct"/>
            <w:tcBorders>
              <w:top w:val="nil"/>
              <w:left w:val="single" w:color="000000" w:sz="4" w:space="0"/>
              <w:bottom w:val="single" w:color="000000" w:sz="4" w:space="0"/>
              <w:right w:val="single" w:color="000000" w:sz="4" w:space="0"/>
            </w:tcBorders>
            <w:shd w:val="clear" w:color="auto" w:fill="auto"/>
            <w:vAlign w:val="center"/>
          </w:tcPr>
          <w:p w14:paraId="1A8589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p>
        </w:tc>
        <w:tc>
          <w:tcPr>
            <w:tcW w:w="313" w:type="pct"/>
            <w:tcBorders>
              <w:top w:val="nil"/>
              <w:left w:val="single" w:color="000000" w:sz="4" w:space="0"/>
              <w:bottom w:val="single" w:color="000000" w:sz="4" w:space="0"/>
              <w:right w:val="single" w:color="000000" w:sz="4" w:space="0"/>
            </w:tcBorders>
            <w:shd w:val="clear" w:color="auto" w:fill="auto"/>
            <w:vAlign w:val="center"/>
          </w:tcPr>
          <w:p w14:paraId="66DE1C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w:t>
            </w:r>
            <w:r>
              <w:rPr>
                <w:rFonts w:ascii="Times New Roman" w:hAnsi="Times New Roman" w:cs="Times New Roman"/>
                <w:color w:val="000000"/>
                <w:kern w:val="0"/>
                <w:sz w:val="14"/>
                <w:szCs w:val="14"/>
                <w:highlight w:val="none"/>
              </w:rPr>
              <w:t>m</w:t>
            </w:r>
            <w:r>
              <w:rPr>
                <w:rFonts w:hint="eastAsia" w:ascii="Times New Roman" w:hAnsi="Times New Roman" w:cs="Times New Roman"/>
                <w:color w:val="000000"/>
                <w:kern w:val="0"/>
                <w:sz w:val="14"/>
                <w:szCs w:val="14"/>
                <w:highlight w:val="none"/>
              </w:rPr>
              <w:t>）</w:t>
            </w:r>
          </w:p>
        </w:tc>
        <w:tc>
          <w:tcPr>
            <w:tcW w:w="313" w:type="pct"/>
            <w:tcBorders>
              <w:top w:val="nil"/>
              <w:left w:val="single" w:color="000000" w:sz="4" w:space="0"/>
              <w:bottom w:val="single" w:color="auto" w:sz="4" w:space="0"/>
              <w:right w:val="single" w:color="000000" w:sz="4" w:space="0"/>
            </w:tcBorders>
            <w:shd w:val="clear" w:color="auto" w:fill="auto"/>
            <w:vAlign w:val="center"/>
          </w:tcPr>
          <w:p w14:paraId="59EF36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相对倾斜率</w:t>
            </w:r>
          </w:p>
        </w:tc>
        <w:tc>
          <w:tcPr>
            <w:tcW w:w="313" w:type="pct"/>
            <w:tcBorders>
              <w:top w:val="nil"/>
              <w:left w:val="nil"/>
              <w:bottom w:val="single" w:color="auto" w:sz="4" w:space="0"/>
              <w:right w:val="single" w:color="000000" w:sz="4" w:space="0"/>
            </w:tcBorders>
            <w:shd w:val="clear" w:color="auto" w:fill="auto"/>
            <w:vAlign w:val="center"/>
          </w:tcPr>
          <w:p w14:paraId="1BC05F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w:t>
            </w:r>
            <w:r>
              <w:rPr>
                <w:rFonts w:ascii="Times New Roman" w:hAnsi="Times New Roman" w:cs="Times New Roman"/>
                <w:color w:val="000000"/>
                <w:kern w:val="0"/>
                <w:sz w:val="14"/>
                <w:szCs w:val="14"/>
                <w:highlight w:val="none"/>
              </w:rPr>
              <w:t>m</w:t>
            </w:r>
            <w:r>
              <w:rPr>
                <w:rFonts w:hint="eastAsia" w:ascii="Times New Roman" w:hAnsi="Times New Roman" w:cs="Times New Roman"/>
                <w:color w:val="000000"/>
                <w:kern w:val="0"/>
                <w:sz w:val="14"/>
                <w:szCs w:val="14"/>
                <w:highlight w:val="none"/>
              </w:rPr>
              <w:t>）</w:t>
            </w:r>
          </w:p>
        </w:tc>
        <w:tc>
          <w:tcPr>
            <w:tcW w:w="313" w:type="pct"/>
            <w:tcBorders>
              <w:top w:val="nil"/>
              <w:left w:val="nil"/>
              <w:bottom w:val="single" w:color="auto" w:sz="4" w:space="0"/>
              <w:right w:val="single" w:color="000000" w:sz="4" w:space="0"/>
            </w:tcBorders>
            <w:shd w:val="clear" w:color="auto" w:fill="auto"/>
            <w:vAlign w:val="center"/>
          </w:tcPr>
          <w:p w14:paraId="630372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w:t>
            </w:r>
            <w:r>
              <w:rPr>
                <w:rFonts w:ascii="Times New Roman" w:hAnsi="Times New Roman" w:cs="Times New Roman"/>
                <w:color w:val="000000"/>
                <w:kern w:val="0"/>
                <w:sz w:val="14"/>
                <w:szCs w:val="14"/>
                <w:highlight w:val="none"/>
              </w:rPr>
              <w:t>m</w:t>
            </w:r>
            <w:r>
              <w:rPr>
                <w:rFonts w:hint="eastAsia" w:ascii="Times New Roman" w:hAnsi="Times New Roman" w:cs="Times New Roman"/>
                <w:color w:val="000000"/>
                <w:kern w:val="0"/>
                <w:sz w:val="14"/>
                <w:szCs w:val="14"/>
                <w:highlight w:val="none"/>
              </w:rPr>
              <w:t>）</w:t>
            </w:r>
          </w:p>
        </w:tc>
        <w:tc>
          <w:tcPr>
            <w:tcW w:w="313" w:type="pct"/>
            <w:tcBorders>
              <w:top w:val="nil"/>
              <w:left w:val="nil"/>
              <w:bottom w:val="single" w:color="auto" w:sz="4" w:space="0"/>
              <w:right w:val="single" w:color="000000" w:sz="4" w:space="0"/>
            </w:tcBorders>
            <w:shd w:val="clear" w:color="auto" w:fill="auto"/>
            <w:vAlign w:val="center"/>
          </w:tcPr>
          <w:p w14:paraId="03EE97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相对倾斜率</w:t>
            </w:r>
          </w:p>
        </w:tc>
        <w:tc>
          <w:tcPr>
            <w:tcW w:w="313" w:type="pct"/>
            <w:tcBorders>
              <w:top w:val="nil"/>
              <w:left w:val="nil"/>
              <w:bottom w:val="single" w:color="auto" w:sz="4" w:space="0"/>
              <w:right w:val="single" w:color="000000" w:sz="4" w:space="0"/>
            </w:tcBorders>
            <w:shd w:val="clear" w:color="auto" w:fill="auto"/>
            <w:vAlign w:val="center"/>
          </w:tcPr>
          <w:p w14:paraId="37FF3B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w:t>
            </w:r>
            <w:r>
              <w:rPr>
                <w:rFonts w:ascii="Times New Roman" w:hAnsi="Times New Roman" w:cs="Times New Roman"/>
                <w:color w:val="000000"/>
                <w:kern w:val="0"/>
                <w:sz w:val="14"/>
                <w:szCs w:val="14"/>
                <w:highlight w:val="none"/>
              </w:rPr>
              <w:t>m</w:t>
            </w:r>
            <w:r>
              <w:rPr>
                <w:rFonts w:hint="eastAsia" w:ascii="Times New Roman" w:hAnsi="Times New Roman" w:cs="Times New Roman"/>
                <w:color w:val="000000"/>
                <w:kern w:val="0"/>
                <w:sz w:val="14"/>
                <w:szCs w:val="14"/>
                <w:highlight w:val="none"/>
              </w:rPr>
              <w:t>）</w:t>
            </w:r>
          </w:p>
        </w:tc>
        <w:tc>
          <w:tcPr>
            <w:tcW w:w="313" w:type="pct"/>
            <w:tcBorders>
              <w:top w:val="nil"/>
              <w:left w:val="nil"/>
              <w:bottom w:val="single" w:color="auto" w:sz="4" w:space="0"/>
              <w:right w:val="single" w:color="000000" w:sz="4" w:space="0"/>
            </w:tcBorders>
            <w:shd w:val="clear" w:color="auto" w:fill="auto"/>
            <w:vAlign w:val="center"/>
          </w:tcPr>
          <w:p w14:paraId="56855F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w:t>
            </w:r>
            <w:r>
              <w:rPr>
                <w:rFonts w:ascii="Times New Roman" w:hAnsi="Times New Roman" w:cs="Times New Roman"/>
                <w:color w:val="000000"/>
                <w:kern w:val="0"/>
                <w:sz w:val="14"/>
                <w:szCs w:val="14"/>
                <w:highlight w:val="none"/>
              </w:rPr>
              <w:t>m</w:t>
            </w:r>
            <w:r>
              <w:rPr>
                <w:rFonts w:hint="eastAsia" w:ascii="Times New Roman" w:hAnsi="Times New Roman" w:cs="Times New Roman"/>
                <w:color w:val="000000"/>
                <w:kern w:val="0"/>
                <w:sz w:val="14"/>
                <w:szCs w:val="14"/>
                <w:highlight w:val="none"/>
              </w:rPr>
              <w:t>）</w:t>
            </w:r>
          </w:p>
        </w:tc>
        <w:tc>
          <w:tcPr>
            <w:tcW w:w="313" w:type="pct"/>
            <w:tcBorders>
              <w:top w:val="nil"/>
              <w:left w:val="nil"/>
              <w:bottom w:val="single" w:color="auto" w:sz="4" w:space="0"/>
              <w:right w:val="single" w:color="000000" w:sz="4" w:space="0"/>
            </w:tcBorders>
            <w:shd w:val="clear" w:color="auto" w:fill="auto"/>
            <w:vAlign w:val="center"/>
          </w:tcPr>
          <w:p w14:paraId="76AE6E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相对倾斜率</w:t>
            </w:r>
          </w:p>
        </w:tc>
        <w:tc>
          <w:tcPr>
            <w:tcW w:w="391" w:type="pct"/>
            <w:tcBorders>
              <w:top w:val="nil"/>
              <w:left w:val="nil"/>
              <w:bottom w:val="single" w:color="auto" w:sz="4" w:space="0"/>
              <w:right w:val="single" w:color="000000" w:sz="4" w:space="0"/>
            </w:tcBorders>
            <w:shd w:val="clear" w:color="auto" w:fill="auto"/>
            <w:vAlign w:val="center"/>
          </w:tcPr>
          <w:p w14:paraId="2BB429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w:t>
            </w:r>
            <w:r>
              <w:rPr>
                <w:rFonts w:ascii="Times New Roman" w:hAnsi="Times New Roman" w:cs="Times New Roman"/>
                <w:color w:val="000000"/>
                <w:kern w:val="0"/>
                <w:sz w:val="14"/>
                <w:szCs w:val="14"/>
                <w:highlight w:val="none"/>
              </w:rPr>
              <w:t>m</w:t>
            </w:r>
            <w:r>
              <w:rPr>
                <w:rFonts w:hint="eastAsia" w:ascii="Times New Roman" w:hAnsi="Times New Roman" w:cs="Times New Roman"/>
                <w:color w:val="000000"/>
                <w:kern w:val="0"/>
                <w:sz w:val="14"/>
                <w:szCs w:val="14"/>
                <w:highlight w:val="none"/>
              </w:rPr>
              <w:t>）</w:t>
            </w:r>
          </w:p>
        </w:tc>
        <w:tc>
          <w:tcPr>
            <w:tcW w:w="342" w:type="pct"/>
            <w:tcBorders>
              <w:top w:val="nil"/>
              <w:left w:val="nil"/>
              <w:bottom w:val="single" w:color="auto" w:sz="4" w:space="0"/>
              <w:right w:val="single" w:color="000000" w:sz="4" w:space="0"/>
            </w:tcBorders>
            <w:shd w:val="clear" w:color="auto" w:fill="auto"/>
            <w:vAlign w:val="center"/>
          </w:tcPr>
          <w:p w14:paraId="1FDD5A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w:t>
            </w:r>
            <w:r>
              <w:rPr>
                <w:rFonts w:ascii="Times New Roman" w:hAnsi="Times New Roman" w:cs="Times New Roman"/>
                <w:color w:val="000000"/>
                <w:kern w:val="0"/>
                <w:sz w:val="14"/>
                <w:szCs w:val="14"/>
                <w:highlight w:val="none"/>
              </w:rPr>
              <w:t>m</w:t>
            </w:r>
            <w:r>
              <w:rPr>
                <w:rFonts w:hint="eastAsia" w:ascii="Times New Roman" w:hAnsi="Times New Roman" w:cs="Times New Roman"/>
                <w:color w:val="000000"/>
                <w:kern w:val="0"/>
                <w:sz w:val="14"/>
                <w:szCs w:val="14"/>
                <w:highlight w:val="none"/>
              </w:rPr>
              <w:t>）</w:t>
            </w:r>
          </w:p>
        </w:tc>
        <w:tc>
          <w:tcPr>
            <w:tcW w:w="287" w:type="pct"/>
            <w:tcBorders>
              <w:top w:val="nil"/>
              <w:left w:val="nil"/>
              <w:bottom w:val="single" w:color="auto" w:sz="4" w:space="0"/>
              <w:right w:val="single" w:color="000000" w:sz="4" w:space="0"/>
            </w:tcBorders>
            <w:shd w:val="clear" w:color="auto" w:fill="auto"/>
            <w:vAlign w:val="center"/>
          </w:tcPr>
          <w:p w14:paraId="42967F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相对倾斜率</w:t>
            </w:r>
          </w:p>
        </w:tc>
      </w:tr>
      <w:tr w14:paraId="43F8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14:paraId="7FEF0C6B">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14:paraId="4397AC82">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14:paraId="2E7517F8">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00236249">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33ED6E1C">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0A8B4019">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7ADB57D2">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4EA89854">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0016D02B">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0AE620D6">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611922B7">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4BBC02A8">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14:paraId="36A40BD2">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14:paraId="3C01B007">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14:paraId="318FF486">
            <w:pPr>
              <w:widowControl/>
              <w:spacing w:line="240" w:lineRule="auto"/>
              <w:jc w:val="center"/>
              <w:rPr>
                <w:rFonts w:ascii="Times New Roman" w:hAnsi="Times New Roman" w:cs="Times New Roman"/>
                <w:color w:val="000000"/>
                <w:kern w:val="0"/>
                <w:sz w:val="14"/>
                <w:szCs w:val="14"/>
                <w:highlight w:val="none"/>
              </w:rPr>
            </w:pPr>
          </w:p>
        </w:tc>
      </w:tr>
      <w:tr w14:paraId="3599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14:paraId="03E220E2">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14:paraId="7FC23185">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14:paraId="36F6502F">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19611083">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739A81E7">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1C1DD207">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781DB380">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05B6C8A2">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4ECB4EEF">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46436CF8">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4E6B6430">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2027D30F">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14:paraId="56BD6093">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14:paraId="528C030C">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14:paraId="6C8C62D8">
            <w:pPr>
              <w:widowControl/>
              <w:spacing w:line="240" w:lineRule="auto"/>
              <w:jc w:val="center"/>
              <w:rPr>
                <w:rFonts w:ascii="Times New Roman" w:hAnsi="Times New Roman" w:cs="Times New Roman"/>
                <w:color w:val="000000"/>
                <w:kern w:val="0"/>
                <w:sz w:val="14"/>
                <w:szCs w:val="14"/>
                <w:highlight w:val="none"/>
              </w:rPr>
            </w:pPr>
          </w:p>
        </w:tc>
      </w:tr>
      <w:tr w14:paraId="05D7C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14:paraId="13E20A5A">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14:paraId="727EBDC3">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14:paraId="0F3BC8A6">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3067943C">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09BD3370">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6646A676">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62DE78BD">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279C56FB">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6E9330BC">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02D71AC4">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6A3596A9">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52903E15">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14:paraId="22952289">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14:paraId="43B399F9">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14:paraId="2F94CCB4">
            <w:pPr>
              <w:widowControl/>
              <w:spacing w:line="240" w:lineRule="auto"/>
              <w:jc w:val="center"/>
              <w:rPr>
                <w:rFonts w:ascii="Times New Roman" w:hAnsi="Times New Roman" w:cs="Times New Roman"/>
                <w:color w:val="000000"/>
                <w:kern w:val="0"/>
                <w:sz w:val="14"/>
                <w:szCs w:val="14"/>
                <w:highlight w:val="none"/>
              </w:rPr>
            </w:pPr>
          </w:p>
        </w:tc>
      </w:tr>
      <w:tr w14:paraId="7E50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14:paraId="2D92EF29">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14:paraId="3668B4B7">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14:paraId="297F70B7">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768B0B2D">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02F18ADF">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0FF97F4A">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37D8F86B">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55EFDDB0">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23D1C272">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7B60D419">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203493C0">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615CC6EE">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14:paraId="03FEB9A4">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14:paraId="03A6EA14">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14:paraId="46C23B85">
            <w:pPr>
              <w:widowControl/>
              <w:spacing w:line="240" w:lineRule="auto"/>
              <w:jc w:val="center"/>
              <w:rPr>
                <w:rFonts w:ascii="Times New Roman" w:hAnsi="Times New Roman" w:cs="Times New Roman"/>
                <w:color w:val="000000"/>
                <w:kern w:val="0"/>
                <w:sz w:val="14"/>
                <w:szCs w:val="14"/>
                <w:highlight w:val="none"/>
              </w:rPr>
            </w:pPr>
          </w:p>
        </w:tc>
      </w:tr>
      <w:tr w14:paraId="3201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14:paraId="7E1BD7EB">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14:paraId="497A184F">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14:paraId="2EF39A23">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14817B42">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6B6F1D48">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1847D67A">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28FD780B">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191E4BD2">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629003E5">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31A6FF33">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62F37FBE">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3A979EF2">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14:paraId="21CA7366">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14:paraId="3B89652A">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14:paraId="4C8BEB5B">
            <w:pPr>
              <w:widowControl/>
              <w:spacing w:line="240" w:lineRule="auto"/>
              <w:jc w:val="center"/>
              <w:rPr>
                <w:rFonts w:ascii="Times New Roman" w:hAnsi="Times New Roman" w:cs="Times New Roman"/>
                <w:color w:val="000000"/>
                <w:kern w:val="0"/>
                <w:sz w:val="14"/>
                <w:szCs w:val="14"/>
                <w:highlight w:val="none"/>
              </w:rPr>
            </w:pPr>
          </w:p>
        </w:tc>
      </w:tr>
      <w:tr w14:paraId="0075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14:paraId="5F6CF767">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14:paraId="25A9C532">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14:paraId="072C45D3">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4292F153">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57819A4B">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3D1F684B">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4950F476">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149507CB">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5E8F82AF">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489B13EC">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CADE">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0FD8410B">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14:paraId="26D25927">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14:paraId="34DF0A2A">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14:paraId="4738E74D">
            <w:pPr>
              <w:widowControl/>
              <w:spacing w:line="240" w:lineRule="auto"/>
              <w:jc w:val="center"/>
              <w:rPr>
                <w:rFonts w:ascii="Times New Roman" w:hAnsi="Times New Roman" w:cs="Times New Roman"/>
                <w:color w:val="000000"/>
                <w:kern w:val="0"/>
                <w:sz w:val="14"/>
                <w:szCs w:val="14"/>
                <w:highlight w:val="none"/>
              </w:rPr>
            </w:pPr>
          </w:p>
        </w:tc>
      </w:tr>
      <w:tr w14:paraId="2BB9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14:paraId="1DFEFFAD">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14:paraId="321C5D17">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14:paraId="7C85BC06">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3080A0F9">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213409C2">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3092F652">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459E48C9">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74B0D29A">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779B5DF8">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702CC407">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595EB616">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72E55987">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14:paraId="3D1189F2">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14:paraId="396D5E94">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14:paraId="05429412">
            <w:pPr>
              <w:widowControl/>
              <w:spacing w:line="240" w:lineRule="auto"/>
              <w:jc w:val="center"/>
              <w:rPr>
                <w:rFonts w:ascii="Times New Roman" w:hAnsi="Times New Roman" w:cs="Times New Roman"/>
                <w:color w:val="000000"/>
                <w:kern w:val="0"/>
                <w:sz w:val="14"/>
                <w:szCs w:val="14"/>
                <w:highlight w:val="none"/>
              </w:rPr>
            </w:pPr>
          </w:p>
        </w:tc>
      </w:tr>
      <w:tr w14:paraId="4286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14:paraId="05FDEC9D">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14:paraId="59C7AEB9">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14:paraId="01C9EE7F">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2C7ACF7D">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47DBACDB">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55C41891">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2F2E2345">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5040D049">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0EED4F7E">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2295ACB2">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2D9641ED">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5D5F6769">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14:paraId="65F352B1">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14:paraId="579DE3CC">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14:paraId="5561C8D1">
            <w:pPr>
              <w:widowControl/>
              <w:spacing w:line="240" w:lineRule="auto"/>
              <w:jc w:val="center"/>
              <w:rPr>
                <w:rFonts w:ascii="Times New Roman" w:hAnsi="Times New Roman" w:cs="Times New Roman"/>
                <w:color w:val="000000"/>
                <w:kern w:val="0"/>
                <w:sz w:val="14"/>
                <w:szCs w:val="14"/>
                <w:highlight w:val="none"/>
              </w:rPr>
            </w:pPr>
          </w:p>
        </w:tc>
      </w:tr>
      <w:tr w14:paraId="39FA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14:paraId="2C1D41B1">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14:paraId="4BFFA5C4">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14:paraId="56347265">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6B6D8286">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2A2B3E46">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20331960">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1CEC2F6A">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5FEBE508">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0031780E">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49DBE7CB">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3D7F99D1">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79CB7F78">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14:paraId="7D73D7D8">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14:paraId="6ADB2C86">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14:paraId="5C405612">
            <w:pPr>
              <w:widowControl/>
              <w:spacing w:line="240" w:lineRule="auto"/>
              <w:jc w:val="center"/>
              <w:rPr>
                <w:rFonts w:ascii="Times New Roman" w:hAnsi="Times New Roman" w:cs="Times New Roman"/>
                <w:color w:val="000000"/>
                <w:kern w:val="0"/>
                <w:sz w:val="14"/>
                <w:szCs w:val="14"/>
                <w:highlight w:val="none"/>
              </w:rPr>
            </w:pPr>
          </w:p>
        </w:tc>
      </w:tr>
      <w:tr w14:paraId="3C64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14:paraId="58B4CA08">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14:paraId="4EFC0F2B">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14:paraId="44596E3E">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79A9363D">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7566BC45">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55A99A30">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42927519">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496EDC5B">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6A781B28">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52C37121">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00F1B32E">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3EE9CEA4">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14:paraId="023F57D2">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14:paraId="1B8976B4">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14:paraId="51EEA221">
            <w:pPr>
              <w:widowControl/>
              <w:spacing w:line="240" w:lineRule="auto"/>
              <w:jc w:val="center"/>
              <w:rPr>
                <w:rFonts w:ascii="Times New Roman" w:hAnsi="Times New Roman" w:cs="Times New Roman"/>
                <w:color w:val="000000"/>
                <w:kern w:val="0"/>
                <w:sz w:val="14"/>
                <w:szCs w:val="14"/>
                <w:highlight w:val="none"/>
              </w:rPr>
            </w:pPr>
          </w:p>
        </w:tc>
      </w:tr>
      <w:tr w14:paraId="7F0BA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14:paraId="132B0F50">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14:paraId="32BEFCB6">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14:paraId="40A2F19E">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29184E1D">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765FD8D3">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66672BB7">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0A32830A">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799418AB">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1182920B">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21D32EBD">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7CCC4D1F">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4486EE57">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14:paraId="43397A32">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14:paraId="536F86A7">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14:paraId="287C5D21">
            <w:pPr>
              <w:widowControl/>
              <w:spacing w:line="240" w:lineRule="auto"/>
              <w:jc w:val="center"/>
              <w:rPr>
                <w:rFonts w:ascii="Times New Roman" w:hAnsi="Times New Roman" w:cs="Times New Roman"/>
                <w:color w:val="000000"/>
                <w:kern w:val="0"/>
                <w:sz w:val="14"/>
                <w:szCs w:val="14"/>
                <w:highlight w:val="none"/>
              </w:rPr>
            </w:pPr>
          </w:p>
        </w:tc>
      </w:tr>
      <w:tr w14:paraId="6AAC8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14:paraId="7A87A89C">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14:paraId="06AE1AAA">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14:paraId="025232E6">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02CBE09F">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4783568B">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4575CA13">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232182D8">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78480CDE">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6C811F8C">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3E6D43B2">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07EC25ED">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14:paraId="105BF935">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14:paraId="061E55F4">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14:paraId="423B1A38">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14:paraId="7D64C30B">
            <w:pPr>
              <w:widowControl/>
              <w:spacing w:line="240" w:lineRule="auto"/>
              <w:jc w:val="center"/>
              <w:rPr>
                <w:rFonts w:ascii="Times New Roman" w:hAnsi="Times New Roman" w:cs="Times New Roman"/>
                <w:color w:val="000000"/>
                <w:kern w:val="0"/>
                <w:sz w:val="14"/>
                <w:szCs w:val="14"/>
                <w:highlight w:val="none"/>
              </w:rPr>
            </w:pPr>
          </w:p>
        </w:tc>
      </w:tr>
      <w:tr w14:paraId="6BBC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trPr>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7EA1">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工况简述</w:t>
            </w:r>
          </w:p>
        </w:tc>
        <w:tc>
          <w:tcPr>
            <w:tcW w:w="1332" w:type="pct"/>
            <w:gridSpan w:val="4"/>
            <w:tcBorders>
              <w:top w:val="single" w:color="000000" w:sz="4" w:space="0"/>
              <w:left w:val="nil"/>
              <w:bottom w:val="single" w:color="000000" w:sz="4" w:space="0"/>
              <w:right w:val="single" w:color="000000" w:sz="4" w:space="0"/>
            </w:tcBorders>
            <w:shd w:val="clear" w:color="auto" w:fill="auto"/>
            <w:noWrap/>
            <w:vAlign w:val="center"/>
          </w:tcPr>
          <w:p w14:paraId="1ACFCF0E">
            <w:pPr>
              <w:widowControl/>
              <w:spacing w:line="240" w:lineRule="auto"/>
              <w:jc w:val="center"/>
              <w:rPr>
                <w:rFonts w:ascii="Times New Roman" w:hAnsi="Times New Roman" w:cs="Times New Roman"/>
                <w:color w:val="000000"/>
                <w:kern w:val="0"/>
                <w:sz w:val="14"/>
                <w:szCs w:val="14"/>
                <w:highlight w:val="none"/>
              </w:rPr>
            </w:pPr>
          </w:p>
        </w:tc>
        <w:tc>
          <w:tcPr>
            <w:tcW w:w="940" w:type="pct"/>
            <w:gridSpan w:val="3"/>
            <w:tcBorders>
              <w:top w:val="nil"/>
              <w:left w:val="nil"/>
              <w:bottom w:val="single" w:color="000000" w:sz="4" w:space="0"/>
              <w:right w:val="single" w:color="000000" w:sz="4" w:space="0"/>
            </w:tcBorders>
            <w:shd w:val="clear" w:color="auto" w:fill="auto"/>
            <w:noWrap/>
            <w:vAlign w:val="center"/>
          </w:tcPr>
          <w:p w14:paraId="4DA36144">
            <w:pPr>
              <w:widowControl/>
              <w:spacing w:line="240" w:lineRule="auto"/>
              <w:jc w:val="center"/>
              <w:rPr>
                <w:rFonts w:ascii="Times New Roman" w:hAnsi="Times New Roman" w:cs="Times New Roman"/>
                <w:color w:val="000000"/>
                <w:kern w:val="0"/>
                <w:sz w:val="14"/>
                <w:szCs w:val="14"/>
                <w:highlight w:val="none"/>
              </w:rPr>
            </w:pPr>
          </w:p>
        </w:tc>
        <w:tc>
          <w:tcPr>
            <w:tcW w:w="940" w:type="pct"/>
            <w:gridSpan w:val="3"/>
            <w:tcBorders>
              <w:top w:val="nil"/>
              <w:left w:val="nil"/>
              <w:bottom w:val="single" w:color="000000" w:sz="4" w:space="0"/>
              <w:right w:val="single" w:color="000000" w:sz="4" w:space="0"/>
            </w:tcBorders>
            <w:shd w:val="clear" w:color="auto" w:fill="auto"/>
            <w:noWrap/>
            <w:vAlign w:val="center"/>
          </w:tcPr>
          <w:p w14:paraId="46E34B29">
            <w:pPr>
              <w:widowControl/>
              <w:spacing w:line="240" w:lineRule="auto"/>
              <w:jc w:val="center"/>
              <w:rPr>
                <w:rFonts w:ascii="Times New Roman" w:hAnsi="Times New Roman" w:cs="Times New Roman"/>
                <w:color w:val="000000"/>
                <w:kern w:val="0"/>
                <w:sz w:val="14"/>
                <w:szCs w:val="14"/>
                <w:highlight w:val="none"/>
              </w:rPr>
            </w:pPr>
          </w:p>
        </w:tc>
        <w:tc>
          <w:tcPr>
            <w:tcW w:w="1021" w:type="pct"/>
            <w:gridSpan w:val="3"/>
            <w:tcBorders>
              <w:top w:val="nil"/>
              <w:left w:val="nil"/>
              <w:bottom w:val="single" w:color="000000" w:sz="4" w:space="0"/>
              <w:right w:val="single" w:color="000000" w:sz="4" w:space="0"/>
            </w:tcBorders>
            <w:shd w:val="clear" w:color="auto" w:fill="auto"/>
            <w:noWrap/>
            <w:vAlign w:val="center"/>
          </w:tcPr>
          <w:p w14:paraId="70A1E55E">
            <w:pPr>
              <w:widowControl/>
              <w:spacing w:line="240" w:lineRule="auto"/>
              <w:jc w:val="center"/>
              <w:rPr>
                <w:rFonts w:ascii="Times New Roman" w:hAnsi="Times New Roman" w:cs="Times New Roman"/>
                <w:color w:val="000000"/>
                <w:kern w:val="0"/>
                <w:sz w:val="14"/>
                <w:szCs w:val="14"/>
                <w:highlight w:val="none"/>
              </w:rPr>
            </w:pPr>
          </w:p>
        </w:tc>
      </w:tr>
      <w:tr w14:paraId="6260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076A">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累计增大最大值</w:t>
            </w:r>
          </w:p>
        </w:tc>
        <w:tc>
          <w:tcPr>
            <w:tcW w:w="1332" w:type="pct"/>
            <w:gridSpan w:val="4"/>
            <w:tcBorders>
              <w:top w:val="single" w:color="000000" w:sz="4" w:space="0"/>
              <w:left w:val="nil"/>
              <w:bottom w:val="single" w:color="000000" w:sz="4" w:space="0"/>
              <w:right w:val="single" w:color="000000" w:sz="4" w:space="0"/>
            </w:tcBorders>
            <w:shd w:val="clear" w:color="auto" w:fill="auto"/>
            <w:noWrap/>
            <w:vAlign w:val="center"/>
          </w:tcPr>
          <w:p w14:paraId="59D702D8">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940" w:type="pct"/>
            <w:gridSpan w:val="3"/>
            <w:tcBorders>
              <w:top w:val="nil"/>
              <w:left w:val="nil"/>
              <w:bottom w:val="single" w:color="000000" w:sz="4" w:space="0"/>
              <w:right w:val="single" w:color="000000" w:sz="4" w:space="0"/>
            </w:tcBorders>
            <w:shd w:val="clear" w:color="auto" w:fill="auto"/>
            <w:noWrap/>
            <w:vAlign w:val="center"/>
          </w:tcPr>
          <w:p w14:paraId="0E5630FF">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940" w:type="pct"/>
            <w:gridSpan w:val="3"/>
            <w:tcBorders>
              <w:top w:val="nil"/>
              <w:left w:val="nil"/>
              <w:bottom w:val="single" w:color="000000" w:sz="4" w:space="0"/>
              <w:right w:val="single" w:color="000000" w:sz="4" w:space="0"/>
            </w:tcBorders>
            <w:shd w:val="clear" w:color="auto" w:fill="auto"/>
            <w:noWrap/>
            <w:vAlign w:val="center"/>
          </w:tcPr>
          <w:p w14:paraId="7DA9DCFF">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021" w:type="pct"/>
            <w:gridSpan w:val="3"/>
            <w:tcBorders>
              <w:top w:val="nil"/>
              <w:left w:val="nil"/>
              <w:bottom w:val="single" w:color="000000" w:sz="4" w:space="0"/>
              <w:right w:val="single" w:color="000000" w:sz="4" w:space="0"/>
            </w:tcBorders>
            <w:shd w:val="clear" w:color="auto" w:fill="auto"/>
            <w:noWrap/>
            <w:vAlign w:val="center"/>
          </w:tcPr>
          <w:p w14:paraId="23F91F6D">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r>
      <w:tr w14:paraId="2110E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2738">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累计减小最大值</w:t>
            </w:r>
          </w:p>
        </w:tc>
        <w:tc>
          <w:tcPr>
            <w:tcW w:w="1332" w:type="pct"/>
            <w:gridSpan w:val="4"/>
            <w:tcBorders>
              <w:top w:val="single" w:color="000000" w:sz="4" w:space="0"/>
              <w:left w:val="nil"/>
              <w:bottom w:val="single" w:color="000000" w:sz="4" w:space="0"/>
              <w:right w:val="single" w:color="000000" w:sz="4" w:space="0"/>
            </w:tcBorders>
            <w:shd w:val="clear" w:color="auto" w:fill="auto"/>
            <w:noWrap/>
            <w:vAlign w:val="center"/>
          </w:tcPr>
          <w:p w14:paraId="4B210B45">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940" w:type="pct"/>
            <w:gridSpan w:val="3"/>
            <w:tcBorders>
              <w:top w:val="nil"/>
              <w:left w:val="nil"/>
              <w:bottom w:val="single" w:color="000000" w:sz="4" w:space="0"/>
              <w:right w:val="single" w:color="000000" w:sz="4" w:space="0"/>
            </w:tcBorders>
            <w:shd w:val="clear" w:color="auto" w:fill="auto"/>
            <w:noWrap/>
            <w:vAlign w:val="center"/>
          </w:tcPr>
          <w:p w14:paraId="0942FEAC">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940" w:type="pct"/>
            <w:gridSpan w:val="3"/>
            <w:tcBorders>
              <w:top w:val="nil"/>
              <w:left w:val="nil"/>
              <w:bottom w:val="single" w:color="000000" w:sz="4" w:space="0"/>
              <w:right w:val="single" w:color="000000" w:sz="4" w:space="0"/>
            </w:tcBorders>
            <w:shd w:val="clear" w:color="auto" w:fill="auto"/>
            <w:noWrap/>
            <w:vAlign w:val="center"/>
          </w:tcPr>
          <w:p w14:paraId="6FB58675">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021" w:type="pct"/>
            <w:gridSpan w:val="3"/>
            <w:tcBorders>
              <w:top w:val="nil"/>
              <w:left w:val="nil"/>
              <w:bottom w:val="single" w:color="000000" w:sz="4" w:space="0"/>
              <w:right w:val="single" w:color="000000" w:sz="4" w:space="0"/>
            </w:tcBorders>
            <w:shd w:val="clear" w:color="auto" w:fill="auto"/>
            <w:noWrap/>
            <w:vAlign w:val="center"/>
          </w:tcPr>
          <w:p w14:paraId="70A43898">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r>
      <w:tr w14:paraId="7B36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BEFC">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最大速率(mm/d)</w:t>
            </w:r>
          </w:p>
        </w:tc>
        <w:tc>
          <w:tcPr>
            <w:tcW w:w="1332" w:type="pct"/>
            <w:gridSpan w:val="4"/>
            <w:tcBorders>
              <w:top w:val="single" w:color="000000" w:sz="4" w:space="0"/>
              <w:left w:val="nil"/>
              <w:bottom w:val="single" w:color="000000" w:sz="4" w:space="0"/>
              <w:right w:val="single" w:color="000000" w:sz="4" w:space="0"/>
            </w:tcBorders>
            <w:shd w:val="clear" w:color="auto" w:fill="auto"/>
            <w:noWrap/>
            <w:vAlign w:val="center"/>
          </w:tcPr>
          <w:p w14:paraId="3199C040">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940" w:type="pct"/>
            <w:gridSpan w:val="3"/>
            <w:tcBorders>
              <w:top w:val="nil"/>
              <w:left w:val="nil"/>
              <w:bottom w:val="single" w:color="000000" w:sz="4" w:space="0"/>
              <w:right w:val="single" w:color="000000" w:sz="4" w:space="0"/>
            </w:tcBorders>
            <w:shd w:val="clear" w:color="auto" w:fill="auto"/>
            <w:noWrap/>
            <w:vAlign w:val="center"/>
          </w:tcPr>
          <w:p w14:paraId="0D1E2AED">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940" w:type="pct"/>
            <w:gridSpan w:val="3"/>
            <w:tcBorders>
              <w:top w:val="nil"/>
              <w:left w:val="nil"/>
              <w:bottom w:val="single" w:color="000000" w:sz="4" w:space="0"/>
              <w:right w:val="single" w:color="000000" w:sz="4" w:space="0"/>
            </w:tcBorders>
            <w:shd w:val="clear" w:color="auto" w:fill="auto"/>
            <w:noWrap/>
            <w:vAlign w:val="center"/>
          </w:tcPr>
          <w:p w14:paraId="299E6277">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21" w:type="pct"/>
            <w:gridSpan w:val="3"/>
            <w:tcBorders>
              <w:top w:val="nil"/>
              <w:left w:val="nil"/>
              <w:bottom w:val="single" w:color="000000" w:sz="4" w:space="0"/>
              <w:right w:val="single" w:color="000000" w:sz="4" w:space="0"/>
            </w:tcBorders>
            <w:shd w:val="clear" w:color="auto" w:fill="auto"/>
            <w:noWrap/>
            <w:vAlign w:val="center"/>
          </w:tcPr>
          <w:p w14:paraId="2D1B5F73">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r>
      <w:tr w14:paraId="6536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8322B35">
            <w:pPr>
              <w:widowControl/>
              <w:spacing w:line="240" w:lineRule="auto"/>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备注:</w:t>
            </w:r>
          </w:p>
          <w:p w14:paraId="10E4907B">
            <w:pPr>
              <w:widowControl/>
              <w:spacing w:line="240" w:lineRule="auto"/>
              <w:ind w:firstLine="280" w:firstLineChars="200"/>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1）表中次数为进场次数；2 ） 本次和累计均表示顶部相对于底部位移，“+”表示位移增加，“-”表示位移减小</w:t>
            </w:r>
            <w:r>
              <w:rPr>
                <w:rFonts w:ascii="Times New Roman" w:hAnsi="Times New Roman" w:cs="Times New Roman"/>
                <w:color w:val="000000"/>
                <w:kern w:val="0"/>
                <w:sz w:val="14"/>
                <w:szCs w:val="14"/>
                <w:highlight w:val="none"/>
              </w:rPr>
              <w:t>。</w:t>
            </w:r>
          </w:p>
        </w:tc>
      </w:tr>
      <w:tr w14:paraId="41EA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000000" w:fill="D9D9D9"/>
            <w:noWrap/>
            <w:vAlign w:val="center"/>
          </w:tcPr>
          <w:p w14:paraId="04F9D880">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监测数据成果曲线图</w:t>
            </w:r>
          </w:p>
        </w:tc>
      </w:tr>
      <w:tr w14:paraId="4BAF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9"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4CE485">
            <w:pPr>
              <w:widowControl/>
              <w:spacing w:line="240" w:lineRule="auto"/>
              <w:jc w:val="center"/>
              <w:rPr>
                <w:rFonts w:ascii="Times New Roman" w:hAnsi="Times New Roman" w:cs="Times New Roman"/>
                <w:b/>
                <w:bCs/>
                <w:color w:val="000000"/>
                <w:kern w:val="0"/>
                <w:sz w:val="18"/>
                <w:szCs w:val="18"/>
                <w:highlight w:val="none"/>
              </w:rPr>
            </w:pPr>
            <w:r>
              <w:rPr>
                <w:rFonts w:ascii="Times New Roman" w:hAnsi="Times New Roman" w:cs="Times New Roman"/>
                <w:highlight w:val="none"/>
              </w:rPr>
              <mc:AlternateContent>
                <mc:Choice Requires="wps">
                  <w:drawing>
                    <wp:anchor distT="0" distB="0" distL="114300" distR="114300" simplePos="0" relativeHeight="251669504" behindDoc="0" locked="0" layoutInCell="1" allowOverlap="1">
                      <wp:simplePos x="0" y="0"/>
                      <wp:positionH relativeFrom="column">
                        <wp:posOffset>4885690</wp:posOffset>
                      </wp:positionH>
                      <wp:positionV relativeFrom="paragraph">
                        <wp:posOffset>226695</wp:posOffset>
                      </wp:positionV>
                      <wp:extent cx="419735" cy="641985"/>
                      <wp:effectExtent l="5080" t="5080" r="13335" b="19685"/>
                      <wp:wrapNone/>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19735" cy="641985"/>
                              </a:xfrm>
                              <a:prstGeom prst="rect">
                                <a:avLst/>
                              </a:prstGeom>
                              <a:solidFill>
                                <a:srgbClr val="FFFFFF"/>
                              </a:solidFill>
                              <a:ln w="9525">
                                <a:solidFill>
                                  <a:srgbClr val="44546A"/>
                                </a:solidFill>
                                <a:miter lim="800000"/>
                              </a:ln>
                            </wps:spPr>
                            <wps:txbx>
                              <w:txbxContent>
                                <w:p w14:paraId="15094939">
                                  <w:r>
                                    <w:rPr>
                                      <w:rFonts w:hint="eastAsia"/>
                                    </w:rPr>
                                    <w:t>图例：</w:t>
                                  </w:r>
                                </w:p>
                                <w:p w14:paraId="4B45846B"/>
                                <w:p w14:paraId="5FA68B88"/>
                                <w:p w14:paraId="54D1BE1C"/>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84.7pt;margin-top:17.85pt;height:50.55pt;width:33.05pt;z-index:251669504;mso-width-relative:page;mso-height-relative:page;" fillcolor="#FFFFFF" filled="t" stroked="t" coordsize="21600,21600" o:gfxdata="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f3JWw2AAAAAoBAAAPAAAAAAAAAAEAIAAA&#10;ACIAAABkcnMvZG93bnJldi54bWxQSwECFAAUAAAACACHTuJAk2+9bEUCAACHBAAADgAAAAAAAAAB&#10;ACAAAAAnAQAAZHJzL2Uyb0RvYy54bWxQSwUGAAAAAAYABgBZAQAA3gUAAAAA&#10;">
                      <v:fill on="t" focussize="0,0"/>
                      <v:stroke color="#44546A" miterlimit="8" joinstyle="miter"/>
                      <v:imagedata o:title=""/>
                      <o:lock v:ext="edit" aspectratio="f"/>
                      <v:textbox>
                        <w:txbxContent>
                          <w:p w14:paraId="15094939">
                            <w:r>
                              <w:rPr>
                                <w:rFonts w:hint="eastAsia"/>
                              </w:rPr>
                              <w:t>图例：</w:t>
                            </w:r>
                          </w:p>
                          <w:p w14:paraId="4B45846B"/>
                          <w:p w14:paraId="5FA68B88"/>
                          <w:p w14:paraId="54D1BE1C"/>
                        </w:txbxContent>
                      </v:textbox>
                    </v:shape>
                  </w:pict>
                </mc:Fallback>
              </mc:AlternateContent>
            </w:r>
            <w:r>
              <w:rPr>
                <w:rFonts w:ascii="Times New Roman" w:hAnsi="Times New Roman" w:cs="Times New Roman"/>
                <w:sz w:val="24"/>
                <w:highlight w:val="none"/>
              </w:rPr>
              <mc:AlternateContent>
                <mc:Choice Requires="wpg">
                  <w:drawing>
                    <wp:anchor distT="0" distB="0" distL="114300" distR="114300" simplePos="0" relativeHeight="251664384" behindDoc="0" locked="0" layoutInCell="1" allowOverlap="1">
                      <wp:simplePos x="0" y="0"/>
                      <wp:positionH relativeFrom="column">
                        <wp:posOffset>73660</wp:posOffset>
                      </wp:positionH>
                      <wp:positionV relativeFrom="paragraph">
                        <wp:posOffset>71120</wp:posOffset>
                      </wp:positionV>
                      <wp:extent cx="5041900" cy="1359535"/>
                      <wp:effectExtent l="4445" t="0" r="1905" b="12065"/>
                      <wp:wrapNone/>
                      <wp:docPr id="9" name="Group 8"/>
                      <wp:cNvGraphicFramePr/>
                      <a:graphic xmlns:a="http://schemas.openxmlformats.org/drawingml/2006/main">
                        <a:graphicData uri="http://schemas.microsoft.com/office/word/2010/wordprocessingGroup">
                          <wpg:wgp>
                            <wpg:cNvGrpSpPr/>
                            <wpg:grpSpPr>
                              <a:xfrm rot="0">
                                <a:off x="1216660" y="1758950"/>
                                <a:ext cx="5041900" cy="1359535"/>
                                <a:chOff x="2164" y="10756"/>
                                <a:chExt cx="8077" cy="2141"/>
                              </a:xfrm>
                            </wpg:grpSpPr>
                            <wps:wsp>
                              <wps:cNvPr id="214" name="文本框 2"/>
                              <wps:cNvSpPr txBox="1">
                                <a:spLocks noChangeArrowheads="1"/>
                              </wps:cNvSpPr>
                              <wps:spPr bwMode="auto">
                                <a:xfrm>
                                  <a:off x="4603" y="12499"/>
                                  <a:ext cx="3165" cy="398"/>
                                </a:xfrm>
                                <a:prstGeom prst="rect">
                                  <a:avLst/>
                                </a:prstGeom>
                                <a:solidFill>
                                  <a:srgbClr val="FFFFFF"/>
                                </a:solidFill>
                                <a:ln w="9525">
                                  <a:solidFill>
                                    <a:srgbClr val="FFFFFF"/>
                                  </a:solidFill>
                                  <a:miter lim="800000"/>
                                </a:ln>
                              </wps:spPr>
                              <wps:txbx>
                                <w:txbxContent>
                                  <w:p w14:paraId="036B9296">
                                    <w:pPr>
                                      <w:spacing w:line="240" w:lineRule="auto"/>
                                      <w:jc w:val="center"/>
                                      <w:rPr>
                                        <w:sz w:val="18"/>
                                        <w:szCs w:val="18"/>
                                      </w:rPr>
                                    </w:pPr>
                                    <w:r>
                                      <w:rPr>
                                        <w:rFonts w:hint="eastAsia"/>
                                        <w:sz w:val="18"/>
                                        <w:szCs w:val="18"/>
                                      </w:rPr>
                                      <w:t>观测时间</w:t>
                                    </w:r>
                                  </w:p>
                                </w:txbxContent>
                              </wps:txbx>
                              <wps:bodyPr rot="0" vert="horz" wrap="square" lIns="91440" tIns="45720" rIns="91440" bIns="45720" anchor="t" anchorCtr="0" upright="1">
                                <a:noAutofit/>
                              </wps:bodyPr>
                            </wps:wsp>
                            <wps:wsp>
                              <wps:cNvPr id="215" name="Text Box 10"/>
                              <wps:cNvSpPr txBox="1">
                                <a:spLocks noChangeArrowheads="1"/>
                              </wps:cNvSpPr>
                              <wps:spPr bwMode="auto">
                                <a:xfrm>
                                  <a:off x="2164" y="10809"/>
                                  <a:ext cx="538" cy="1713"/>
                                </a:xfrm>
                                <a:prstGeom prst="rect">
                                  <a:avLst/>
                                </a:prstGeom>
                                <a:solidFill>
                                  <a:srgbClr val="FFFFFF"/>
                                </a:solidFill>
                                <a:ln w="9525">
                                  <a:solidFill>
                                    <a:srgbClr val="FFFFFF"/>
                                  </a:solidFill>
                                  <a:miter lim="800000"/>
                                </a:ln>
                              </wps:spPr>
                              <wps:txbx>
                                <w:txbxContent>
                                  <w:p w14:paraId="1EF18A87">
                                    <w:r>
                                      <w:rPr>
                                        <w:rFonts w:hint="eastAsia"/>
                                        <w:sz w:val="18"/>
                                        <w:szCs w:val="18"/>
                                      </w:rPr>
                                      <w:t>累计变化量</w:t>
                                    </w:r>
                                    <w:r>
                                      <w:rPr>
                                        <w:rFonts w:hint="eastAsia"/>
                                      </w:rPr>
                                      <w:t>（</w:t>
                                    </w:r>
                                    <w:r>
                                      <w:t>mm</w:t>
                                    </w:r>
                                    <w:r>
                                      <w:rPr>
                                        <w:rFonts w:hint="eastAsia"/>
                                      </w:rPr>
                                      <w:t>）</w:t>
                                    </w:r>
                                  </w:p>
                                </w:txbxContent>
                              </wps:txbx>
                              <wps:bodyPr rot="0" vert="eaVert" wrap="square" lIns="91440" tIns="45720" rIns="91440" bIns="45720" anchor="t" anchorCtr="0" upright="1">
                                <a:noAutofit/>
                              </wps:bodyPr>
                            </wps:wsp>
                            <wpg:grpSp>
                              <wpg:cNvPr id="10" name="Group 11"/>
                              <wpg:cNvGrpSpPr/>
                              <wpg:grpSpPr>
                                <a:xfrm>
                                  <a:off x="2590" y="10756"/>
                                  <a:ext cx="7651" cy="1825"/>
                                  <a:chOff x="3323" y="12253"/>
                                  <a:chExt cx="5752" cy="1492"/>
                                </a:xfrm>
                              </wpg:grpSpPr>
                              <wps:wsp>
                                <wps:cNvPr id="217" name="AutoShape 12"/>
                                <wps:cNvCnPr>
                                  <a:cxnSpLocks noChangeShapeType="1"/>
                                </wps:cNvCnPr>
                                <wps:spPr bwMode="auto">
                                  <a:xfrm flipV="1">
                                    <a:off x="3323" y="12253"/>
                                    <a:ext cx="1" cy="1486"/>
                                  </a:xfrm>
                                  <a:prstGeom prst="straightConnector1">
                                    <a:avLst/>
                                  </a:prstGeom>
                                  <a:noFill/>
                                  <a:ln w="9525">
                                    <a:solidFill>
                                      <a:srgbClr val="000000"/>
                                    </a:solidFill>
                                    <a:round/>
                                    <a:tailEnd type="triangle" w="med" len="med"/>
                                  </a:ln>
                                </wps:spPr>
                                <wps:bodyPr/>
                              </wps:wsp>
                              <wps:wsp>
                                <wps:cNvPr id="218" name="AutoShape 13"/>
                                <wps:cNvCnPr>
                                  <a:cxnSpLocks noChangeShapeType="1"/>
                                </wps:cNvCnPr>
                                <wps:spPr bwMode="auto">
                                  <a:xfrm flipV="1">
                                    <a:off x="3324" y="13696"/>
                                    <a:ext cx="5751" cy="49"/>
                                  </a:xfrm>
                                  <a:prstGeom prst="straightConnector1">
                                    <a:avLst/>
                                  </a:prstGeom>
                                  <a:noFill/>
                                  <a:ln w="9525">
                                    <a:solidFill>
                                      <a:srgbClr val="000000"/>
                                    </a:solidFill>
                                    <a:round/>
                                    <a:tailEnd type="triangle" w="med" len="med"/>
                                  </a:ln>
                                </wps:spPr>
                                <wps:bodyPr/>
                              </wps:wsp>
                            </wpg:grpSp>
                          </wpg:wgp>
                        </a:graphicData>
                      </a:graphic>
                    </wp:anchor>
                  </w:drawing>
                </mc:Choice>
                <mc:Fallback>
                  <w:pict>
                    <v:group id="Group 8" o:spid="_x0000_s1026" o:spt="203" style="position:absolute;left:0pt;margin-left:5.8pt;margin-top:5.6pt;height:107.05pt;width:397pt;z-index:251664384;mso-width-relative:page;mso-height-relative:page;" coordorigin="2164,10756" coordsize="8077,2141" o:gfxdata="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">
                      <o:lock v:ext="edit" aspectratio="f"/>
                      <v:shape id="文本框 2" o:spid="_x0000_s1026" o:spt="202" type="#_x0000_t202" style="position:absolute;left:4603;top:12499;height:398;width:3165;" fillcolor="#FFFFFF" filled="t" stroked="t" coordsize="21600,21600" o:gfxdata="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zPq8vQAA&#10;ANw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w:txbxContent>
                            <w:p w14:paraId="036B9296">
                              <w:pPr>
                                <w:spacing w:line="240" w:lineRule="auto"/>
                                <w:jc w:val="center"/>
                                <w:rPr>
                                  <w:sz w:val="18"/>
                                  <w:szCs w:val="18"/>
                                </w:rPr>
                              </w:pPr>
                              <w:r>
                                <w:rPr>
                                  <w:rFonts w:hint="eastAsia"/>
                                  <w:sz w:val="18"/>
                                  <w:szCs w:val="18"/>
                                </w:rPr>
                                <w:t>观测时间</w:t>
                              </w:r>
                            </w:p>
                          </w:txbxContent>
                        </v:textbox>
                      </v:shape>
                      <v:shape id="Text Box 10" o:spid="_x0000_s1026" o:spt="202" type="#_x0000_t202" style="position:absolute;left:2164;top:10809;height:1713;width:538;" fillcolor="#FFFFFF" filled="t" stroked="t" coordsize="21600,21600" o:gfxdata="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AwFCbsAAADc&#10;AAAADwAAAAAAAAABACAAAAAiAAAAZHJzL2Rvd25yZXYueG1sUEsBAhQAFAAAAAgAh07iQDMvBZ47&#10;AAAAOQAAABAAAAAAAAAAAQAgAAAACgEAAGRycy9zaGFwZXhtbC54bWxQSwUGAAAAAAYABgBbAQAA&#10;tAMAAAAA&#10;">
                        <v:fill on="t" focussize="0,0"/>
                        <v:stroke color="#FFFFFF" miterlimit="8" joinstyle="miter"/>
                        <v:imagedata o:title=""/>
                        <o:lock v:ext="edit" aspectratio="f"/>
                        <v:textbox style="layout-flow:vertical-ideographic;">
                          <w:txbxContent>
                            <w:p w14:paraId="1EF18A87">
                              <w:r>
                                <w:rPr>
                                  <w:rFonts w:hint="eastAsia"/>
                                  <w:sz w:val="18"/>
                                  <w:szCs w:val="18"/>
                                </w:rPr>
                                <w:t>累计变化量</w:t>
                              </w:r>
                              <w:r>
                                <w:rPr>
                                  <w:rFonts w:hint="eastAsia"/>
                                </w:rPr>
                                <w:t>（</w:t>
                              </w:r>
                              <w:r>
                                <w:t>mm</w:t>
                              </w:r>
                              <w:r>
                                <w:rPr>
                                  <w:rFonts w:hint="eastAsia"/>
                                </w:rPr>
                                <w:t>）</w:t>
                              </w:r>
                            </w:p>
                          </w:txbxContent>
                        </v:textbox>
                      </v:shape>
                      <v:group id="Group 11" o:spid="_x0000_s1026" o:spt="203" style="position:absolute;left:2590;top:10756;height:1825;width:7651;" coordorigin="3323,12253" coordsize="5752,149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AutoShape 12" o:spid="_x0000_s1026" o:spt="32" type="#_x0000_t32" style="position:absolute;left:3323;top:12253;flip:y;height:1486;width:1;" filled="f" stroked="t" coordsize="21600,21600" o:gfxdata="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drai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 o:spid="_x0000_s1026" o:spt="32" type="#_x0000_t32" style="position:absolute;left:3324;top:13696;flip:y;height:49;width:5751;" filled="f" stroked="t" coordsize="21600,21600" o:gfxdata="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9P5fugAAANw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group>
                    </v:group>
                  </w:pict>
                </mc:Fallback>
              </mc:AlternateContent>
            </w:r>
          </w:p>
        </w:tc>
      </w:tr>
    </w:tbl>
    <w:p w14:paraId="6379ADF5">
      <w:pPr>
        <w:ind w:firstLine="180" w:firstLineChars="100"/>
        <w:rPr>
          <w:rFonts w:hint="eastAsia" w:ascii="Times New Roman" w:hAnsi="Times New Roman" w:cs="Times New Roman"/>
          <w:sz w:val="18"/>
          <w:szCs w:val="18"/>
          <w:highlight w:val="none"/>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18"/>
          <w:szCs w:val="18"/>
          <w:highlight w:val="none"/>
        </w:rPr>
        <w:t xml:space="preserve">观测：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计算：                              校核：</w:t>
      </w:r>
    </w:p>
    <w:p w14:paraId="5DCA8B2A">
      <w:pPr>
        <w:pStyle w:val="3"/>
        <w:adjustRightInd w:val="0"/>
        <w:snapToGrid w:val="0"/>
        <w:spacing w:before="0" w:after="0" w:line="360" w:lineRule="auto"/>
        <w:jc w:val="center"/>
        <w:rPr>
          <w:rFonts w:ascii="Times New Roman" w:hAnsi="Times New Roman" w:cs="Times New Roman"/>
          <w:highlight w:val="none"/>
        </w:rPr>
      </w:pPr>
      <w:bookmarkStart w:id="171" w:name="_Toc31215"/>
      <w:bookmarkStart w:id="172" w:name="_Toc525052909"/>
      <w:bookmarkStart w:id="173" w:name="_Toc7120"/>
      <w:bookmarkStart w:id="174" w:name="_Toc23006"/>
      <w:bookmarkStart w:id="175" w:name="_Toc27414"/>
      <w:bookmarkStart w:id="176" w:name="_Toc17561"/>
      <w:bookmarkStart w:id="177" w:name="_Toc2807"/>
      <w:bookmarkStart w:id="178" w:name="_Toc491"/>
      <w:r>
        <w:rPr>
          <w:rFonts w:hint="eastAsia" w:ascii="Times New Roman" w:hAnsi="Times New Roman" w:cs="Times New Roman"/>
          <w:b w:val="0"/>
          <w:highlight w:val="none"/>
        </w:rPr>
        <w:t>附录</w:t>
      </w:r>
      <w:r>
        <w:rPr>
          <w:rFonts w:hint="eastAsia" w:ascii="Times New Roman" w:hAnsi="Times New Roman" w:cs="Times New Roman"/>
          <w:b w:val="0"/>
          <w:highlight w:val="none"/>
          <w:lang w:val="en-US" w:eastAsia="zh-CN"/>
        </w:rPr>
        <w:t>E</w:t>
      </w:r>
      <w:r>
        <w:rPr>
          <w:rFonts w:ascii="Times New Roman" w:hAnsi="Times New Roman" w:cs="Times New Roman"/>
          <w:b w:val="0"/>
          <w:highlight w:val="none"/>
        </w:rPr>
        <w:t xml:space="preserve"> </w:t>
      </w:r>
      <w:r>
        <w:rPr>
          <w:rFonts w:hint="eastAsia" w:ascii="Times New Roman" w:hAnsi="Times New Roman" w:cs="Times New Roman"/>
          <w:b w:val="0"/>
          <w:highlight w:val="none"/>
        </w:rPr>
        <w:t>裂缝监测日报表</w:t>
      </w:r>
      <w:bookmarkEnd w:id="171"/>
      <w:bookmarkEnd w:id="172"/>
      <w:bookmarkEnd w:id="173"/>
      <w:bookmarkEnd w:id="174"/>
      <w:bookmarkEnd w:id="175"/>
      <w:bookmarkEnd w:id="176"/>
      <w:bookmarkEnd w:id="177"/>
      <w:bookmarkEnd w:id="178"/>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
        <w:gridCol w:w="472"/>
        <w:gridCol w:w="472"/>
        <w:gridCol w:w="625"/>
        <w:gridCol w:w="625"/>
        <w:gridCol w:w="561"/>
        <w:gridCol w:w="3"/>
        <w:gridCol w:w="622"/>
        <w:gridCol w:w="625"/>
        <w:gridCol w:w="561"/>
        <w:gridCol w:w="8"/>
        <w:gridCol w:w="5"/>
        <w:gridCol w:w="612"/>
        <w:gridCol w:w="625"/>
        <w:gridCol w:w="561"/>
        <w:gridCol w:w="11"/>
        <w:gridCol w:w="615"/>
        <w:gridCol w:w="626"/>
        <w:gridCol w:w="562"/>
      </w:tblGrid>
      <w:tr w14:paraId="2755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9"/>
            <w:tcBorders>
              <w:top w:val="nil"/>
              <w:left w:val="nil"/>
              <w:bottom w:val="nil"/>
              <w:right w:val="nil"/>
            </w:tcBorders>
            <w:vAlign w:val="center"/>
          </w:tcPr>
          <w:p w14:paraId="3B5A405D">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委托单位：                        监测单位：                            报表编号：</w:t>
            </w:r>
          </w:p>
        </w:tc>
      </w:tr>
      <w:tr w14:paraId="43E2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9"/>
            <w:tcBorders>
              <w:top w:val="nil"/>
              <w:left w:val="nil"/>
              <w:bottom w:val="nil"/>
              <w:right w:val="nil"/>
            </w:tcBorders>
            <w:vAlign w:val="center"/>
          </w:tcPr>
          <w:p w14:paraId="74A28DC4">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工程名称：                        工程地点：                            天气：</w:t>
            </w:r>
          </w:p>
        </w:tc>
      </w:tr>
      <w:tr w14:paraId="4841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9"/>
            <w:tcBorders>
              <w:top w:val="nil"/>
              <w:left w:val="nil"/>
              <w:bottom w:val="nil"/>
              <w:right w:val="nil"/>
            </w:tcBorders>
            <w:vAlign w:val="center"/>
          </w:tcPr>
          <w:p w14:paraId="05465586">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仪器名称及编号：                                观测依据：</w:t>
            </w:r>
          </w:p>
        </w:tc>
      </w:tr>
      <w:tr w14:paraId="7A3E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9"/>
            <w:tcBorders>
              <w:top w:val="single" w:color="auto" w:sz="4" w:space="0"/>
              <w:left w:val="single" w:color="000000" w:sz="4" w:space="0"/>
              <w:bottom w:val="single" w:color="000000" w:sz="4" w:space="0"/>
              <w:right w:val="single" w:color="000000" w:sz="4" w:space="0"/>
            </w:tcBorders>
            <w:shd w:val="clear" w:color="000000" w:fill="D9D9D9"/>
          </w:tcPr>
          <w:p w14:paraId="1226C432">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监测数据成果汇总</w:t>
            </w:r>
          </w:p>
        </w:tc>
      </w:tr>
      <w:tr w14:paraId="6513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95" w:type="pct"/>
            <w:vMerge w:val="restart"/>
            <w:tcBorders>
              <w:top w:val="nil"/>
              <w:left w:val="single" w:color="000000" w:sz="4" w:space="0"/>
              <w:bottom w:val="single" w:color="000000" w:sz="4" w:space="0"/>
              <w:right w:val="single" w:color="000000" w:sz="4" w:space="0"/>
              <w:tl2br w:val="single" w:color="000000" w:sz="4" w:space="0"/>
            </w:tcBorders>
            <w:shd w:val="clear" w:color="auto" w:fill="auto"/>
          </w:tcPr>
          <w:p w14:paraId="2F85AB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时间</w:t>
            </w:r>
          </w:p>
          <w:p w14:paraId="67663C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p>
          <w:p w14:paraId="68FA97C8">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14:paraId="404F03F6">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14:paraId="31DC3899">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14:paraId="74699C01">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测点</w:t>
            </w:r>
          </w:p>
        </w:tc>
        <w:tc>
          <w:tcPr>
            <w:tcW w:w="668" w:type="pct"/>
            <w:gridSpan w:val="2"/>
            <w:vMerge w:val="restart"/>
            <w:tcBorders>
              <w:top w:val="nil"/>
              <w:left w:val="single" w:color="000000" w:sz="4" w:space="0"/>
              <w:right w:val="single" w:color="000000" w:sz="4" w:space="0"/>
            </w:tcBorders>
            <w:vAlign w:val="center"/>
          </w:tcPr>
          <w:p w14:paraId="6BD38E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初始</w:t>
            </w:r>
          </w:p>
          <w:p w14:paraId="244E5E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结果</w:t>
            </w:r>
          </w:p>
        </w:tc>
        <w:tc>
          <w:tcPr>
            <w:tcW w:w="2017" w:type="pct"/>
            <w:gridSpan w:val="9"/>
            <w:tcBorders>
              <w:top w:val="single" w:color="000000" w:sz="4" w:space="0"/>
              <w:left w:val="nil"/>
              <w:bottom w:val="single" w:color="000000" w:sz="4" w:space="0"/>
              <w:right w:val="single" w:color="000000" w:sz="4" w:space="0"/>
            </w:tcBorders>
            <w:shd w:val="clear" w:color="auto" w:fill="auto"/>
            <w:vAlign w:val="center"/>
          </w:tcPr>
          <w:p w14:paraId="354F65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第1次</w:t>
            </w:r>
          </w:p>
        </w:tc>
        <w:tc>
          <w:tcPr>
            <w:tcW w:w="2018" w:type="pct"/>
            <w:gridSpan w:val="7"/>
            <w:tcBorders>
              <w:top w:val="nil"/>
              <w:left w:val="nil"/>
              <w:bottom w:val="single" w:color="000000" w:sz="4" w:space="0"/>
              <w:right w:val="single" w:color="000000" w:sz="4" w:space="0"/>
            </w:tcBorders>
            <w:shd w:val="clear" w:color="auto" w:fill="auto"/>
            <w:vAlign w:val="center"/>
          </w:tcPr>
          <w:p w14:paraId="407709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第2次</w:t>
            </w:r>
          </w:p>
        </w:tc>
      </w:tr>
      <w:tr w14:paraId="52A7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95" w:type="pct"/>
            <w:vMerge w:val="continue"/>
            <w:tcBorders>
              <w:top w:val="nil"/>
              <w:left w:val="single" w:color="000000" w:sz="4" w:space="0"/>
              <w:bottom w:val="single" w:color="000000" w:sz="4" w:space="0"/>
              <w:right w:val="single" w:color="000000" w:sz="4" w:space="0"/>
            </w:tcBorders>
            <w:vAlign w:val="center"/>
          </w:tcPr>
          <w:p w14:paraId="50FC4B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668" w:type="pct"/>
            <w:gridSpan w:val="2"/>
            <w:vMerge w:val="continue"/>
            <w:tcBorders>
              <w:left w:val="single" w:color="000000" w:sz="4" w:space="0"/>
              <w:bottom w:val="single" w:color="auto" w:sz="4" w:space="0"/>
              <w:right w:val="single" w:color="000000" w:sz="4" w:space="0"/>
            </w:tcBorders>
          </w:tcPr>
          <w:p w14:paraId="4AB404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2017" w:type="pct"/>
            <w:gridSpan w:val="9"/>
            <w:tcBorders>
              <w:top w:val="single" w:color="000000" w:sz="4" w:space="0"/>
              <w:left w:val="nil"/>
              <w:bottom w:val="single" w:color="000000" w:sz="4" w:space="0"/>
              <w:right w:val="single" w:color="000000" w:sz="4" w:space="0"/>
            </w:tcBorders>
            <w:shd w:val="clear" w:color="auto" w:fill="auto"/>
            <w:vAlign w:val="center"/>
          </w:tcPr>
          <w:p w14:paraId="39335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2018" w:type="pct"/>
            <w:gridSpan w:val="7"/>
            <w:tcBorders>
              <w:top w:val="nil"/>
              <w:left w:val="nil"/>
              <w:bottom w:val="single" w:color="000000" w:sz="4" w:space="0"/>
              <w:right w:val="single" w:color="000000" w:sz="4" w:space="0"/>
            </w:tcBorders>
            <w:shd w:val="clear" w:color="auto" w:fill="auto"/>
            <w:vAlign w:val="center"/>
          </w:tcPr>
          <w:p w14:paraId="64CA7A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r>
      <w:tr w14:paraId="5F09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295" w:type="pct"/>
            <w:vMerge w:val="continue"/>
            <w:tcBorders>
              <w:top w:val="nil"/>
              <w:left w:val="single" w:color="000000" w:sz="4" w:space="0"/>
              <w:bottom w:val="single" w:color="000000" w:sz="4" w:space="0"/>
              <w:right w:val="single" w:color="000000" w:sz="4" w:space="0"/>
            </w:tcBorders>
            <w:vAlign w:val="center"/>
          </w:tcPr>
          <w:p w14:paraId="27B6FE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34" w:type="pct"/>
            <w:vMerge w:val="restart"/>
            <w:tcBorders>
              <w:top w:val="single" w:color="auto" w:sz="4" w:space="0"/>
              <w:left w:val="single" w:color="000000" w:sz="4" w:space="0"/>
              <w:right w:val="single" w:color="auto" w:sz="4" w:space="0"/>
            </w:tcBorders>
            <w:vAlign w:val="center"/>
          </w:tcPr>
          <w:p w14:paraId="0A905D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长度(mm)</w:t>
            </w:r>
          </w:p>
        </w:tc>
        <w:tc>
          <w:tcPr>
            <w:tcW w:w="334" w:type="pct"/>
            <w:vMerge w:val="restart"/>
            <w:tcBorders>
              <w:top w:val="single" w:color="auto" w:sz="4" w:space="0"/>
              <w:left w:val="single" w:color="auto" w:sz="4" w:space="0"/>
              <w:right w:val="single" w:color="000000" w:sz="4" w:space="0"/>
            </w:tcBorders>
            <w:vAlign w:val="center"/>
          </w:tcPr>
          <w:p w14:paraId="29AD23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宽度(mm)</w:t>
            </w:r>
          </w:p>
        </w:tc>
        <w:tc>
          <w:tcPr>
            <w:tcW w:w="1007" w:type="pct"/>
            <w:gridSpan w:val="4"/>
            <w:tcBorders>
              <w:top w:val="nil"/>
              <w:left w:val="single" w:color="000000" w:sz="4" w:space="0"/>
              <w:bottom w:val="single" w:color="000000" w:sz="4" w:space="0"/>
              <w:right w:val="single" w:color="000000" w:sz="4" w:space="0"/>
            </w:tcBorders>
            <w:shd w:val="clear" w:color="auto" w:fill="auto"/>
            <w:vAlign w:val="center"/>
          </w:tcPr>
          <w:p w14:paraId="2806A5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长度</w:t>
            </w:r>
          </w:p>
        </w:tc>
        <w:tc>
          <w:tcPr>
            <w:tcW w:w="1007" w:type="pct"/>
            <w:gridSpan w:val="4"/>
            <w:tcBorders>
              <w:top w:val="nil"/>
              <w:left w:val="nil"/>
              <w:bottom w:val="single" w:color="auto" w:sz="4" w:space="0"/>
              <w:right w:val="single" w:color="000000" w:sz="4" w:space="0"/>
            </w:tcBorders>
            <w:shd w:val="clear" w:color="auto" w:fill="auto"/>
            <w:vAlign w:val="center"/>
          </w:tcPr>
          <w:p w14:paraId="1EC2A0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宽度</w:t>
            </w:r>
          </w:p>
        </w:tc>
        <w:tc>
          <w:tcPr>
            <w:tcW w:w="1007" w:type="pct"/>
            <w:gridSpan w:val="5"/>
            <w:tcBorders>
              <w:top w:val="nil"/>
              <w:left w:val="nil"/>
              <w:bottom w:val="single" w:color="auto" w:sz="4" w:space="0"/>
              <w:right w:val="single" w:color="000000" w:sz="4" w:space="0"/>
            </w:tcBorders>
            <w:shd w:val="clear" w:color="auto" w:fill="auto"/>
            <w:vAlign w:val="center"/>
          </w:tcPr>
          <w:p w14:paraId="7F82E6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长度</w:t>
            </w:r>
          </w:p>
        </w:tc>
        <w:tc>
          <w:tcPr>
            <w:tcW w:w="1011" w:type="pct"/>
            <w:gridSpan w:val="3"/>
            <w:tcBorders>
              <w:top w:val="nil"/>
              <w:left w:val="nil"/>
              <w:bottom w:val="single" w:color="auto" w:sz="4" w:space="0"/>
              <w:right w:val="single" w:color="000000" w:sz="4" w:space="0"/>
            </w:tcBorders>
            <w:shd w:val="clear" w:color="auto" w:fill="auto"/>
            <w:vAlign w:val="center"/>
          </w:tcPr>
          <w:p w14:paraId="50E4CF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宽度</w:t>
            </w:r>
          </w:p>
        </w:tc>
      </w:tr>
      <w:tr w14:paraId="152A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295" w:type="pct"/>
            <w:vMerge w:val="continue"/>
            <w:tcBorders>
              <w:top w:val="nil"/>
              <w:left w:val="single" w:color="000000" w:sz="4" w:space="0"/>
              <w:bottom w:val="single" w:color="000000" w:sz="4" w:space="0"/>
              <w:right w:val="single" w:color="000000" w:sz="4" w:space="0"/>
            </w:tcBorders>
            <w:vAlign w:val="center"/>
          </w:tcPr>
          <w:p w14:paraId="3EBF28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34" w:type="pct"/>
            <w:vMerge w:val="continue"/>
            <w:tcBorders>
              <w:left w:val="single" w:color="000000" w:sz="4" w:space="0"/>
              <w:bottom w:val="single" w:color="000000" w:sz="4" w:space="0"/>
              <w:right w:val="single" w:color="auto" w:sz="4" w:space="0"/>
            </w:tcBorders>
          </w:tcPr>
          <w:p w14:paraId="60903E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34" w:type="pct"/>
            <w:vMerge w:val="continue"/>
            <w:tcBorders>
              <w:left w:val="single" w:color="auto" w:sz="4" w:space="0"/>
              <w:bottom w:val="single" w:color="000000" w:sz="4" w:space="0"/>
              <w:right w:val="single" w:color="000000" w:sz="4" w:space="0"/>
            </w:tcBorders>
          </w:tcPr>
          <w:p w14:paraId="32B919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35" w:type="pct"/>
            <w:tcBorders>
              <w:top w:val="nil"/>
              <w:left w:val="single" w:color="000000" w:sz="4" w:space="0"/>
              <w:bottom w:val="single" w:color="000000" w:sz="4" w:space="0"/>
              <w:right w:val="single" w:color="000000" w:sz="4" w:space="0"/>
            </w:tcBorders>
            <w:shd w:val="clear" w:color="auto" w:fill="auto"/>
            <w:vAlign w:val="center"/>
          </w:tcPr>
          <w:p w14:paraId="78A544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w:t>
            </w:r>
          </w:p>
          <w:p w14:paraId="5D0FFD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 化（mm</w:t>
            </w:r>
            <w:r>
              <w:rPr>
                <w:rFonts w:ascii="Times New Roman" w:hAnsi="Times New Roman" w:cs="Times New Roman"/>
                <w:color w:val="000000"/>
                <w:kern w:val="0"/>
                <w:sz w:val="14"/>
                <w:szCs w:val="14"/>
                <w:highlight w:val="none"/>
              </w:rPr>
              <w:t>）</w:t>
            </w:r>
          </w:p>
        </w:tc>
        <w:tc>
          <w:tcPr>
            <w:tcW w:w="335" w:type="pct"/>
            <w:tcBorders>
              <w:top w:val="nil"/>
              <w:left w:val="single" w:color="000000" w:sz="4" w:space="0"/>
              <w:bottom w:val="single" w:color="000000" w:sz="4" w:space="0"/>
              <w:right w:val="single" w:color="000000" w:sz="4" w:space="0"/>
            </w:tcBorders>
            <w:shd w:val="clear" w:color="auto" w:fill="auto"/>
            <w:vAlign w:val="center"/>
          </w:tcPr>
          <w:p w14:paraId="1D228D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化（mm</w:t>
            </w:r>
            <w:r>
              <w:rPr>
                <w:rFonts w:ascii="Times New Roman" w:hAnsi="Times New Roman" w:cs="Times New Roman"/>
                <w:color w:val="000000"/>
                <w:kern w:val="0"/>
                <w:sz w:val="14"/>
                <w:szCs w:val="14"/>
                <w:highlight w:val="none"/>
              </w:rPr>
              <w:t>）</w:t>
            </w:r>
          </w:p>
        </w:tc>
        <w:tc>
          <w:tcPr>
            <w:tcW w:w="335" w:type="pct"/>
            <w:tcBorders>
              <w:top w:val="nil"/>
              <w:left w:val="single" w:color="000000" w:sz="4" w:space="0"/>
              <w:bottom w:val="single" w:color="auto" w:sz="4" w:space="0"/>
              <w:right w:val="single" w:color="000000" w:sz="4" w:space="0"/>
            </w:tcBorders>
            <w:shd w:val="clear" w:color="auto" w:fill="auto"/>
            <w:vAlign w:val="center"/>
          </w:tcPr>
          <w:p w14:paraId="25705B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2D7F0F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335" w:type="pct"/>
            <w:gridSpan w:val="2"/>
            <w:tcBorders>
              <w:top w:val="nil"/>
              <w:left w:val="nil"/>
              <w:bottom w:val="single" w:color="auto" w:sz="4" w:space="0"/>
              <w:right w:val="single" w:color="000000" w:sz="4" w:space="0"/>
            </w:tcBorders>
            <w:shd w:val="clear" w:color="auto" w:fill="auto"/>
            <w:vAlign w:val="center"/>
          </w:tcPr>
          <w:p w14:paraId="5809B5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化（mm</w:t>
            </w:r>
            <w:r>
              <w:rPr>
                <w:rFonts w:ascii="Times New Roman" w:hAnsi="Times New Roman" w:cs="Times New Roman"/>
                <w:color w:val="000000"/>
                <w:kern w:val="0"/>
                <w:sz w:val="14"/>
                <w:szCs w:val="14"/>
                <w:highlight w:val="none"/>
              </w:rPr>
              <w:t>）</w:t>
            </w:r>
          </w:p>
        </w:tc>
        <w:tc>
          <w:tcPr>
            <w:tcW w:w="335" w:type="pct"/>
            <w:tcBorders>
              <w:top w:val="nil"/>
              <w:left w:val="nil"/>
              <w:bottom w:val="single" w:color="auto" w:sz="4" w:space="0"/>
              <w:right w:val="single" w:color="000000" w:sz="4" w:space="0"/>
            </w:tcBorders>
            <w:shd w:val="clear" w:color="auto" w:fill="auto"/>
            <w:vAlign w:val="center"/>
          </w:tcPr>
          <w:p w14:paraId="674BA2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化（mm</w:t>
            </w:r>
            <w:r>
              <w:rPr>
                <w:rFonts w:ascii="Times New Roman" w:hAnsi="Times New Roman" w:cs="Times New Roman"/>
                <w:color w:val="000000"/>
                <w:kern w:val="0"/>
                <w:sz w:val="14"/>
                <w:szCs w:val="14"/>
                <w:highlight w:val="none"/>
              </w:rPr>
              <w:t>）</w:t>
            </w:r>
          </w:p>
        </w:tc>
        <w:tc>
          <w:tcPr>
            <w:tcW w:w="335" w:type="pct"/>
            <w:tcBorders>
              <w:top w:val="nil"/>
              <w:left w:val="nil"/>
              <w:bottom w:val="single" w:color="auto" w:sz="4" w:space="0"/>
              <w:right w:val="single" w:color="000000" w:sz="4" w:space="0"/>
            </w:tcBorders>
            <w:shd w:val="clear" w:color="auto" w:fill="auto"/>
            <w:vAlign w:val="center"/>
          </w:tcPr>
          <w:p w14:paraId="6B4FB4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1A33B2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335" w:type="pct"/>
            <w:gridSpan w:val="3"/>
            <w:tcBorders>
              <w:top w:val="nil"/>
              <w:left w:val="nil"/>
              <w:bottom w:val="single" w:color="auto" w:sz="4" w:space="0"/>
              <w:right w:val="single" w:color="000000" w:sz="4" w:space="0"/>
            </w:tcBorders>
            <w:shd w:val="clear" w:color="auto" w:fill="auto"/>
            <w:vAlign w:val="center"/>
          </w:tcPr>
          <w:p w14:paraId="13E0A0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化（mm</w:t>
            </w:r>
            <w:r>
              <w:rPr>
                <w:rFonts w:ascii="Times New Roman" w:hAnsi="Times New Roman" w:cs="Times New Roman"/>
                <w:color w:val="000000"/>
                <w:kern w:val="0"/>
                <w:sz w:val="14"/>
                <w:szCs w:val="14"/>
                <w:highlight w:val="none"/>
              </w:rPr>
              <w:t>）</w:t>
            </w:r>
          </w:p>
        </w:tc>
        <w:tc>
          <w:tcPr>
            <w:tcW w:w="335" w:type="pct"/>
            <w:tcBorders>
              <w:top w:val="nil"/>
              <w:left w:val="nil"/>
              <w:bottom w:val="single" w:color="auto" w:sz="4" w:space="0"/>
              <w:right w:val="single" w:color="000000" w:sz="4" w:space="0"/>
            </w:tcBorders>
            <w:shd w:val="clear" w:color="auto" w:fill="auto"/>
            <w:vAlign w:val="center"/>
          </w:tcPr>
          <w:p w14:paraId="4210FA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化（mm</w:t>
            </w:r>
            <w:r>
              <w:rPr>
                <w:rFonts w:ascii="Times New Roman" w:hAnsi="Times New Roman" w:cs="Times New Roman"/>
                <w:color w:val="000000"/>
                <w:kern w:val="0"/>
                <w:sz w:val="14"/>
                <w:szCs w:val="14"/>
                <w:highlight w:val="none"/>
              </w:rPr>
              <w:t>）</w:t>
            </w:r>
          </w:p>
        </w:tc>
        <w:tc>
          <w:tcPr>
            <w:tcW w:w="335" w:type="pct"/>
            <w:tcBorders>
              <w:top w:val="nil"/>
              <w:left w:val="nil"/>
              <w:bottom w:val="single" w:color="auto" w:sz="4" w:space="0"/>
              <w:right w:val="single" w:color="000000" w:sz="4" w:space="0"/>
            </w:tcBorders>
            <w:shd w:val="clear" w:color="auto" w:fill="auto"/>
            <w:vAlign w:val="center"/>
          </w:tcPr>
          <w:p w14:paraId="3E2FFA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35FC38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335" w:type="pct"/>
            <w:gridSpan w:val="2"/>
            <w:tcBorders>
              <w:top w:val="nil"/>
              <w:left w:val="nil"/>
              <w:bottom w:val="single" w:color="auto" w:sz="4" w:space="0"/>
              <w:right w:val="single" w:color="000000" w:sz="4" w:space="0"/>
            </w:tcBorders>
            <w:shd w:val="clear" w:color="auto" w:fill="auto"/>
            <w:vAlign w:val="center"/>
          </w:tcPr>
          <w:p w14:paraId="482FA8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 变 化（mm</w:t>
            </w:r>
            <w:r>
              <w:rPr>
                <w:rFonts w:ascii="Times New Roman" w:hAnsi="Times New Roman" w:cs="Times New Roman"/>
                <w:color w:val="000000"/>
                <w:kern w:val="0"/>
                <w:sz w:val="14"/>
                <w:szCs w:val="14"/>
                <w:highlight w:val="none"/>
              </w:rPr>
              <w:t>）</w:t>
            </w:r>
          </w:p>
        </w:tc>
        <w:tc>
          <w:tcPr>
            <w:tcW w:w="335" w:type="pct"/>
            <w:tcBorders>
              <w:top w:val="nil"/>
              <w:left w:val="nil"/>
              <w:bottom w:val="single" w:color="auto" w:sz="4" w:space="0"/>
              <w:right w:val="single" w:color="000000" w:sz="4" w:space="0"/>
            </w:tcBorders>
            <w:shd w:val="clear" w:color="auto" w:fill="auto"/>
            <w:vAlign w:val="center"/>
          </w:tcPr>
          <w:p w14:paraId="4C5B9C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化（mm</w:t>
            </w:r>
            <w:r>
              <w:rPr>
                <w:rFonts w:ascii="Times New Roman" w:hAnsi="Times New Roman" w:cs="Times New Roman"/>
                <w:color w:val="000000"/>
                <w:kern w:val="0"/>
                <w:sz w:val="14"/>
                <w:szCs w:val="14"/>
                <w:highlight w:val="none"/>
              </w:rPr>
              <w:t>）</w:t>
            </w:r>
          </w:p>
        </w:tc>
        <w:tc>
          <w:tcPr>
            <w:tcW w:w="343" w:type="pct"/>
            <w:tcBorders>
              <w:top w:val="nil"/>
              <w:left w:val="nil"/>
              <w:bottom w:val="single" w:color="auto" w:sz="4" w:space="0"/>
              <w:right w:val="single" w:color="000000" w:sz="4" w:space="0"/>
            </w:tcBorders>
            <w:shd w:val="clear" w:color="auto" w:fill="auto"/>
            <w:vAlign w:val="center"/>
          </w:tcPr>
          <w:p w14:paraId="41E83C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7CE845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r>
      <w:tr w14:paraId="0179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5" w:type="pct"/>
            <w:tcBorders>
              <w:top w:val="nil"/>
              <w:left w:val="single" w:color="000000" w:sz="4" w:space="0"/>
              <w:bottom w:val="single" w:color="000000" w:sz="4" w:space="0"/>
              <w:right w:val="single" w:color="000000" w:sz="4" w:space="0"/>
            </w:tcBorders>
            <w:shd w:val="clear" w:color="auto" w:fill="auto"/>
            <w:noWrap/>
            <w:vAlign w:val="center"/>
          </w:tcPr>
          <w:p w14:paraId="31CCE2D6">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nil"/>
              <w:bottom w:val="single" w:color="000000" w:sz="4" w:space="0"/>
              <w:right w:val="single" w:color="auto" w:sz="4" w:space="0"/>
            </w:tcBorders>
          </w:tcPr>
          <w:p w14:paraId="23F9E5A1">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single" w:color="auto" w:sz="4" w:space="0"/>
              <w:bottom w:val="single" w:color="000000" w:sz="4" w:space="0"/>
              <w:right w:val="single" w:color="000000" w:sz="4" w:space="0"/>
            </w:tcBorders>
            <w:shd w:val="clear" w:color="auto" w:fill="auto"/>
            <w:noWrap/>
            <w:vAlign w:val="center"/>
          </w:tcPr>
          <w:p w14:paraId="1FC2CBF7">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6E3527C0">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30F0FBC6">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74B1CBCF">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14:paraId="09BE1B7B">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3474CAC6">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3B417F31">
            <w:pPr>
              <w:widowControl/>
              <w:spacing w:line="240" w:lineRule="auto"/>
              <w:jc w:val="center"/>
              <w:rPr>
                <w:rFonts w:ascii="Times New Roman" w:hAnsi="Times New Roman" w:cs="Times New Roman"/>
                <w:color w:val="000000"/>
                <w:kern w:val="0"/>
                <w:sz w:val="14"/>
                <w:szCs w:val="14"/>
                <w:highlight w:val="none"/>
              </w:rPr>
            </w:pPr>
          </w:p>
        </w:tc>
        <w:tc>
          <w:tcPr>
            <w:tcW w:w="335" w:type="pct"/>
            <w:gridSpan w:val="3"/>
            <w:tcBorders>
              <w:top w:val="nil"/>
              <w:left w:val="nil"/>
              <w:bottom w:val="single" w:color="000000" w:sz="4" w:space="0"/>
              <w:right w:val="single" w:color="000000" w:sz="4" w:space="0"/>
            </w:tcBorders>
            <w:shd w:val="clear" w:color="auto" w:fill="auto"/>
            <w:noWrap/>
            <w:vAlign w:val="center"/>
          </w:tcPr>
          <w:p w14:paraId="630E95D1">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13490B1F">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3CADE9DD">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14:paraId="118402D1">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61958437">
            <w:pPr>
              <w:widowControl/>
              <w:spacing w:line="240" w:lineRule="auto"/>
              <w:jc w:val="center"/>
              <w:rPr>
                <w:rFonts w:ascii="Times New Roman" w:hAnsi="Times New Roman" w:cs="Times New Roman"/>
                <w:color w:val="000000"/>
                <w:kern w:val="0"/>
                <w:sz w:val="14"/>
                <w:szCs w:val="14"/>
                <w:highlight w:val="none"/>
              </w:rPr>
            </w:pPr>
          </w:p>
        </w:tc>
        <w:tc>
          <w:tcPr>
            <w:tcW w:w="343" w:type="pct"/>
            <w:tcBorders>
              <w:top w:val="nil"/>
              <w:left w:val="nil"/>
              <w:bottom w:val="single" w:color="000000" w:sz="4" w:space="0"/>
              <w:right w:val="single" w:color="000000" w:sz="4" w:space="0"/>
            </w:tcBorders>
            <w:shd w:val="clear" w:color="auto" w:fill="auto"/>
            <w:noWrap/>
            <w:vAlign w:val="center"/>
          </w:tcPr>
          <w:p w14:paraId="1C136958">
            <w:pPr>
              <w:widowControl/>
              <w:spacing w:line="240" w:lineRule="auto"/>
              <w:jc w:val="center"/>
              <w:rPr>
                <w:rFonts w:ascii="Times New Roman" w:hAnsi="Times New Roman" w:cs="Times New Roman"/>
                <w:color w:val="000000"/>
                <w:kern w:val="0"/>
                <w:sz w:val="14"/>
                <w:szCs w:val="14"/>
                <w:highlight w:val="none"/>
              </w:rPr>
            </w:pPr>
          </w:p>
        </w:tc>
      </w:tr>
      <w:tr w14:paraId="005A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5" w:type="pct"/>
            <w:tcBorders>
              <w:top w:val="nil"/>
              <w:left w:val="single" w:color="000000" w:sz="4" w:space="0"/>
              <w:bottom w:val="single" w:color="000000" w:sz="4" w:space="0"/>
              <w:right w:val="single" w:color="000000" w:sz="4" w:space="0"/>
            </w:tcBorders>
            <w:shd w:val="clear" w:color="auto" w:fill="auto"/>
            <w:noWrap/>
            <w:vAlign w:val="center"/>
          </w:tcPr>
          <w:p w14:paraId="363C43BB">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nil"/>
              <w:bottom w:val="single" w:color="000000" w:sz="4" w:space="0"/>
              <w:right w:val="single" w:color="auto" w:sz="4" w:space="0"/>
            </w:tcBorders>
          </w:tcPr>
          <w:p w14:paraId="3473F187">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single" w:color="auto" w:sz="4" w:space="0"/>
              <w:bottom w:val="single" w:color="000000" w:sz="4" w:space="0"/>
              <w:right w:val="single" w:color="000000" w:sz="4" w:space="0"/>
            </w:tcBorders>
            <w:shd w:val="clear" w:color="auto" w:fill="auto"/>
            <w:noWrap/>
            <w:vAlign w:val="center"/>
          </w:tcPr>
          <w:p w14:paraId="316C11B5">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25B2D896">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0D359C11">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1C359C42">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14:paraId="1A4A441F">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60D30443">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2D0260E8">
            <w:pPr>
              <w:widowControl/>
              <w:spacing w:line="240" w:lineRule="auto"/>
              <w:jc w:val="center"/>
              <w:rPr>
                <w:rFonts w:ascii="Times New Roman" w:hAnsi="Times New Roman" w:cs="Times New Roman"/>
                <w:color w:val="000000"/>
                <w:kern w:val="0"/>
                <w:sz w:val="14"/>
                <w:szCs w:val="14"/>
                <w:highlight w:val="none"/>
              </w:rPr>
            </w:pPr>
          </w:p>
        </w:tc>
        <w:tc>
          <w:tcPr>
            <w:tcW w:w="335" w:type="pct"/>
            <w:gridSpan w:val="3"/>
            <w:tcBorders>
              <w:top w:val="nil"/>
              <w:left w:val="nil"/>
              <w:bottom w:val="single" w:color="000000" w:sz="4" w:space="0"/>
              <w:right w:val="single" w:color="000000" w:sz="4" w:space="0"/>
            </w:tcBorders>
            <w:shd w:val="clear" w:color="auto" w:fill="auto"/>
            <w:noWrap/>
            <w:vAlign w:val="center"/>
          </w:tcPr>
          <w:p w14:paraId="0B66F87C">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751B7D84">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361199F6">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14:paraId="7CAA4139">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012C37EC">
            <w:pPr>
              <w:widowControl/>
              <w:spacing w:line="240" w:lineRule="auto"/>
              <w:jc w:val="center"/>
              <w:rPr>
                <w:rFonts w:ascii="Times New Roman" w:hAnsi="Times New Roman" w:cs="Times New Roman"/>
                <w:color w:val="000000"/>
                <w:kern w:val="0"/>
                <w:sz w:val="14"/>
                <w:szCs w:val="14"/>
                <w:highlight w:val="none"/>
              </w:rPr>
            </w:pPr>
          </w:p>
        </w:tc>
        <w:tc>
          <w:tcPr>
            <w:tcW w:w="343" w:type="pct"/>
            <w:tcBorders>
              <w:top w:val="nil"/>
              <w:left w:val="nil"/>
              <w:bottom w:val="single" w:color="000000" w:sz="4" w:space="0"/>
              <w:right w:val="single" w:color="000000" w:sz="4" w:space="0"/>
            </w:tcBorders>
            <w:shd w:val="clear" w:color="auto" w:fill="auto"/>
            <w:noWrap/>
            <w:vAlign w:val="center"/>
          </w:tcPr>
          <w:p w14:paraId="0999C2E9">
            <w:pPr>
              <w:widowControl/>
              <w:spacing w:line="240" w:lineRule="auto"/>
              <w:jc w:val="center"/>
              <w:rPr>
                <w:rFonts w:ascii="Times New Roman" w:hAnsi="Times New Roman" w:cs="Times New Roman"/>
                <w:color w:val="000000"/>
                <w:kern w:val="0"/>
                <w:sz w:val="14"/>
                <w:szCs w:val="14"/>
                <w:highlight w:val="none"/>
              </w:rPr>
            </w:pPr>
          </w:p>
        </w:tc>
      </w:tr>
      <w:tr w14:paraId="13A3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5" w:type="pct"/>
            <w:tcBorders>
              <w:top w:val="nil"/>
              <w:left w:val="single" w:color="000000" w:sz="4" w:space="0"/>
              <w:bottom w:val="single" w:color="000000" w:sz="4" w:space="0"/>
              <w:right w:val="single" w:color="000000" w:sz="4" w:space="0"/>
            </w:tcBorders>
            <w:shd w:val="clear" w:color="auto" w:fill="auto"/>
            <w:noWrap/>
            <w:vAlign w:val="center"/>
          </w:tcPr>
          <w:p w14:paraId="660EA55F">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nil"/>
              <w:bottom w:val="single" w:color="000000" w:sz="4" w:space="0"/>
              <w:right w:val="single" w:color="auto" w:sz="4" w:space="0"/>
            </w:tcBorders>
          </w:tcPr>
          <w:p w14:paraId="7FE9309E">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single" w:color="auto" w:sz="4" w:space="0"/>
              <w:bottom w:val="single" w:color="000000" w:sz="4" w:space="0"/>
              <w:right w:val="single" w:color="000000" w:sz="4" w:space="0"/>
            </w:tcBorders>
            <w:shd w:val="clear" w:color="auto" w:fill="auto"/>
            <w:noWrap/>
            <w:vAlign w:val="center"/>
          </w:tcPr>
          <w:p w14:paraId="0FD3EAFC">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24BDF6CF">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5EA49B46">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3EC172FE">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14:paraId="1B6B5544">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694571A0">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0A5C50F9">
            <w:pPr>
              <w:widowControl/>
              <w:spacing w:line="240" w:lineRule="auto"/>
              <w:jc w:val="center"/>
              <w:rPr>
                <w:rFonts w:ascii="Times New Roman" w:hAnsi="Times New Roman" w:cs="Times New Roman"/>
                <w:color w:val="000000"/>
                <w:kern w:val="0"/>
                <w:sz w:val="14"/>
                <w:szCs w:val="14"/>
                <w:highlight w:val="none"/>
              </w:rPr>
            </w:pPr>
          </w:p>
        </w:tc>
        <w:tc>
          <w:tcPr>
            <w:tcW w:w="335" w:type="pct"/>
            <w:gridSpan w:val="3"/>
            <w:tcBorders>
              <w:top w:val="nil"/>
              <w:left w:val="nil"/>
              <w:bottom w:val="single" w:color="000000" w:sz="4" w:space="0"/>
              <w:right w:val="single" w:color="000000" w:sz="4" w:space="0"/>
            </w:tcBorders>
            <w:shd w:val="clear" w:color="auto" w:fill="auto"/>
            <w:noWrap/>
            <w:vAlign w:val="center"/>
          </w:tcPr>
          <w:p w14:paraId="1BFA69C1">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16157713">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462A0228">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14:paraId="31DBD9F3">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47B5970F">
            <w:pPr>
              <w:widowControl/>
              <w:spacing w:line="240" w:lineRule="auto"/>
              <w:jc w:val="center"/>
              <w:rPr>
                <w:rFonts w:ascii="Times New Roman" w:hAnsi="Times New Roman" w:cs="Times New Roman"/>
                <w:color w:val="000000"/>
                <w:kern w:val="0"/>
                <w:sz w:val="14"/>
                <w:szCs w:val="14"/>
                <w:highlight w:val="none"/>
              </w:rPr>
            </w:pPr>
          </w:p>
        </w:tc>
        <w:tc>
          <w:tcPr>
            <w:tcW w:w="343" w:type="pct"/>
            <w:tcBorders>
              <w:top w:val="nil"/>
              <w:left w:val="nil"/>
              <w:bottom w:val="single" w:color="000000" w:sz="4" w:space="0"/>
              <w:right w:val="single" w:color="000000" w:sz="4" w:space="0"/>
            </w:tcBorders>
            <w:shd w:val="clear" w:color="auto" w:fill="auto"/>
            <w:noWrap/>
            <w:vAlign w:val="center"/>
          </w:tcPr>
          <w:p w14:paraId="6B0D9399">
            <w:pPr>
              <w:widowControl/>
              <w:spacing w:line="240" w:lineRule="auto"/>
              <w:jc w:val="center"/>
              <w:rPr>
                <w:rFonts w:ascii="Times New Roman" w:hAnsi="Times New Roman" w:cs="Times New Roman"/>
                <w:color w:val="000000"/>
                <w:kern w:val="0"/>
                <w:sz w:val="14"/>
                <w:szCs w:val="14"/>
                <w:highlight w:val="none"/>
              </w:rPr>
            </w:pPr>
          </w:p>
        </w:tc>
      </w:tr>
      <w:tr w14:paraId="4616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5" w:type="pct"/>
            <w:tcBorders>
              <w:top w:val="nil"/>
              <w:left w:val="single" w:color="000000" w:sz="4" w:space="0"/>
              <w:bottom w:val="single" w:color="000000" w:sz="4" w:space="0"/>
              <w:right w:val="single" w:color="000000" w:sz="4" w:space="0"/>
            </w:tcBorders>
            <w:shd w:val="clear" w:color="auto" w:fill="auto"/>
            <w:noWrap/>
            <w:vAlign w:val="center"/>
          </w:tcPr>
          <w:p w14:paraId="49C3AC95">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nil"/>
              <w:bottom w:val="single" w:color="000000" w:sz="4" w:space="0"/>
              <w:right w:val="single" w:color="auto" w:sz="4" w:space="0"/>
            </w:tcBorders>
          </w:tcPr>
          <w:p w14:paraId="59C255DD">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single" w:color="auto" w:sz="4" w:space="0"/>
              <w:bottom w:val="single" w:color="000000" w:sz="4" w:space="0"/>
              <w:right w:val="single" w:color="000000" w:sz="4" w:space="0"/>
            </w:tcBorders>
            <w:shd w:val="clear" w:color="auto" w:fill="auto"/>
            <w:noWrap/>
            <w:vAlign w:val="center"/>
          </w:tcPr>
          <w:p w14:paraId="557B3AFA">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08124483">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3A74EF62">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49994484">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14:paraId="26C23F41">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444A9BB3">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74C2E063">
            <w:pPr>
              <w:widowControl/>
              <w:spacing w:line="240" w:lineRule="auto"/>
              <w:jc w:val="center"/>
              <w:rPr>
                <w:rFonts w:ascii="Times New Roman" w:hAnsi="Times New Roman" w:cs="Times New Roman"/>
                <w:color w:val="000000"/>
                <w:kern w:val="0"/>
                <w:sz w:val="14"/>
                <w:szCs w:val="14"/>
                <w:highlight w:val="none"/>
              </w:rPr>
            </w:pPr>
          </w:p>
        </w:tc>
        <w:tc>
          <w:tcPr>
            <w:tcW w:w="335" w:type="pct"/>
            <w:gridSpan w:val="3"/>
            <w:tcBorders>
              <w:top w:val="nil"/>
              <w:left w:val="nil"/>
              <w:bottom w:val="single" w:color="000000" w:sz="4" w:space="0"/>
              <w:right w:val="single" w:color="000000" w:sz="4" w:space="0"/>
            </w:tcBorders>
            <w:shd w:val="clear" w:color="auto" w:fill="auto"/>
            <w:noWrap/>
            <w:vAlign w:val="center"/>
          </w:tcPr>
          <w:p w14:paraId="615AA455">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70F31A06">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69DDDACE">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14:paraId="521C9C7F">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1740CE01">
            <w:pPr>
              <w:widowControl/>
              <w:spacing w:line="240" w:lineRule="auto"/>
              <w:jc w:val="center"/>
              <w:rPr>
                <w:rFonts w:ascii="Times New Roman" w:hAnsi="Times New Roman" w:cs="Times New Roman"/>
                <w:color w:val="000000"/>
                <w:kern w:val="0"/>
                <w:sz w:val="14"/>
                <w:szCs w:val="14"/>
                <w:highlight w:val="none"/>
              </w:rPr>
            </w:pPr>
          </w:p>
        </w:tc>
        <w:tc>
          <w:tcPr>
            <w:tcW w:w="343" w:type="pct"/>
            <w:tcBorders>
              <w:top w:val="nil"/>
              <w:left w:val="nil"/>
              <w:bottom w:val="single" w:color="000000" w:sz="4" w:space="0"/>
              <w:right w:val="single" w:color="000000" w:sz="4" w:space="0"/>
            </w:tcBorders>
            <w:shd w:val="clear" w:color="auto" w:fill="auto"/>
            <w:noWrap/>
            <w:vAlign w:val="center"/>
          </w:tcPr>
          <w:p w14:paraId="4B117540">
            <w:pPr>
              <w:widowControl/>
              <w:spacing w:line="240" w:lineRule="auto"/>
              <w:jc w:val="center"/>
              <w:rPr>
                <w:rFonts w:ascii="Times New Roman" w:hAnsi="Times New Roman" w:cs="Times New Roman"/>
                <w:color w:val="000000"/>
                <w:kern w:val="0"/>
                <w:sz w:val="14"/>
                <w:szCs w:val="14"/>
                <w:highlight w:val="none"/>
              </w:rPr>
            </w:pPr>
          </w:p>
        </w:tc>
      </w:tr>
      <w:tr w14:paraId="0068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5" w:type="pct"/>
            <w:tcBorders>
              <w:top w:val="nil"/>
              <w:left w:val="single" w:color="000000" w:sz="4" w:space="0"/>
              <w:bottom w:val="single" w:color="000000" w:sz="4" w:space="0"/>
              <w:right w:val="single" w:color="000000" w:sz="4" w:space="0"/>
            </w:tcBorders>
            <w:shd w:val="clear" w:color="auto" w:fill="auto"/>
            <w:noWrap/>
            <w:vAlign w:val="center"/>
          </w:tcPr>
          <w:p w14:paraId="798D7E3E">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nil"/>
              <w:bottom w:val="single" w:color="000000" w:sz="4" w:space="0"/>
              <w:right w:val="single" w:color="auto" w:sz="4" w:space="0"/>
            </w:tcBorders>
          </w:tcPr>
          <w:p w14:paraId="33C54DCF">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single" w:color="auto" w:sz="4" w:space="0"/>
              <w:bottom w:val="single" w:color="000000" w:sz="4" w:space="0"/>
              <w:right w:val="single" w:color="000000" w:sz="4" w:space="0"/>
            </w:tcBorders>
            <w:shd w:val="clear" w:color="auto" w:fill="auto"/>
            <w:noWrap/>
            <w:vAlign w:val="center"/>
          </w:tcPr>
          <w:p w14:paraId="081219B6">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5FAA702E">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2D5BF882">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164DE6B1">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14:paraId="467D90E7">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6FDC0539">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563DD543">
            <w:pPr>
              <w:widowControl/>
              <w:spacing w:line="240" w:lineRule="auto"/>
              <w:jc w:val="center"/>
              <w:rPr>
                <w:rFonts w:ascii="Times New Roman" w:hAnsi="Times New Roman" w:cs="Times New Roman"/>
                <w:color w:val="000000"/>
                <w:kern w:val="0"/>
                <w:sz w:val="14"/>
                <w:szCs w:val="14"/>
                <w:highlight w:val="none"/>
              </w:rPr>
            </w:pPr>
          </w:p>
        </w:tc>
        <w:tc>
          <w:tcPr>
            <w:tcW w:w="335" w:type="pct"/>
            <w:gridSpan w:val="3"/>
            <w:tcBorders>
              <w:top w:val="nil"/>
              <w:left w:val="nil"/>
              <w:bottom w:val="single" w:color="000000" w:sz="4" w:space="0"/>
              <w:right w:val="single" w:color="000000" w:sz="4" w:space="0"/>
            </w:tcBorders>
            <w:shd w:val="clear" w:color="auto" w:fill="auto"/>
            <w:noWrap/>
            <w:vAlign w:val="center"/>
          </w:tcPr>
          <w:p w14:paraId="01C0F9DF">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1D07B06B">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206794C1">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14:paraId="4ED281D5">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2A59306A">
            <w:pPr>
              <w:widowControl/>
              <w:spacing w:line="240" w:lineRule="auto"/>
              <w:jc w:val="center"/>
              <w:rPr>
                <w:rFonts w:ascii="Times New Roman" w:hAnsi="Times New Roman" w:cs="Times New Roman"/>
                <w:color w:val="000000"/>
                <w:kern w:val="0"/>
                <w:sz w:val="14"/>
                <w:szCs w:val="14"/>
                <w:highlight w:val="none"/>
              </w:rPr>
            </w:pPr>
          </w:p>
        </w:tc>
        <w:tc>
          <w:tcPr>
            <w:tcW w:w="343" w:type="pct"/>
            <w:tcBorders>
              <w:top w:val="nil"/>
              <w:left w:val="nil"/>
              <w:bottom w:val="single" w:color="000000" w:sz="4" w:space="0"/>
              <w:right w:val="single" w:color="000000" w:sz="4" w:space="0"/>
            </w:tcBorders>
            <w:shd w:val="clear" w:color="auto" w:fill="auto"/>
            <w:noWrap/>
            <w:vAlign w:val="center"/>
          </w:tcPr>
          <w:p w14:paraId="6AAD0E3E">
            <w:pPr>
              <w:widowControl/>
              <w:spacing w:line="240" w:lineRule="auto"/>
              <w:jc w:val="center"/>
              <w:rPr>
                <w:rFonts w:ascii="Times New Roman" w:hAnsi="Times New Roman" w:cs="Times New Roman"/>
                <w:color w:val="000000"/>
                <w:kern w:val="0"/>
                <w:sz w:val="14"/>
                <w:szCs w:val="14"/>
                <w:highlight w:val="none"/>
              </w:rPr>
            </w:pPr>
          </w:p>
        </w:tc>
      </w:tr>
      <w:tr w14:paraId="2345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5" w:type="pct"/>
            <w:tcBorders>
              <w:top w:val="nil"/>
              <w:left w:val="single" w:color="000000" w:sz="4" w:space="0"/>
              <w:bottom w:val="single" w:color="000000" w:sz="4" w:space="0"/>
              <w:right w:val="single" w:color="000000" w:sz="4" w:space="0"/>
            </w:tcBorders>
            <w:shd w:val="clear" w:color="auto" w:fill="auto"/>
            <w:noWrap/>
            <w:vAlign w:val="center"/>
          </w:tcPr>
          <w:p w14:paraId="4A7943AC">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nil"/>
              <w:bottom w:val="single" w:color="000000" w:sz="4" w:space="0"/>
              <w:right w:val="single" w:color="auto" w:sz="4" w:space="0"/>
            </w:tcBorders>
          </w:tcPr>
          <w:p w14:paraId="2901C723">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single" w:color="auto" w:sz="4" w:space="0"/>
              <w:bottom w:val="single" w:color="000000" w:sz="4" w:space="0"/>
              <w:right w:val="single" w:color="000000" w:sz="4" w:space="0"/>
            </w:tcBorders>
            <w:shd w:val="clear" w:color="auto" w:fill="auto"/>
            <w:noWrap/>
            <w:vAlign w:val="center"/>
          </w:tcPr>
          <w:p w14:paraId="40CE4716">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6436D52C">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20CD4A76">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72CDA4C4">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14:paraId="61FE584C">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49DE1D53">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249DBE40">
            <w:pPr>
              <w:widowControl/>
              <w:spacing w:line="240" w:lineRule="auto"/>
              <w:jc w:val="center"/>
              <w:rPr>
                <w:rFonts w:ascii="Times New Roman" w:hAnsi="Times New Roman" w:cs="Times New Roman"/>
                <w:color w:val="000000"/>
                <w:kern w:val="0"/>
                <w:sz w:val="14"/>
                <w:szCs w:val="14"/>
                <w:highlight w:val="none"/>
              </w:rPr>
            </w:pPr>
          </w:p>
        </w:tc>
        <w:tc>
          <w:tcPr>
            <w:tcW w:w="335" w:type="pct"/>
            <w:gridSpan w:val="3"/>
            <w:tcBorders>
              <w:top w:val="nil"/>
              <w:left w:val="nil"/>
              <w:bottom w:val="single" w:color="000000" w:sz="4" w:space="0"/>
              <w:right w:val="single" w:color="000000" w:sz="4" w:space="0"/>
            </w:tcBorders>
            <w:shd w:val="clear" w:color="auto" w:fill="auto"/>
            <w:noWrap/>
            <w:vAlign w:val="center"/>
          </w:tcPr>
          <w:p w14:paraId="2F0D24BE">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36B8828F">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7A000483">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14:paraId="29EFA044">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14:paraId="7703B402">
            <w:pPr>
              <w:widowControl/>
              <w:spacing w:line="240" w:lineRule="auto"/>
              <w:jc w:val="center"/>
              <w:rPr>
                <w:rFonts w:ascii="Times New Roman" w:hAnsi="Times New Roman" w:cs="Times New Roman"/>
                <w:color w:val="000000"/>
                <w:kern w:val="0"/>
                <w:sz w:val="14"/>
                <w:szCs w:val="14"/>
                <w:highlight w:val="none"/>
              </w:rPr>
            </w:pPr>
          </w:p>
        </w:tc>
        <w:tc>
          <w:tcPr>
            <w:tcW w:w="343" w:type="pct"/>
            <w:tcBorders>
              <w:top w:val="nil"/>
              <w:left w:val="nil"/>
              <w:bottom w:val="single" w:color="000000" w:sz="4" w:space="0"/>
              <w:right w:val="single" w:color="000000" w:sz="4" w:space="0"/>
            </w:tcBorders>
            <w:shd w:val="clear" w:color="auto" w:fill="auto"/>
            <w:noWrap/>
            <w:vAlign w:val="center"/>
          </w:tcPr>
          <w:p w14:paraId="367F604F">
            <w:pPr>
              <w:widowControl/>
              <w:spacing w:line="240" w:lineRule="auto"/>
              <w:jc w:val="center"/>
              <w:rPr>
                <w:rFonts w:ascii="Times New Roman" w:hAnsi="Times New Roman" w:cs="Times New Roman"/>
                <w:color w:val="000000"/>
                <w:kern w:val="0"/>
                <w:sz w:val="14"/>
                <w:szCs w:val="14"/>
                <w:highlight w:val="none"/>
              </w:rPr>
            </w:pPr>
          </w:p>
        </w:tc>
      </w:tr>
      <w:tr w14:paraId="410E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64" w:type="pct"/>
            <w:gridSpan w:val="3"/>
            <w:tcBorders>
              <w:top w:val="single" w:color="000000" w:sz="4" w:space="0"/>
              <w:left w:val="single" w:color="000000" w:sz="4" w:space="0"/>
              <w:bottom w:val="single" w:color="000000" w:sz="4" w:space="0"/>
              <w:right w:val="single" w:color="000000" w:sz="4" w:space="0"/>
            </w:tcBorders>
            <w:vAlign w:val="center"/>
          </w:tcPr>
          <w:p w14:paraId="598E8D33">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工况简述</w:t>
            </w:r>
          </w:p>
        </w:tc>
        <w:tc>
          <w:tcPr>
            <w:tcW w:w="1007" w:type="pct"/>
            <w:gridSpan w:val="4"/>
            <w:tcBorders>
              <w:top w:val="single" w:color="000000" w:sz="4" w:space="0"/>
              <w:left w:val="nil"/>
              <w:bottom w:val="single" w:color="000000" w:sz="4" w:space="0"/>
              <w:right w:val="single" w:color="000000" w:sz="4" w:space="0"/>
            </w:tcBorders>
            <w:shd w:val="clear" w:color="auto" w:fill="auto"/>
            <w:noWrap/>
            <w:vAlign w:val="center"/>
          </w:tcPr>
          <w:p w14:paraId="2EAEF0D5">
            <w:pPr>
              <w:widowControl/>
              <w:spacing w:line="240" w:lineRule="auto"/>
              <w:jc w:val="center"/>
              <w:rPr>
                <w:rFonts w:ascii="Times New Roman" w:hAnsi="Times New Roman" w:cs="Times New Roman"/>
                <w:color w:val="000000"/>
                <w:kern w:val="0"/>
                <w:sz w:val="14"/>
                <w:szCs w:val="14"/>
                <w:highlight w:val="none"/>
              </w:rPr>
            </w:pPr>
          </w:p>
        </w:tc>
        <w:tc>
          <w:tcPr>
            <w:tcW w:w="1007" w:type="pct"/>
            <w:gridSpan w:val="4"/>
            <w:tcBorders>
              <w:top w:val="nil"/>
              <w:left w:val="nil"/>
              <w:bottom w:val="single" w:color="000000" w:sz="4" w:space="0"/>
              <w:right w:val="single" w:color="000000" w:sz="4" w:space="0"/>
            </w:tcBorders>
            <w:shd w:val="clear" w:color="auto" w:fill="auto"/>
            <w:noWrap/>
            <w:vAlign w:val="center"/>
          </w:tcPr>
          <w:p w14:paraId="11697AC1">
            <w:pPr>
              <w:widowControl/>
              <w:spacing w:line="240" w:lineRule="auto"/>
              <w:jc w:val="center"/>
              <w:rPr>
                <w:rFonts w:ascii="Times New Roman" w:hAnsi="Times New Roman" w:cs="Times New Roman"/>
                <w:color w:val="000000"/>
                <w:kern w:val="0"/>
                <w:sz w:val="14"/>
                <w:szCs w:val="14"/>
                <w:highlight w:val="none"/>
              </w:rPr>
            </w:pPr>
          </w:p>
        </w:tc>
        <w:tc>
          <w:tcPr>
            <w:tcW w:w="1007" w:type="pct"/>
            <w:gridSpan w:val="5"/>
            <w:tcBorders>
              <w:top w:val="nil"/>
              <w:left w:val="nil"/>
              <w:bottom w:val="single" w:color="000000" w:sz="4" w:space="0"/>
              <w:right w:val="single" w:color="000000" w:sz="4" w:space="0"/>
            </w:tcBorders>
            <w:shd w:val="clear" w:color="auto" w:fill="auto"/>
            <w:noWrap/>
            <w:vAlign w:val="center"/>
          </w:tcPr>
          <w:p w14:paraId="2DB72C39">
            <w:pPr>
              <w:widowControl/>
              <w:spacing w:line="240" w:lineRule="auto"/>
              <w:jc w:val="center"/>
              <w:rPr>
                <w:rFonts w:ascii="Times New Roman" w:hAnsi="Times New Roman" w:cs="Times New Roman"/>
                <w:color w:val="000000"/>
                <w:kern w:val="0"/>
                <w:sz w:val="14"/>
                <w:szCs w:val="14"/>
                <w:highlight w:val="none"/>
              </w:rPr>
            </w:pPr>
          </w:p>
        </w:tc>
        <w:tc>
          <w:tcPr>
            <w:tcW w:w="1011" w:type="pct"/>
            <w:gridSpan w:val="3"/>
            <w:tcBorders>
              <w:top w:val="nil"/>
              <w:left w:val="nil"/>
              <w:bottom w:val="single" w:color="000000" w:sz="4" w:space="0"/>
              <w:right w:val="single" w:color="000000" w:sz="4" w:space="0"/>
            </w:tcBorders>
            <w:shd w:val="clear" w:color="auto" w:fill="auto"/>
            <w:noWrap/>
            <w:vAlign w:val="center"/>
          </w:tcPr>
          <w:p w14:paraId="49BB41E6">
            <w:pPr>
              <w:widowControl/>
              <w:spacing w:line="240" w:lineRule="auto"/>
              <w:jc w:val="center"/>
              <w:rPr>
                <w:rFonts w:ascii="Times New Roman" w:hAnsi="Times New Roman" w:cs="Times New Roman"/>
                <w:color w:val="000000"/>
                <w:kern w:val="0"/>
                <w:sz w:val="14"/>
                <w:szCs w:val="14"/>
                <w:highlight w:val="none"/>
              </w:rPr>
            </w:pPr>
          </w:p>
        </w:tc>
      </w:tr>
      <w:tr w14:paraId="1AC0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64" w:type="pct"/>
            <w:gridSpan w:val="3"/>
            <w:tcBorders>
              <w:top w:val="single" w:color="000000" w:sz="4" w:space="0"/>
              <w:left w:val="single" w:color="000000" w:sz="4" w:space="0"/>
              <w:bottom w:val="single" w:color="000000" w:sz="4" w:space="0"/>
              <w:right w:val="single" w:color="000000" w:sz="4" w:space="0"/>
            </w:tcBorders>
            <w:vAlign w:val="center"/>
          </w:tcPr>
          <w:p w14:paraId="424D4562">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累计变化最大值</w:t>
            </w:r>
          </w:p>
        </w:tc>
        <w:tc>
          <w:tcPr>
            <w:tcW w:w="1007" w:type="pct"/>
            <w:gridSpan w:val="4"/>
            <w:tcBorders>
              <w:top w:val="single" w:color="000000" w:sz="4" w:space="0"/>
              <w:left w:val="nil"/>
              <w:bottom w:val="single" w:color="000000" w:sz="4" w:space="0"/>
              <w:right w:val="single" w:color="000000" w:sz="4" w:space="0"/>
            </w:tcBorders>
            <w:shd w:val="clear" w:color="auto" w:fill="auto"/>
            <w:noWrap/>
            <w:vAlign w:val="center"/>
          </w:tcPr>
          <w:p w14:paraId="407D25BE">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07" w:type="pct"/>
            <w:gridSpan w:val="4"/>
            <w:tcBorders>
              <w:top w:val="nil"/>
              <w:left w:val="nil"/>
              <w:bottom w:val="single" w:color="000000" w:sz="4" w:space="0"/>
              <w:right w:val="single" w:color="000000" w:sz="4" w:space="0"/>
            </w:tcBorders>
            <w:shd w:val="clear" w:color="auto" w:fill="auto"/>
            <w:noWrap/>
            <w:vAlign w:val="center"/>
          </w:tcPr>
          <w:p w14:paraId="7FCFBAFC">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07" w:type="pct"/>
            <w:gridSpan w:val="5"/>
            <w:tcBorders>
              <w:top w:val="nil"/>
              <w:left w:val="nil"/>
              <w:bottom w:val="single" w:color="000000" w:sz="4" w:space="0"/>
              <w:right w:val="single" w:color="000000" w:sz="4" w:space="0"/>
            </w:tcBorders>
            <w:shd w:val="clear" w:color="auto" w:fill="auto"/>
            <w:noWrap/>
            <w:vAlign w:val="center"/>
          </w:tcPr>
          <w:p w14:paraId="0737A8D6">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11" w:type="pct"/>
            <w:gridSpan w:val="3"/>
            <w:tcBorders>
              <w:top w:val="nil"/>
              <w:left w:val="nil"/>
              <w:bottom w:val="single" w:color="000000" w:sz="4" w:space="0"/>
              <w:right w:val="single" w:color="000000" w:sz="4" w:space="0"/>
            </w:tcBorders>
            <w:shd w:val="clear" w:color="auto" w:fill="auto"/>
            <w:noWrap/>
            <w:vAlign w:val="center"/>
          </w:tcPr>
          <w:p w14:paraId="03114DD8">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r>
      <w:tr w14:paraId="194D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64" w:type="pct"/>
            <w:gridSpan w:val="3"/>
            <w:tcBorders>
              <w:top w:val="single" w:color="000000" w:sz="4" w:space="0"/>
              <w:left w:val="single" w:color="000000" w:sz="4" w:space="0"/>
              <w:bottom w:val="single" w:color="000000" w:sz="4" w:space="0"/>
              <w:right w:val="single" w:color="000000" w:sz="4" w:space="0"/>
            </w:tcBorders>
            <w:vAlign w:val="center"/>
          </w:tcPr>
          <w:p w14:paraId="75787C78">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最大速率(mm/d)</w:t>
            </w:r>
          </w:p>
        </w:tc>
        <w:tc>
          <w:tcPr>
            <w:tcW w:w="1007" w:type="pct"/>
            <w:gridSpan w:val="4"/>
            <w:tcBorders>
              <w:top w:val="single" w:color="000000" w:sz="4" w:space="0"/>
              <w:left w:val="nil"/>
              <w:bottom w:val="single" w:color="000000" w:sz="4" w:space="0"/>
              <w:right w:val="single" w:color="000000" w:sz="4" w:space="0"/>
            </w:tcBorders>
            <w:shd w:val="clear" w:color="auto" w:fill="auto"/>
            <w:noWrap/>
            <w:vAlign w:val="center"/>
          </w:tcPr>
          <w:p w14:paraId="677258FD">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07" w:type="pct"/>
            <w:gridSpan w:val="4"/>
            <w:tcBorders>
              <w:top w:val="nil"/>
              <w:left w:val="nil"/>
              <w:bottom w:val="single" w:color="000000" w:sz="4" w:space="0"/>
              <w:right w:val="single" w:color="000000" w:sz="4" w:space="0"/>
            </w:tcBorders>
            <w:shd w:val="clear" w:color="auto" w:fill="auto"/>
            <w:noWrap/>
            <w:vAlign w:val="center"/>
          </w:tcPr>
          <w:p w14:paraId="7C74A609">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07" w:type="pct"/>
            <w:gridSpan w:val="5"/>
            <w:tcBorders>
              <w:top w:val="nil"/>
              <w:left w:val="nil"/>
              <w:bottom w:val="single" w:color="000000" w:sz="4" w:space="0"/>
              <w:right w:val="single" w:color="000000" w:sz="4" w:space="0"/>
            </w:tcBorders>
            <w:shd w:val="clear" w:color="auto" w:fill="auto"/>
            <w:noWrap/>
            <w:vAlign w:val="center"/>
          </w:tcPr>
          <w:p w14:paraId="660D88E0">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11" w:type="pct"/>
            <w:gridSpan w:val="3"/>
            <w:tcBorders>
              <w:top w:val="nil"/>
              <w:left w:val="nil"/>
              <w:bottom w:val="single" w:color="000000" w:sz="4" w:space="0"/>
              <w:right w:val="single" w:color="000000" w:sz="4" w:space="0"/>
            </w:tcBorders>
            <w:shd w:val="clear" w:color="auto" w:fill="auto"/>
            <w:noWrap/>
            <w:vAlign w:val="center"/>
          </w:tcPr>
          <w:p w14:paraId="354E9AEC">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r>
      <w:tr w14:paraId="0F3C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19"/>
            <w:tcBorders>
              <w:top w:val="single" w:color="000000" w:sz="4" w:space="0"/>
              <w:left w:val="single" w:color="000000" w:sz="4" w:space="0"/>
              <w:bottom w:val="single" w:color="000000" w:sz="4" w:space="0"/>
              <w:right w:val="single" w:color="000000" w:sz="4" w:space="0"/>
            </w:tcBorders>
          </w:tcPr>
          <w:p w14:paraId="24AABFD3">
            <w:pPr>
              <w:widowControl/>
              <w:spacing w:line="240" w:lineRule="auto"/>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备注:</w:t>
            </w:r>
          </w:p>
          <w:p w14:paraId="28281DB7">
            <w:pPr>
              <w:widowControl/>
              <w:spacing w:line="240" w:lineRule="auto"/>
              <w:ind w:firstLine="280" w:firstLineChars="200"/>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1）表中次数为进场次数；2 ）裂缝变化量“+”表示变化量增加，“-”表示变化量减少</w:t>
            </w:r>
            <w:r>
              <w:rPr>
                <w:rFonts w:ascii="Times New Roman" w:hAnsi="Times New Roman" w:cs="Times New Roman"/>
                <w:color w:val="000000"/>
                <w:kern w:val="0"/>
                <w:sz w:val="14"/>
                <w:szCs w:val="14"/>
                <w:highlight w:val="none"/>
              </w:rPr>
              <w:t>。</w:t>
            </w:r>
          </w:p>
        </w:tc>
      </w:tr>
      <w:tr w14:paraId="0C405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000000" w:fill="D9D9D9"/>
          </w:tcPr>
          <w:p w14:paraId="0C5A3779">
            <w:pPr>
              <w:widowControl/>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监测数据成果曲线图</w:t>
            </w:r>
          </w:p>
        </w:tc>
      </w:tr>
      <w:tr w14:paraId="141AA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8"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000000" w:fill="FFFFFF"/>
          </w:tcPr>
          <w:p w14:paraId="640A43FB">
            <w:pPr>
              <w:widowControl/>
              <w:jc w:val="center"/>
              <w:rPr>
                <w:rFonts w:ascii="Times New Roman" w:hAnsi="Times New Roman" w:cs="Times New Roman"/>
                <w:b/>
                <w:bCs/>
                <w:color w:val="000000"/>
                <w:kern w:val="0"/>
                <w:sz w:val="18"/>
                <w:szCs w:val="18"/>
                <w:highlight w:val="none"/>
              </w:rPr>
            </w:pPr>
            <w:r>
              <w:rPr>
                <w:rFonts w:ascii="Times New Roman" w:hAnsi="Times New Roman" w:cs="Times New Roman"/>
                <w:highlight w:val="none"/>
              </w:rPr>
              <mc:AlternateContent>
                <mc:Choice Requires="wps">
                  <w:drawing>
                    <wp:anchor distT="0" distB="0" distL="114300" distR="114300" simplePos="0" relativeHeight="251670528" behindDoc="0" locked="0" layoutInCell="1" allowOverlap="1">
                      <wp:simplePos x="0" y="0"/>
                      <wp:positionH relativeFrom="column">
                        <wp:posOffset>4836160</wp:posOffset>
                      </wp:positionH>
                      <wp:positionV relativeFrom="paragraph">
                        <wp:posOffset>1271270</wp:posOffset>
                      </wp:positionV>
                      <wp:extent cx="419735" cy="641985"/>
                      <wp:effectExtent l="5080" t="5080" r="13335" b="19685"/>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19735" cy="641985"/>
                              </a:xfrm>
                              <a:prstGeom prst="rect">
                                <a:avLst/>
                              </a:prstGeom>
                              <a:solidFill>
                                <a:srgbClr val="FFFFFF"/>
                              </a:solidFill>
                              <a:ln w="9525">
                                <a:solidFill>
                                  <a:srgbClr val="44546A"/>
                                </a:solidFill>
                                <a:miter lim="800000"/>
                              </a:ln>
                            </wps:spPr>
                            <wps:txbx>
                              <w:txbxContent>
                                <w:p w14:paraId="5C003016">
                                  <w:r>
                                    <w:rPr>
                                      <w:rFonts w:hint="eastAsia"/>
                                    </w:rPr>
                                    <w:t>图例：</w:t>
                                  </w:r>
                                </w:p>
                                <w:p w14:paraId="3B8B11B6"/>
                                <w:p w14:paraId="01231630"/>
                                <w:p w14:paraId="07699268"/>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80.8pt;margin-top:100.1pt;height:50.55pt;width:33.05pt;z-index:251670528;mso-width-relative:page;mso-height-relative:page;" fillcolor="#FFFFFF" filled="t" stroked="t" coordsize="21600,21600" o:gfxdata="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uZoLY2AAAAAsBAAAPAAAAAAAAAAEAIAAA&#10;ACIAAABkcnMvZG93bnJldi54bWxQSwECFAAUAAAACACHTuJAntbBf0UCAACHBAAADgAAAAAAAAAB&#10;ACAAAAAnAQAAZHJzL2Uyb0RvYy54bWxQSwUGAAAAAAYABgBZAQAA3gUAAAAA&#10;">
                      <v:fill on="t" focussize="0,0"/>
                      <v:stroke color="#44546A" miterlimit="8" joinstyle="miter"/>
                      <v:imagedata o:title=""/>
                      <o:lock v:ext="edit" aspectratio="f"/>
                      <v:textbox>
                        <w:txbxContent>
                          <w:p w14:paraId="5C003016">
                            <w:r>
                              <w:rPr>
                                <w:rFonts w:hint="eastAsia"/>
                              </w:rPr>
                              <w:t>图例：</w:t>
                            </w:r>
                          </w:p>
                          <w:p w14:paraId="3B8B11B6"/>
                          <w:p w14:paraId="01231630"/>
                          <w:p w14:paraId="07699268"/>
                        </w:txbxContent>
                      </v:textbox>
                    </v:shape>
                  </w:pict>
                </mc:Fallback>
              </mc:AlternateContent>
            </w:r>
            <w:r>
              <w:rPr>
                <w:rFonts w:ascii="Times New Roman" w:hAnsi="Times New Roman" w:cs="Times New Roman"/>
                <w:sz w:val="18"/>
                <w:highlight w:val="none"/>
              </w:rPr>
              <mc:AlternateContent>
                <mc:Choice Requires="wpg">
                  <w:drawing>
                    <wp:anchor distT="0" distB="0" distL="114300" distR="114300" simplePos="0" relativeHeight="251668480" behindDoc="0" locked="0" layoutInCell="1" allowOverlap="1">
                      <wp:simplePos x="0" y="0"/>
                      <wp:positionH relativeFrom="column">
                        <wp:posOffset>65405</wp:posOffset>
                      </wp:positionH>
                      <wp:positionV relativeFrom="paragraph">
                        <wp:posOffset>1339850</wp:posOffset>
                      </wp:positionV>
                      <wp:extent cx="5041900" cy="1359535"/>
                      <wp:effectExtent l="4445" t="0" r="1905" b="12065"/>
                      <wp:wrapNone/>
                      <wp:docPr id="205" name="Group 334"/>
                      <wp:cNvGraphicFramePr/>
                      <a:graphic xmlns:a="http://schemas.openxmlformats.org/drawingml/2006/main">
                        <a:graphicData uri="http://schemas.microsoft.com/office/word/2010/wordprocessingGroup">
                          <wpg:wgp>
                            <wpg:cNvGrpSpPr/>
                            <wpg:grpSpPr>
                              <a:xfrm rot="0">
                                <a:off x="1208405" y="2260600"/>
                                <a:ext cx="5041900" cy="1359535"/>
                                <a:chOff x="2164" y="10756"/>
                                <a:chExt cx="8077" cy="2141"/>
                              </a:xfrm>
                            </wpg:grpSpPr>
                            <wps:wsp>
                              <wps:cNvPr id="206" name="文本框 2"/>
                              <wps:cNvSpPr txBox="1">
                                <a:spLocks noChangeArrowheads="1"/>
                              </wps:cNvSpPr>
                              <wps:spPr bwMode="auto">
                                <a:xfrm>
                                  <a:off x="4603" y="12499"/>
                                  <a:ext cx="3165" cy="398"/>
                                </a:xfrm>
                                <a:prstGeom prst="rect">
                                  <a:avLst/>
                                </a:prstGeom>
                                <a:solidFill>
                                  <a:srgbClr val="FFFFFF"/>
                                </a:solidFill>
                                <a:ln w="9525">
                                  <a:solidFill>
                                    <a:srgbClr val="FFFFFF"/>
                                  </a:solidFill>
                                  <a:miter lim="800000"/>
                                </a:ln>
                              </wps:spPr>
                              <wps:txbx>
                                <w:txbxContent>
                                  <w:p w14:paraId="3A865EF1">
                                    <w:pPr>
                                      <w:spacing w:line="240" w:lineRule="auto"/>
                                      <w:jc w:val="center"/>
                                      <w:rPr>
                                        <w:sz w:val="18"/>
                                        <w:szCs w:val="18"/>
                                      </w:rPr>
                                    </w:pPr>
                                    <w:r>
                                      <w:rPr>
                                        <w:rFonts w:hint="eastAsia"/>
                                        <w:sz w:val="18"/>
                                        <w:szCs w:val="18"/>
                                      </w:rPr>
                                      <w:t>观测时间</w:t>
                                    </w:r>
                                  </w:p>
                                </w:txbxContent>
                              </wps:txbx>
                              <wps:bodyPr rot="0" vert="horz" wrap="square" lIns="91440" tIns="45720" rIns="91440" bIns="45720" anchor="t" anchorCtr="0" upright="1">
                                <a:noAutofit/>
                              </wps:bodyPr>
                            </wps:wsp>
                            <wps:wsp>
                              <wps:cNvPr id="207" name="Text Box 336"/>
                              <wps:cNvSpPr txBox="1">
                                <a:spLocks noChangeArrowheads="1"/>
                              </wps:cNvSpPr>
                              <wps:spPr bwMode="auto">
                                <a:xfrm>
                                  <a:off x="2164" y="10809"/>
                                  <a:ext cx="538" cy="1713"/>
                                </a:xfrm>
                                <a:prstGeom prst="rect">
                                  <a:avLst/>
                                </a:prstGeom>
                                <a:solidFill>
                                  <a:srgbClr val="FFFFFF"/>
                                </a:solidFill>
                                <a:ln w="9525">
                                  <a:solidFill>
                                    <a:srgbClr val="FFFFFF"/>
                                  </a:solidFill>
                                  <a:miter lim="800000"/>
                                </a:ln>
                              </wps:spPr>
                              <wps:txbx>
                                <w:txbxContent>
                                  <w:p w14:paraId="79CE2564">
                                    <w:r>
                                      <w:rPr>
                                        <w:rFonts w:hint="eastAsia"/>
                                        <w:sz w:val="18"/>
                                        <w:szCs w:val="18"/>
                                      </w:rPr>
                                      <w:t>宽度累计</w:t>
                                    </w:r>
                                    <w:r>
                                      <w:rPr>
                                        <w:sz w:val="18"/>
                                        <w:szCs w:val="18"/>
                                      </w:rPr>
                                      <w:t>量</w:t>
                                    </w:r>
                                    <w:r>
                                      <w:t>（</w:t>
                                    </w:r>
                                    <w:r>
                                      <w:rPr>
                                        <w:rFonts w:hint="eastAsia"/>
                                      </w:rPr>
                                      <w:t>mm</w:t>
                                    </w:r>
                                    <w:r>
                                      <w:t>）</w:t>
                                    </w:r>
                                  </w:p>
                                </w:txbxContent>
                              </wps:txbx>
                              <wps:bodyPr rot="0" vert="eaVert" wrap="square" lIns="91440" tIns="45720" rIns="91440" bIns="45720" anchor="t" anchorCtr="0" upright="1">
                                <a:noAutofit/>
                              </wps:bodyPr>
                            </wps:wsp>
                            <wpg:grpSp>
                              <wpg:cNvPr id="208" name="Group 337"/>
                              <wpg:cNvGrpSpPr/>
                              <wpg:grpSpPr>
                                <a:xfrm>
                                  <a:off x="2590" y="10756"/>
                                  <a:ext cx="7651" cy="1825"/>
                                  <a:chOff x="3323" y="12253"/>
                                  <a:chExt cx="5752" cy="1492"/>
                                </a:xfrm>
                              </wpg:grpSpPr>
                              <wps:wsp>
                                <wps:cNvPr id="209" name="AutoShape 338"/>
                                <wps:cNvCnPr>
                                  <a:cxnSpLocks noChangeShapeType="1"/>
                                </wps:cNvCnPr>
                                <wps:spPr bwMode="auto">
                                  <a:xfrm flipV="1">
                                    <a:off x="3323" y="12253"/>
                                    <a:ext cx="1" cy="1486"/>
                                  </a:xfrm>
                                  <a:prstGeom prst="straightConnector1">
                                    <a:avLst/>
                                  </a:prstGeom>
                                  <a:noFill/>
                                  <a:ln w="9525">
                                    <a:solidFill>
                                      <a:srgbClr val="000000"/>
                                    </a:solidFill>
                                    <a:round/>
                                    <a:tailEnd type="triangle" w="med" len="med"/>
                                  </a:ln>
                                </wps:spPr>
                                <wps:bodyPr/>
                              </wps:wsp>
                              <wps:wsp>
                                <wps:cNvPr id="210" name="AutoShape 339"/>
                                <wps:cNvCnPr>
                                  <a:cxnSpLocks noChangeShapeType="1"/>
                                </wps:cNvCnPr>
                                <wps:spPr bwMode="auto">
                                  <a:xfrm flipV="1">
                                    <a:off x="3324" y="13696"/>
                                    <a:ext cx="5751" cy="49"/>
                                  </a:xfrm>
                                  <a:prstGeom prst="straightConnector1">
                                    <a:avLst/>
                                  </a:prstGeom>
                                  <a:noFill/>
                                  <a:ln w="9525">
                                    <a:solidFill>
                                      <a:srgbClr val="000000"/>
                                    </a:solidFill>
                                    <a:round/>
                                    <a:tailEnd type="triangle" w="med" len="med"/>
                                  </a:ln>
                                </wps:spPr>
                                <wps:bodyPr/>
                              </wps:wsp>
                            </wpg:grpSp>
                          </wpg:wgp>
                        </a:graphicData>
                      </a:graphic>
                    </wp:anchor>
                  </w:drawing>
                </mc:Choice>
                <mc:Fallback>
                  <w:pict>
                    <v:group id="Group 334" o:spid="_x0000_s1026" o:spt="203" style="position:absolute;left:0pt;margin-left:5.15pt;margin-top:105.5pt;height:107.05pt;width:397pt;z-index:251668480;mso-width-relative:page;mso-height-relative:page;" coordorigin="2164,10756" coordsize="8077,2141" o:gfxdata="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">
                      <o:lock v:ext="edit" aspectratio="f"/>
                      <v:shape id="文本框 2" o:spid="_x0000_s1026" o:spt="202" type="#_x0000_t202" style="position:absolute;left:4603;top:12499;height:398;width:3165;" fillcolor="#FFFFFF" filled="t" stroked="t" coordsize="21600,21600" o:gfxdata="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i1eNvQAA&#10;ANw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w:txbxContent>
                            <w:p w14:paraId="3A865EF1">
                              <w:pPr>
                                <w:spacing w:line="240" w:lineRule="auto"/>
                                <w:jc w:val="center"/>
                                <w:rPr>
                                  <w:sz w:val="18"/>
                                  <w:szCs w:val="18"/>
                                </w:rPr>
                              </w:pPr>
                              <w:r>
                                <w:rPr>
                                  <w:rFonts w:hint="eastAsia"/>
                                  <w:sz w:val="18"/>
                                  <w:szCs w:val="18"/>
                                </w:rPr>
                                <w:t>观测时间</w:t>
                              </w:r>
                            </w:p>
                          </w:txbxContent>
                        </v:textbox>
                      </v:shape>
                      <v:shape id="Text Box 336" o:spid="_x0000_s1026" o:spt="202" type="#_x0000_t202" style="position:absolute;left:2164;top:10809;height:1713;width:538;" fillcolor="#FFFFFF" filled="t" stroked="t" coordsize="21600,21600" o:gfxdata="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kuoOLsAAADc&#10;AAAADwAAAAAAAAABACAAAAAiAAAAZHJzL2Rvd25yZXYueG1sUEsBAhQAFAAAAAgAh07iQDMvBZ47&#10;AAAAOQAAABAAAAAAAAAAAQAgAAAACgEAAGRycy9zaGFwZXhtbC54bWxQSwUGAAAAAAYABgBbAQAA&#10;tAMAAAAA&#10;">
                        <v:fill on="t" focussize="0,0"/>
                        <v:stroke color="#FFFFFF" miterlimit="8" joinstyle="miter"/>
                        <v:imagedata o:title=""/>
                        <o:lock v:ext="edit" aspectratio="f"/>
                        <v:textbox style="layout-flow:vertical-ideographic;">
                          <w:txbxContent>
                            <w:p w14:paraId="79CE2564">
                              <w:r>
                                <w:rPr>
                                  <w:rFonts w:hint="eastAsia"/>
                                  <w:sz w:val="18"/>
                                  <w:szCs w:val="18"/>
                                </w:rPr>
                                <w:t>宽度累计</w:t>
                              </w:r>
                              <w:r>
                                <w:rPr>
                                  <w:sz w:val="18"/>
                                  <w:szCs w:val="18"/>
                                </w:rPr>
                                <w:t>量</w:t>
                              </w:r>
                              <w:r>
                                <w:t>（</w:t>
                              </w:r>
                              <w:r>
                                <w:rPr>
                                  <w:rFonts w:hint="eastAsia"/>
                                </w:rPr>
                                <w:t>mm</w:t>
                              </w:r>
                              <w:r>
                                <w:t>）</w:t>
                              </w:r>
                            </w:p>
                          </w:txbxContent>
                        </v:textbox>
                      </v:shape>
                      <v:group id="Group 337" o:spid="_x0000_s1026" o:spt="203" style="position:absolute;left:2590;top:10756;height:1825;width:7651;" coordorigin="3323,12253" coordsize="5752,1492" o:gfxdata="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KjJ8Ku7AAAA3AAAAA8AAAAAAAAAAQAgAAAAIgAAAGRycy9kb3ducmV2LnhtbFBL&#10;AQIUABQAAAAIAIdO4kAzLwWeOwAAADkAAAAVAAAAAAAAAAEAIAAAAAoBAABkcnMvZ3JvdXBzaGFw&#10;ZXhtbC54bWxQSwUGAAAAAAYABgBgAQAAxwMAAAAA&#10;">
                        <o:lock v:ext="edit" aspectratio="f"/>
                        <v:shape id="AutoShape 338" o:spid="_x0000_s1026" o:spt="32" type="#_x0000_t32" style="position:absolute;left:3323;top:12253;flip:y;height:1486;width:1;" filled="f" stroked="t" coordsize="21600,21600" o:gfxdata="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xhzR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339" o:spid="_x0000_s1026" o:spt="32" type="#_x0000_t32" style="position:absolute;left:3324;top:13696;flip:y;height:49;width:5751;" filled="f" stroked="t" coordsize="21600,21600" o:gfxdata="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gvJZugAAANw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group>
                    </v:group>
                  </w:pict>
                </mc:Fallback>
              </mc:AlternateContent>
            </w:r>
            <w:r>
              <w:rPr>
                <w:rFonts w:ascii="Times New Roman" w:hAnsi="Times New Roman" w:cs="Times New Roman"/>
                <w:sz w:val="18"/>
                <w:highlight w:val="none"/>
              </w:rPr>
              <mc:AlternateContent>
                <mc:Choice Requires="wpg">
                  <w:drawing>
                    <wp:anchor distT="0" distB="0" distL="114300" distR="114300" simplePos="0" relativeHeight="251667456" behindDoc="0" locked="0" layoutInCell="1" allowOverlap="1">
                      <wp:simplePos x="0" y="0"/>
                      <wp:positionH relativeFrom="column">
                        <wp:posOffset>62865</wp:posOffset>
                      </wp:positionH>
                      <wp:positionV relativeFrom="paragraph">
                        <wp:posOffset>74295</wp:posOffset>
                      </wp:positionV>
                      <wp:extent cx="5041900" cy="1359535"/>
                      <wp:effectExtent l="4445" t="0" r="1905" b="12065"/>
                      <wp:wrapNone/>
                      <wp:docPr id="197" name="Group 326"/>
                      <wp:cNvGraphicFramePr/>
                      <a:graphic xmlns:a="http://schemas.openxmlformats.org/drawingml/2006/main">
                        <a:graphicData uri="http://schemas.microsoft.com/office/word/2010/wordprocessingGroup">
                          <wpg:wgp>
                            <wpg:cNvGrpSpPr/>
                            <wpg:grpSpPr>
                              <a:xfrm rot="0">
                                <a:off x="1205865" y="995045"/>
                                <a:ext cx="5041900" cy="1359535"/>
                                <a:chOff x="2164" y="10756"/>
                                <a:chExt cx="8077" cy="2141"/>
                              </a:xfrm>
                            </wpg:grpSpPr>
                            <wps:wsp>
                              <wps:cNvPr id="198" name="文本框 2"/>
                              <wps:cNvSpPr txBox="1">
                                <a:spLocks noChangeArrowheads="1"/>
                              </wps:cNvSpPr>
                              <wps:spPr bwMode="auto">
                                <a:xfrm>
                                  <a:off x="4603" y="12499"/>
                                  <a:ext cx="3165" cy="398"/>
                                </a:xfrm>
                                <a:prstGeom prst="rect">
                                  <a:avLst/>
                                </a:prstGeom>
                                <a:solidFill>
                                  <a:srgbClr val="FFFFFF"/>
                                </a:solidFill>
                                <a:ln w="9525">
                                  <a:solidFill>
                                    <a:srgbClr val="FFFFFF"/>
                                  </a:solidFill>
                                  <a:miter lim="800000"/>
                                </a:ln>
                              </wps:spPr>
                              <wps:txbx>
                                <w:txbxContent>
                                  <w:p w14:paraId="385B2535">
                                    <w:pPr>
                                      <w:spacing w:line="240" w:lineRule="auto"/>
                                      <w:jc w:val="center"/>
                                      <w:rPr>
                                        <w:sz w:val="18"/>
                                        <w:szCs w:val="18"/>
                                      </w:rPr>
                                    </w:pPr>
                                    <w:r>
                                      <w:rPr>
                                        <w:rFonts w:hint="eastAsia"/>
                                        <w:sz w:val="18"/>
                                        <w:szCs w:val="18"/>
                                      </w:rPr>
                                      <w:t>观测时间</w:t>
                                    </w:r>
                                  </w:p>
                                </w:txbxContent>
                              </wps:txbx>
                              <wps:bodyPr rot="0" vert="horz" wrap="square" lIns="91440" tIns="45720" rIns="91440" bIns="45720" anchor="t" anchorCtr="0" upright="1">
                                <a:noAutofit/>
                              </wps:bodyPr>
                            </wps:wsp>
                            <wps:wsp>
                              <wps:cNvPr id="199" name="Text Box 328"/>
                              <wps:cNvSpPr txBox="1">
                                <a:spLocks noChangeArrowheads="1"/>
                              </wps:cNvSpPr>
                              <wps:spPr bwMode="auto">
                                <a:xfrm>
                                  <a:off x="2164" y="10809"/>
                                  <a:ext cx="538" cy="1713"/>
                                </a:xfrm>
                                <a:prstGeom prst="rect">
                                  <a:avLst/>
                                </a:prstGeom>
                                <a:solidFill>
                                  <a:srgbClr val="FFFFFF"/>
                                </a:solidFill>
                                <a:ln w="9525">
                                  <a:solidFill>
                                    <a:srgbClr val="FFFFFF"/>
                                  </a:solidFill>
                                  <a:miter lim="800000"/>
                                </a:ln>
                              </wps:spPr>
                              <wps:txbx>
                                <w:txbxContent>
                                  <w:p w14:paraId="6256E953">
                                    <w:r>
                                      <w:rPr>
                                        <w:rFonts w:hint="eastAsia"/>
                                        <w:sz w:val="18"/>
                                        <w:szCs w:val="18"/>
                                      </w:rPr>
                                      <w:t>长度累计</w:t>
                                    </w:r>
                                    <w:r>
                                      <w:rPr>
                                        <w:sz w:val="18"/>
                                        <w:szCs w:val="18"/>
                                      </w:rPr>
                                      <w:t>量</w:t>
                                    </w:r>
                                    <w:r>
                                      <w:t>（</w:t>
                                    </w:r>
                                    <w:r>
                                      <w:rPr>
                                        <w:rFonts w:hint="eastAsia"/>
                                      </w:rPr>
                                      <w:t>mm</w:t>
                                    </w:r>
                                    <w:r>
                                      <w:t>）</w:t>
                                    </w:r>
                                  </w:p>
                                </w:txbxContent>
                              </wps:txbx>
                              <wps:bodyPr rot="0" vert="eaVert" wrap="square" lIns="91440" tIns="45720" rIns="91440" bIns="45720" anchor="t" anchorCtr="0" upright="1">
                                <a:noAutofit/>
                              </wps:bodyPr>
                            </wps:wsp>
                            <wpg:grpSp>
                              <wpg:cNvPr id="200" name="Group 329"/>
                              <wpg:cNvGrpSpPr/>
                              <wpg:grpSpPr>
                                <a:xfrm>
                                  <a:off x="2590" y="10756"/>
                                  <a:ext cx="7651" cy="1825"/>
                                  <a:chOff x="3323" y="12253"/>
                                  <a:chExt cx="5752" cy="1492"/>
                                </a:xfrm>
                              </wpg:grpSpPr>
                              <wps:wsp>
                                <wps:cNvPr id="201" name="AutoShape 330"/>
                                <wps:cNvCnPr>
                                  <a:cxnSpLocks noChangeShapeType="1"/>
                                </wps:cNvCnPr>
                                <wps:spPr bwMode="auto">
                                  <a:xfrm flipV="1">
                                    <a:off x="3323" y="12253"/>
                                    <a:ext cx="1" cy="1486"/>
                                  </a:xfrm>
                                  <a:prstGeom prst="straightConnector1">
                                    <a:avLst/>
                                  </a:prstGeom>
                                  <a:noFill/>
                                  <a:ln w="9525">
                                    <a:solidFill>
                                      <a:srgbClr val="000000"/>
                                    </a:solidFill>
                                    <a:round/>
                                    <a:tailEnd type="triangle" w="med" len="med"/>
                                  </a:ln>
                                </wps:spPr>
                                <wps:bodyPr/>
                              </wps:wsp>
                              <wps:wsp>
                                <wps:cNvPr id="202" name="AutoShape 331"/>
                                <wps:cNvCnPr>
                                  <a:cxnSpLocks noChangeShapeType="1"/>
                                </wps:cNvCnPr>
                                <wps:spPr bwMode="auto">
                                  <a:xfrm flipV="1">
                                    <a:off x="3324" y="13696"/>
                                    <a:ext cx="5751" cy="49"/>
                                  </a:xfrm>
                                  <a:prstGeom prst="straightConnector1">
                                    <a:avLst/>
                                  </a:prstGeom>
                                  <a:noFill/>
                                  <a:ln w="9525">
                                    <a:solidFill>
                                      <a:srgbClr val="000000"/>
                                    </a:solidFill>
                                    <a:round/>
                                    <a:tailEnd type="triangle" w="med" len="med"/>
                                  </a:ln>
                                </wps:spPr>
                                <wps:bodyPr/>
                              </wps:wsp>
                            </wpg:grpSp>
                          </wpg:wgp>
                        </a:graphicData>
                      </a:graphic>
                    </wp:anchor>
                  </w:drawing>
                </mc:Choice>
                <mc:Fallback>
                  <w:pict>
                    <v:group id="Group 326" o:spid="_x0000_s1026" o:spt="203" style="position:absolute;left:0pt;margin-left:4.95pt;margin-top:5.85pt;height:107.05pt;width:397pt;z-index:251667456;mso-width-relative:page;mso-height-relative:page;" coordorigin="2164,10756" coordsize="8077,2141" o:gfxdata="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">
                      <o:lock v:ext="edit" aspectratio="f"/>
                      <v:shape id="文本框 2" o:spid="_x0000_s1026" o:spt="202" type="#_x0000_t202" style="position:absolute;left:4603;top:12499;height:398;width:3165;" fillcolor="#FFFFFF" filled="t" stroked="t" coordsize="21600,21600" o:gfxdata="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d5KfvQAA&#10;ANw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w:txbxContent>
                            <w:p w14:paraId="385B2535">
                              <w:pPr>
                                <w:spacing w:line="240" w:lineRule="auto"/>
                                <w:jc w:val="center"/>
                                <w:rPr>
                                  <w:sz w:val="18"/>
                                  <w:szCs w:val="18"/>
                                </w:rPr>
                              </w:pPr>
                              <w:r>
                                <w:rPr>
                                  <w:rFonts w:hint="eastAsia"/>
                                  <w:sz w:val="18"/>
                                  <w:szCs w:val="18"/>
                                </w:rPr>
                                <w:t>观测时间</w:t>
                              </w:r>
                            </w:p>
                          </w:txbxContent>
                        </v:textbox>
                      </v:shape>
                      <v:shape id="Text Box 328" o:spid="_x0000_s1026" o:spt="202" type="#_x0000_t202" style="position:absolute;left:2164;top:10809;height:1713;width:538;" fillcolor="#FFFFFF" filled="t" stroked="t" coordsize="21600,21600" o:gfxdata="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O3bSq5AAAA3AAA&#10;AA8AAAAAAAAAAQAgAAAAIgAAAGRycy9kb3ducmV2LnhtbFBLAQIUABQAAAAIAIdO4kAzLwWeOwAA&#10;ADkAAAAQAAAAAAAAAAEAIAAAAAgBAABkcnMvc2hhcGV4bWwueG1sUEsFBgAAAAAGAAYAWwEAALID&#10;AAAAAA==&#10;">
                        <v:fill on="t" focussize="0,0"/>
                        <v:stroke color="#FFFFFF" miterlimit="8" joinstyle="miter"/>
                        <v:imagedata o:title=""/>
                        <o:lock v:ext="edit" aspectratio="f"/>
                        <v:textbox style="layout-flow:vertical-ideographic;">
                          <w:txbxContent>
                            <w:p w14:paraId="6256E953">
                              <w:r>
                                <w:rPr>
                                  <w:rFonts w:hint="eastAsia"/>
                                  <w:sz w:val="18"/>
                                  <w:szCs w:val="18"/>
                                </w:rPr>
                                <w:t>长度累计</w:t>
                              </w:r>
                              <w:r>
                                <w:rPr>
                                  <w:sz w:val="18"/>
                                  <w:szCs w:val="18"/>
                                </w:rPr>
                                <w:t>量</w:t>
                              </w:r>
                              <w:r>
                                <w:t>（</w:t>
                              </w:r>
                              <w:r>
                                <w:rPr>
                                  <w:rFonts w:hint="eastAsia"/>
                                </w:rPr>
                                <w:t>mm</w:t>
                              </w:r>
                              <w:r>
                                <w:t>）</w:t>
                              </w:r>
                            </w:p>
                          </w:txbxContent>
                        </v:textbox>
                      </v:shape>
                      <v:group id="Group 329" o:spid="_x0000_s1026" o:spt="203" style="position:absolute;left:2590;top:10756;height:1825;width:7651;" coordorigin="3323,12253" coordsize="5752,1492" o:gfxdata="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a//K2+AAAA3AAAAA8AAAAAAAAAAQAgAAAAIgAAAGRycy9kb3ducmV2Lnht&#10;bFBLAQIUABQAAAAIAIdO4kAzLwWeOwAAADkAAAAVAAAAAAAAAAEAIAAAAA0BAABkcnMvZ3JvdXBz&#10;aGFwZXhtbC54bWxQSwUGAAAAAAYABgBgAQAAygMAAAAA&#10;">
                        <o:lock v:ext="edit" aspectratio="f"/>
                        <v:shape id="AutoShape 330" o:spid="_x0000_s1026" o:spt="32" type="#_x0000_t32" style="position:absolute;left:3323;top:12253;flip:y;height:1486;width:1;" filled="f" stroked="t" coordsize="21600,21600" o:gfxdata="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hfBH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331" o:spid="_x0000_s1026" o:spt="32" type="#_x0000_t32" style="position:absolute;left:3324;top:13696;flip:y;height:49;width:5751;" filled="f" stroked="t" coordsize="21600,21600" o:gfxdata="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xV9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group>
                  </w:pict>
                </mc:Fallback>
              </mc:AlternateContent>
            </w:r>
          </w:p>
        </w:tc>
      </w:tr>
    </w:tbl>
    <w:p w14:paraId="4D22DC58">
      <w:pPr>
        <w:ind w:firstLine="180" w:firstLineChars="100"/>
        <w:rPr>
          <w:rFonts w:hint="eastAsia" w:ascii="Times New Roman" w:hAnsi="Times New Roman" w:cs="Times New Roman"/>
          <w:sz w:val="18"/>
          <w:szCs w:val="18"/>
          <w:highlight w:val="none"/>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18"/>
          <w:szCs w:val="18"/>
          <w:highlight w:val="none"/>
        </w:rPr>
        <w:t xml:space="preserve">观测：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计算：                              校核：</w:t>
      </w:r>
    </w:p>
    <w:p w14:paraId="447289A7">
      <w:pPr>
        <w:pStyle w:val="3"/>
        <w:adjustRightInd w:val="0"/>
        <w:snapToGrid w:val="0"/>
        <w:spacing w:before="0" w:after="0" w:line="360" w:lineRule="auto"/>
        <w:jc w:val="center"/>
        <w:rPr>
          <w:rFonts w:ascii="Times New Roman" w:hAnsi="Times New Roman" w:cs="Times New Roman"/>
          <w:highlight w:val="none"/>
        </w:rPr>
      </w:pPr>
      <w:bookmarkStart w:id="179" w:name="_Toc22002"/>
      <w:bookmarkStart w:id="180" w:name="_Toc9117"/>
      <w:bookmarkStart w:id="181" w:name="_Toc6008"/>
      <w:bookmarkStart w:id="182" w:name="_Toc26578"/>
      <w:bookmarkStart w:id="183" w:name="_Toc525052910"/>
      <w:bookmarkStart w:id="184" w:name="_Toc21548"/>
      <w:bookmarkStart w:id="185" w:name="_Toc28882"/>
      <w:bookmarkStart w:id="186" w:name="_Toc28349"/>
      <w:r>
        <w:rPr>
          <w:rFonts w:hint="eastAsia" w:ascii="Times New Roman" w:hAnsi="Times New Roman" w:cs="Times New Roman"/>
          <w:b w:val="0"/>
          <w:highlight w:val="none"/>
        </w:rPr>
        <w:t>附录</w:t>
      </w:r>
      <w:r>
        <w:rPr>
          <w:rFonts w:hint="eastAsia" w:ascii="Times New Roman" w:hAnsi="Times New Roman" w:cs="Times New Roman"/>
          <w:b w:val="0"/>
          <w:highlight w:val="none"/>
          <w:lang w:val="en-US" w:eastAsia="zh-CN"/>
        </w:rPr>
        <w:t>F</w:t>
      </w:r>
      <w:r>
        <w:rPr>
          <w:rFonts w:ascii="Times New Roman" w:hAnsi="Times New Roman" w:cs="Times New Roman"/>
          <w:b w:val="0"/>
          <w:highlight w:val="none"/>
        </w:rPr>
        <w:t xml:space="preserve"> </w:t>
      </w:r>
      <w:r>
        <w:rPr>
          <w:rFonts w:hint="eastAsia" w:ascii="Times New Roman" w:hAnsi="Times New Roman" w:cs="Times New Roman"/>
          <w:b w:val="0"/>
          <w:highlight w:val="none"/>
        </w:rPr>
        <w:t>地下水位监测日报表</w:t>
      </w:r>
      <w:bookmarkEnd w:id="179"/>
      <w:bookmarkEnd w:id="180"/>
      <w:bookmarkEnd w:id="181"/>
      <w:bookmarkEnd w:id="182"/>
      <w:bookmarkEnd w:id="183"/>
      <w:bookmarkEnd w:id="184"/>
      <w:bookmarkEnd w:id="185"/>
      <w:bookmarkEnd w:id="186"/>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635"/>
        <w:gridCol w:w="679"/>
        <w:gridCol w:w="605"/>
        <w:gridCol w:w="602"/>
        <w:gridCol w:w="605"/>
        <w:gridCol w:w="605"/>
        <w:gridCol w:w="599"/>
        <w:gridCol w:w="605"/>
        <w:gridCol w:w="605"/>
        <w:gridCol w:w="599"/>
        <w:gridCol w:w="606"/>
        <w:gridCol w:w="606"/>
        <w:gridCol w:w="610"/>
      </w:tblGrid>
      <w:tr w14:paraId="5356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14:paraId="08DE6C0F">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委托单位：                        监测单位：                            报表编号：</w:t>
            </w:r>
          </w:p>
        </w:tc>
      </w:tr>
      <w:tr w14:paraId="48C4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14:paraId="063239DC">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工程名称：                        工程地点：                            天气：</w:t>
            </w:r>
          </w:p>
        </w:tc>
      </w:tr>
      <w:tr w14:paraId="0A63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14:paraId="6BF914AF">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仪器名称及编号：                                观测依据：</w:t>
            </w:r>
          </w:p>
        </w:tc>
      </w:tr>
      <w:tr w14:paraId="5E52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auto" w:sz="4" w:space="0"/>
              <w:left w:val="single" w:color="000000" w:sz="4" w:space="0"/>
              <w:bottom w:val="single" w:color="000000" w:sz="4" w:space="0"/>
              <w:right w:val="single" w:color="000000" w:sz="4" w:space="0"/>
            </w:tcBorders>
            <w:shd w:val="clear" w:color="000000" w:fill="D9D9D9"/>
            <w:vAlign w:val="center"/>
          </w:tcPr>
          <w:p w14:paraId="64C08D7C">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监测数据成果汇总</w:t>
            </w:r>
          </w:p>
        </w:tc>
      </w:tr>
      <w:tr w14:paraId="22E2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17" w:type="pct"/>
            <w:vMerge w:val="restart"/>
            <w:tcBorders>
              <w:top w:val="nil"/>
              <w:left w:val="single" w:color="000000" w:sz="4" w:space="0"/>
              <w:bottom w:val="single" w:color="000000" w:sz="4" w:space="0"/>
              <w:right w:val="single" w:color="000000" w:sz="4" w:space="0"/>
              <w:tl2br w:val="single" w:color="000000" w:sz="4" w:space="0"/>
            </w:tcBorders>
            <w:shd w:val="clear" w:color="auto" w:fill="auto"/>
          </w:tcPr>
          <w:p w14:paraId="3913FC9C">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时间</w:t>
            </w:r>
          </w:p>
          <w:p w14:paraId="5944E3E7">
            <w:pPr>
              <w:widowControl/>
              <w:spacing w:line="240" w:lineRule="auto"/>
              <w:jc w:val="center"/>
              <w:rPr>
                <w:rFonts w:ascii="Times New Roman" w:hAnsi="Times New Roman" w:cs="Times New Roman"/>
                <w:color w:val="000000"/>
                <w:kern w:val="0"/>
                <w:sz w:val="14"/>
                <w:szCs w:val="14"/>
                <w:highlight w:val="none"/>
              </w:rPr>
            </w:pPr>
          </w:p>
          <w:p w14:paraId="518B448C">
            <w:pPr>
              <w:widowControl/>
              <w:spacing w:line="240" w:lineRule="auto"/>
              <w:rPr>
                <w:rFonts w:ascii="Times New Roman" w:hAnsi="Times New Roman" w:cs="Times New Roman"/>
                <w:color w:val="000000"/>
                <w:kern w:val="0"/>
                <w:sz w:val="14"/>
                <w:szCs w:val="14"/>
                <w:highlight w:val="none"/>
              </w:rPr>
            </w:pPr>
          </w:p>
          <w:p w14:paraId="18D48801">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测点</w:t>
            </w:r>
          </w:p>
        </w:tc>
        <w:tc>
          <w:tcPr>
            <w:tcW w:w="359" w:type="pct"/>
            <w:vMerge w:val="restart"/>
            <w:tcBorders>
              <w:top w:val="nil"/>
              <w:left w:val="single" w:color="000000" w:sz="4" w:space="0"/>
              <w:bottom w:val="single" w:color="000000" w:sz="4" w:space="0"/>
              <w:right w:val="single" w:color="000000" w:sz="4" w:space="0"/>
            </w:tcBorders>
            <w:shd w:val="clear" w:color="auto" w:fill="auto"/>
            <w:vAlign w:val="center"/>
          </w:tcPr>
          <w:p w14:paraId="3BAAC3D7">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初始</w:t>
            </w:r>
          </w:p>
          <w:p w14:paraId="6B924F83">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水位</w:t>
            </w:r>
          </w:p>
          <w:p w14:paraId="0843BC95">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高程</w:t>
            </w:r>
          </w:p>
        </w:tc>
        <w:tc>
          <w:tcPr>
            <w:tcW w:w="1114" w:type="pct"/>
            <w:gridSpan w:val="3"/>
            <w:tcBorders>
              <w:top w:val="single" w:color="000000" w:sz="4" w:space="0"/>
              <w:left w:val="nil"/>
              <w:bottom w:val="single" w:color="000000" w:sz="4" w:space="0"/>
              <w:right w:val="single" w:color="000000" w:sz="4" w:space="0"/>
            </w:tcBorders>
            <w:shd w:val="clear" w:color="auto" w:fill="auto"/>
            <w:vAlign w:val="center"/>
          </w:tcPr>
          <w:p w14:paraId="4DE67AC5">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68" w:type="pct"/>
            <w:gridSpan w:val="3"/>
            <w:tcBorders>
              <w:top w:val="nil"/>
              <w:left w:val="nil"/>
              <w:bottom w:val="single" w:color="000000" w:sz="4" w:space="0"/>
              <w:right w:val="single" w:color="000000" w:sz="4" w:space="0"/>
            </w:tcBorders>
            <w:shd w:val="clear" w:color="auto" w:fill="auto"/>
            <w:vAlign w:val="center"/>
          </w:tcPr>
          <w:p w14:paraId="30574FC6">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68" w:type="pct"/>
            <w:gridSpan w:val="3"/>
            <w:tcBorders>
              <w:top w:val="nil"/>
              <w:left w:val="nil"/>
              <w:bottom w:val="single" w:color="000000" w:sz="4" w:space="0"/>
              <w:right w:val="single" w:color="000000" w:sz="4" w:space="0"/>
            </w:tcBorders>
            <w:shd w:val="clear" w:color="auto" w:fill="auto"/>
            <w:vAlign w:val="center"/>
          </w:tcPr>
          <w:p w14:paraId="1E3FD6C4">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70" w:type="pct"/>
            <w:gridSpan w:val="3"/>
            <w:tcBorders>
              <w:top w:val="nil"/>
              <w:left w:val="nil"/>
              <w:bottom w:val="single" w:color="000000" w:sz="4" w:space="0"/>
              <w:right w:val="single" w:color="000000" w:sz="4" w:space="0"/>
            </w:tcBorders>
            <w:shd w:val="clear" w:color="auto" w:fill="auto"/>
            <w:vAlign w:val="center"/>
          </w:tcPr>
          <w:p w14:paraId="2D2596AF">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r>
      <w:tr w14:paraId="357B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17" w:type="pct"/>
            <w:vMerge w:val="continue"/>
            <w:tcBorders>
              <w:top w:val="nil"/>
              <w:left w:val="single" w:color="000000" w:sz="4" w:space="0"/>
              <w:bottom w:val="single" w:color="000000" w:sz="4" w:space="0"/>
              <w:right w:val="single" w:color="000000" w:sz="4" w:space="0"/>
            </w:tcBorders>
            <w:vAlign w:val="center"/>
          </w:tcPr>
          <w:p w14:paraId="163DF91C">
            <w:pPr>
              <w:widowControl/>
              <w:spacing w:line="240" w:lineRule="auto"/>
              <w:jc w:val="left"/>
              <w:rPr>
                <w:rFonts w:ascii="Times New Roman" w:hAnsi="Times New Roman" w:cs="Times New Roman"/>
                <w:color w:val="000000"/>
                <w:kern w:val="0"/>
                <w:sz w:val="14"/>
                <w:szCs w:val="14"/>
                <w:highlight w:val="none"/>
              </w:rPr>
            </w:pPr>
          </w:p>
        </w:tc>
        <w:tc>
          <w:tcPr>
            <w:tcW w:w="359" w:type="pct"/>
            <w:vMerge w:val="continue"/>
            <w:tcBorders>
              <w:top w:val="nil"/>
              <w:left w:val="single" w:color="000000" w:sz="4" w:space="0"/>
              <w:bottom w:val="single" w:color="000000" w:sz="4" w:space="0"/>
              <w:right w:val="single" w:color="000000" w:sz="4" w:space="0"/>
            </w:tcBorders>
            <w:vAlign w:val="center"/>
          </w:tcPr>
          <w:p w14:paraId="665A2A24">
            <w:pPr>
              <w:widowControl/>
              <w:spacing w:line="240" w:lineRule="auto"/>
              <w:jc w:val="left"/>
              <w:rPr>
                <w:rFonts w:ascii="Times New Roman" w:hAnsi="Times New Roman" w:cs="Times New Roman"/>
                <w:color w:val="000000"/>
                <w:kern w:val="0"/>
                <w:sz w:val="14"/>
                <w:szCs w:val="14"/>
                <w:highlight w:val="none"/>
              </w:rPr>
            </w:pPr>
          </w:p>
        </w:tc>
        <w:tc>
          <w:tcPr>
            <w:tcW w:w="1114" w:type="pct"/>
            <w:gridSpan w:val="3"/>
            <w:tcBorders>
              <w:top w:val="single" w:color="000000" w:sz="4" w:space="0"/>
              <w:left w:val="nil"/>
              <w:bottom w:val="single" w:color="000000" w:sz="4" w:space="0"/>
              <w:right w:val="single" w:color="000000" w:sz="4" w:space="0"/>
            </w:tcBorders>
            <w:shd w:val="clear" w:color="auto" w:fill="auto"/>
            <w:vAlign w:val="center"/>
          </w:tcPr>
          <w:p w14:paraId="700DF411">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68" w:type="pct"/>
            <w:gridSpan w:val="3"/>
            <w:tcBorders>
              <w:top w:val="nil"/>
              <w:left w:val="nil"/>
              <w:bottom w:val="single" w:color="000000" w:sz="4" w:space="0"/>
              <w:right w:val="single" w:color="000000" w:sz="4" w:space="0"/>
            </w:tcBorders>
            <w:shd w:val="clear" w:color="auto" w:fill="auto"/>
            <w:vAlign w:val="center"/>
          </w:tcPr>
          <w:p w14:paraId="03751820">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68" w:type="pct"/>
            <w:gridSpan w:val="3"/>
            <w:tcBorders>
              <w:top w:val="nil"/>
              <w:left w:val="nil"/>
              <w:bottom w:val="single" w:color="000000" w:sz="4" w:space="0"/>
              <w:right w:val="single" w:color="000000" w:sz="4" w:space="0"/>
            </w:tcBorders>
            <w:shd w:val="clear" w:color="auto" w:fill="auto"/>
            <w:vAlign w:val="center"/>
          </w:tcPr>
          <w:p w14:paraId="3EE1B929">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70" w:type="pct"/>
            <w:gridSpan w:val="3"/>
            <w:tcBorders>
              <w:top w:val="nil"/>
              <w:left w:val="nil"/>
              <w:bottom w:val="single" w:color="000000" w:sz="4" w:space="0"/>
              <w:right w:val="single" w:color="000000" w:sz="4" w:space="0"/>
            </w:tcBorders>
            <w:shd w:val="clear" w:color="auto" w:fill="auto"/>
            <w:vAlign w:val="center"/>
          </w:tcPr>
          <w:p w14:paraId="139EDC5D">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r>
      <w:tr w14:paraId="0B93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17" w:type="pct"/>
            <w:vMerge w:val="continue"/>
            <w:tcBorders>
              <w:top w:val="nil"/>
              <w:left w:val="single" w:color="000000" w:sz="4" w:space="0"/>
              <w:bottom w:val="single" w:color="000000" w:sz="4" w:space="0"/>
              <w:right w:val="single" w:color="000000" w:sz="4" w:space="0"/>
            </w:tcBorders>
            <w:vAlign w:val="center"/>
          </w:tcPr>
          <w:p w14:paraId="67AFA2AC">
            <w:pPr>
              <w:widowControl/>
              <w:spacing w:line="240" w:lineRule="auto"/>
              <w:jc w:val="left"/>
              <w:rPr>
                <w:rFonts w:ascii="Times New Roman" w:hAnsi="Times New Roman" w:cs="Times New Roman"/>
                <w:color w:val="000000"/>
                <w:kern w:val="0"/>
                <w:sz w:val="14"/>
                <w:szCs w:val="14"/>
                <w:highlight w:val="none"/>
              </w:rPr>
            </w:pPr>
          </w:p>
        </w:tc>
        <w:tc>
          <w:tcPr>
            <w:tcW w:w="359" w:type="pct"/>
            <w:vMerge w:val="continue"/>
            <w:tcBorders>
              <w:top w:val="nil"/>
              <w:left w:val="single" w:color="000000" w:sz="4" w:space="0"/>
              <w:bottom w:val="single" w:color="000000" w:sz="4" w:space="0"/>
              <w:right w:val="single" w:color="000000" w:sz="4" w:space="0"/>
            </w:tcBorders>
            <w:vAlign w:val="center"/>
          </w:tcPr>
          <w:p w14:paraId="51FCFA8D">
            <w:pPr>
              <w:widowControl/>
              <w:spacing w:line="240" w:lineRule="auto"/>
              <w:jc w:val="left"/>
              <w:rPr>
                <w:rFonts w:ascii="Times New Roman" w:hAnsi="Times New Roman" w:cs="Times New Roman"/>
                <w:color w:val="000000"/>
                <w:kern w:val="0"/>
                <w:sz w:val="14"/>
                <w:szCs w:val="14"/>
                <w:highlight w:val="none"/>
              </w:rPr>
            </w:pPr>
          </w:p>
        </w:tc>
        <w:tc>
          <w:tcPr>
            <w:tcW w:w="401" w:type="pct"/>
            <w:tcBorders>
              <w:top w:val="nil"/>
              <w:left w:val="single" w:color="000000" w:sz="4" w:space="0"/>
              <w:bottom w:val="single" w:color="000000" w:sz="4" w:space="0"/>
              <w:right w:val="single" w:color="000000" w:sz="4" w:space="0"/>
            </w:tcBorders>
            <w:shd w:val="clear" w:color="auto" w:fill="auto"/>
            <w:vAlign w:val="center"/>
          </w:tcPr>
          <w:p w14:paraId="68CB2C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w:t>
            </w:r>
          </w:p>
          <w:p w14:paraId="6E46EC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 化（m</w:t>
            </w:r>
            <w:r>
              <w:rPr>
                <w:rFonts w:ascii="Times New Roman" w:hAnsi="Times New Roman" w:cs="Times New Roman"/>
                <w:color w:val="000000"/>
                <w:kern w:val="0"/>
                <w:sz w:val="14"/>
                <w:szCs w:val="14"/>
                <w:highlight w:val="none"/>
              </w:rPr>
              <w:t>）</w:t>
            </w:r>
          </w:p>
        </w:tc>
        <w:tc>
          <w:tcPr>
            <w:tcW w:w="356" w:type="pct"/>
            <w:tcBorders>
              <w:top w:val="nil"/>
              <w:left w:val="single" w:color="000000" w:sz="4" w:space="0"/>
              <w:bottom w:val="single" w:color="000000" w:sz="4" w:space="0"/>
              <w:right w:val="single" w:color="000000" w:sz="4" w:space="0"/>
            </w:tcBorders>
            <w:shd w:val="clear" w:color="auto" w:fill="auto"/>
            <w:vAlign w:val="center"/>
          </w:tcPr>
          <w:p w14:paraId="6E0F03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化（m</w:t>
            </w:r>
            <w:r>
              <w:rPr>
                <w:rFonts w:ascii="Times New Roman" w:hAnsi="Times New Roman" w:cs="Times New Roman"/>
                <w:color w:val="000000"/>
                <w:kern w:val="0"/>
                <w:sz w:val="14"/>
                <w:szCs w:val="14"/>
                <w:highlight w:val="none"/>
              </w:rPr>
              <w:t>）</w:t>
            </w:r>
          </w:p>
        </w:tc>
        <w:tc>
          <w:tcPr>
            <w:tcW w:w="356" w:type="pct"/>
            <w:tcBorders>
              <w:top w:val="nil"/>
              <w:left w:val="single" w:color="000000" w:sz="4" w:space="0"/>
              <w:bottom w:val="single" w:color="auto" w:sz="4" w:space="0"/>
              <w:right w:val="single" w:color="000000" w:sz="4" w:space="0"/>
            </w:tcBorders>
            <w:shd w:val="clear" w:color="auto" w:fill="auto"/>
            <w:vAlign w:val="center"/>
          </w:tcPr>
          <w:p w14:paraId="1B3EAB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77DEEC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速率(m/d)</w:t>
            </w:r>
          </w:p>
        </w:tc>
        <w:tc>
          <w:tcPr>
            <w:tcW w:w="356" w:type="pct"/>
            <w:tcBorders>
              <w:top w:val="nil"/>
              <w:left w:val="nil"/>
              <w:bottom w:val="single" w:color="auto" w:sz="4" w:space="0"/>
              <w:right w:val="single" w:color="000000" w:sz="4" w:space="0"/>
            </w:tcBorders>
            <w:shd w:val="clear" w:color="auto" w:fill="auto"/>
            <w:vAlign w:val="center"/>
          </w:tcPr>
          <w:p w14:paraId="55BF12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w:t>
            </w:r>
          </w:p>
          <w:p w14:paraId="4F9AA7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 化（m</w:t>
            </w:r>
            <w:r>
              <w:rPr>
                <w:rFonts w:ascii="Times New Roman" w:hAnsi="Times New Roman" w:cs="Times New Roman"/>
                <w:color w:val="000000"/>
                <w:kern w:val="0"/>
                <w:sz w:val="14"/>
                <w:szCs w:val="14"/>
                <w:highlight w:val="none"/>
              </w:rPr>
              <w:t>）</w:t>
            </w:r>
          </w:p>
        </w:tc>
        <w:tc>
          <w:tcPr>
            <w:tcW w:w="356" w:type="pct"/>
            <w:tcBorders>
              <w:top w:val="nil"/>
              <w:left w:val="nil"/>
              <w:bottom w:val="single" w:color="auto" w:sz="4" w:space="0"/>
              <w:right w:val="single" w:color="000000" w:sz="4" w:space="0"/>
            </w:tcBorders>
            <w:shd w:val="clear" w:color="auto" w:fill="auto"/>
            <w:vAlign w:val="center"/>
          </w:tcPr>
          <w:p w14:paraId="6C4131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化（m</w:t>
            </w:r>
            <w:r>
              <w:rPr>
                <w:rFonts w:ascii="Times New Roman" w:hAnsi="Times New Roman" w:cs="Times New Roman"/>
                <w:color w:val="000000"/>
                <w:kern w:val="0"/>
                <w:sz w:val="14"/>
                <w:szCs w:val="14"/>
                <w:highlight w:val="none"/>
              </w:rPr>
              <w:t>）</w:t>
            </w:r>
          </w:p>
        </w:tc>
        <w:tc>
          <w:tcPr>
            <w:tcW w:w="356" w:type="pct"/>
            <w:tcBorders>
              <w:top w:val="nil"/>
              <w:left w:val="nil"/>
              <w:bottom w:val="single" w:color="auto" w:sz="4" w:space="0"/>
              <w:right w:val="single" w:color="000000" w:sz="4" w:space="0"/>
            </w:tcBorders>
            <w:shd w:val="clear" w:color="auto" w:fill="auto"/>
            <w:vAlign w:val="center"/>
          </w:tcPr>
          <w:p w14:paraId="6EC8B0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49A808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速率(m/d)</w:t>
            </w:r>
          </w:p>
        </w:tc>
        <w:tc>
          <w:tcPr>
            <w:tcW w:w="356" w:type="pct"/>
            <w:tcBorders>
              <w:top w:val="nil"/>
              <w:left w:val="nil"/>
              <w:bottom w:val="single" w:color="auto" w:sz="4" w:space="0"/>
              <w:right w:val="single" w:color="000000" w:sz="4" w:space="0"/>
            </w:tcBorders>
            <w:shd w:val="clear" w:color="auto" w:fill="auto"/>
            <w:vAlign w:val="center"/>
          </w:tcPr>
          <w:p w14:paraId="7ECF99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w:t>
            </w:r>
          </w:p>
          <w:p w14:paraId="20B9B7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 化（m</w:t>
            </w:r>
            <w:r>
              <w:rPr>
                <w:rFonts w:ascii="Times New Roman" w:hAnsi="Times New Roman" w:cs="Times New Roman"/>
                <w:color w:val="000000"/>
                <w:kern w:val="0"/>
                <w:sz w:val="14"/>
                <w:szCs w:val="14"/>
                <w:highlight w:val="none"/>
              </w:rPr>
              <w:t>）</w:t>
            </w:r>
          </w:p>
        </w:tc>
        <w:tc>
          <w:tcPr>
            <w:tcW w:w="356" w:type="pct"/>
            <w:tcBorders>
              <w:top w:val="nil"/>
              <w:left w:val="nil"/>
              <w:bottom w:val="single" w:color="auto" w:sz="4" w:space="0"/>
              <w:right w:val="single" w:color="000000" w:sz="4" w:space="0"/>
            </w:tcBorders>
            <w:shd w:val="clear" w:color="auto" w:fill="auto"/>
            <w:vAlign w:val="center"/>
          </w:tcPr>
          <w:p w14:paraId="14746A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化（m</w:t>
            </w:r>
            <w:r>
              <w:rPr>
                <w:rFonts w:ascii="Times New Roman" w:hAnsi="Times New Roman" w:cs="Times New Roman"/>
                <w:color w:val="000000"/>
                <w:kern w:val="0"/>
                <w:sz w:val="14"/>
                <w:szCs w:val="14"/>
                <w:highlight w:val="none"/>
              </w:rPr>
              <w:t>）</w:t>
            </w:r>
          </w:p>
        </w:tc>
        <w:tc>
          <w:tcPr>
            <w:tcW w:w="356" w:type="pct"/>
            <w:tcBorders>
              <w:top w:val="nil"/>
              <w:left w:val="nil"/>
              <w:bottom w:val="single" w:color="auto" w:sz="4" w:space="0"/>
              <w:right w:val="single" w:color="000000" w:sz="4" w:space="0"/>
            </w:tcBorders>
            <w:shd w:val="clear" w:color="auto" w:fill="auto"/>
            <w:vAlign w:val="center"/>
          </w:tcPr>
          <w:p w14:paraId="754316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311B49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速率(m/d)</w:t>
            </w:r>
          </w:p>
        </w:tc>
        <w:tc>
          <w:tcPr>
            <w:tcW w:w="356" w:type="pct"/>
            <w:tcBorders>
              <w:top w:val="nil"/>
              <w:left w:val="nil"/>
              <w:bottom w:val="single" w:color="auto" w:sz="4" w:space="0"/>
              <w:right w:val="single" w:color="000000" w:sz="4" w:space="0"/>
            </w:tcBorders>
            <w:shd w:val="clear" w:color="auto" w:fill="auto"/>
            <w:vAlign w:val="center"/>
          </w:tcPr>
          <w:p w14:paraId="7578B5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w:t>
            </w:r>
          </w:p>
          <w:p w14:paraId="02D73B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 化（m</w:t>
            </w:r>
            <w:r>
              <w:rPr>
                <w:rFonts w:ascii="Times New Roman" w:hAnsi="Times New Roman" w:cs="Times New Roman"/>
                <w:color w:val="000000"/>
                <w:kern w:val="0"/>
                <w:sz w:val="14"/>
                <w:szCs w:val="14"/>
                <w:highlight w:val="none"/>
              </w:rPr>
              <w:t>）</w:t>
            </w:r>
          </w:p>
        </w:tc>
        <w:tc>
          <w:tcPr>
            <w:tcW w:w="356" w:type="pct"/>
            <w:tcBorders>
              <w:top w:val="nil"/>
              <w:left w:val="nil"/>
              <w:bottom w:val="single" w:color="auto" w:sz="4" w:space="0"/>
              <w:right w:val="single" w:color="000000" w:sz="4" w:space="0"/>
            </w:tcBorders>
            <w:shd w:val="clear" w:color="auto" w:fill="auto"/>
            <w:vAlign w:val="center"/>
          </w:tcPr>
          <w:p w14:paraId="5EBF5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化（m</w:t>
            </w:r>
            <w:r>
              <w:rPr>
                <w:rFonts w:ascii="Times New Roman" w:hAnsi="Times New Roman" w:cs="Times New Roman"/>
                <w:color w:val="000000"/>
                <w:kern w:val="0"/>
                <w:sz w:val="14"/>
                <w:szCs w:val="14"/>
                <w:highlight w:val="none"/>
              </w:rPr>
              <w:t>）</w:t>
            </w:r>
          </w:p>
        </w:tc>
        <w:tc>
          <w:tcPr>
            <w:tcW w:w="358" w:type="pct"/>
            <w:tcBorders>
              <w:top w:val="nil"/>
              <w:left w:val="nil"/>
              <w:bottom w:val="single" w:color="auto" w:sz="4" w:space="0"/>
              <w:right w:val="single" w:color="000000" w:sz="4" w:space="0"/>
            </w:tcBorders>
            <w:shd w:val="clear" w:color="auto" w:fill="auto"/>
            <w:vAlign w:val="center"/>
          </w:tcPr>
          <w:p w14:paraId="4B71A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2B4503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速率(m/d)</w:t>
            </w:r>
          </w:p>
        </w:tc>
      </w:tr>
      <w:tr w14:paraId="6A1B1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3890C0E4">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7575EE67">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14:paraId="5D181E82">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6F00F4CE">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6B3C7761">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7B5F066D">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750C6643">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6582FBF2">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665EB82F">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EFC9E90">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26CD2CB0">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75CF63C3">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40E3CD3">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14:paraId="09473F31">
            <w:pPr>
              <w:widowControl/>
              <w:spacing w:line="240" w:lineRule="auto"/>
              <w:jc w:val="center"/>
              <w:rPr>
                <w:rFonts w:ascii="Times New Roman" w:hAnsi="Times New Roman" w:cs="Times New Roman"/>
                <w:color w:val="000000"/>
                <w:kern w:val="0"/>
                <w:sz w:val="14"/>
                <w:szCs w:val="14"/>
                <w:highlight w:val="none"/>
              </w:rPr>
            </w:pPr>
          </w:p>
        </w:tc>
      </w:tr>
      <w:tr w14:paraId="2CF3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418B377E">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0105DB03">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14:paraId="5C972C8B">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79AF3B2">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4BDAA0F">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0B8B6BD">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945B191">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077B87A">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1FE46CD">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7981337A">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7668FDA5">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76E80D4">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6448B820">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14:paraId="588B5023">
            <w:pPr>
              <w:widowControl/>
              <w:spacing w:line="240" w:lineRule="auto"/>
              <w:jc w:val="center"/>
              <w:rPr>
                <w:rFonts w:ascii="Times New Roman" w:hAnsi="Times New Roman" w:cs="Times New Roman"/>
                <w:color w:val="000000"/>
                <w:kern w:val="0"/>
                <w:sz w:val="14"/>
                <w:szCs w:val="14"/>
                <w:highlight w:val="none"/>
              </w:rPr>
            </w:pPr>
          </w:p>
        </w:tc>
      </w:tr>
      <w:tr w14:paraId="45B5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3CEA486F">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11808711">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14:paraId="1362F4EB">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2F672553">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2D051BD">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88599D8">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0BD69532">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0D4636C">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36E7EA1C">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5557DFA3">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1354A35">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8DFF60D">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1F3B29A">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14:paraId="465E26F1">
            <w:pPr>
              <w:widowControl/>
              <w:spacing w:line="240" w:lineRule="auto"/>
              <w:jc w:val="center"/>
              <w:rPr>
                <w:rFonts w:ascii="Times New Roman" w:hAnsi="Times New Roman" w:cs="Times New Roman"/>
                <w:color w:val="000000"/>
                <w:kern w:val="0"/>
                <w:sz w:val="14"/>
                <w:szCs w:val="14"/>
                <w:highlight w:val="none"/>
              </w:rPr>
            </w:pPr>
          </w:p>
        </w:tc>
      </w:tr>
      <w:tr w14:paraId="6414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290CDE81">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6F88DB1E">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14:paraId="377D10D4">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59B55B59">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2DC2B103">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7B9F555">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57BE3905">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4CCC166">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513F6C15">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6210B2F9">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98BC378">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DAA27CC">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7EA0037A">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14:paraId="65368F95">
            <w:pPr>
              <w:widowControl/>
              <w:spacing w:line="240" w:lineRule="auto"/>
              <w:jc w:val="center"/>
              <w:rPr>
                <w:rFonts w:ascii="Times New Roman" w:hAnsi="Times New Roman" w:cs="Times New Roman"/>
                <w:color w:val="000000"/>
                <w:kern w:val="0"/>
                <w:sz w:val="14"/>
                <w:szCs w:val="14"/>
                <w:highlight w:val="none"/>
              </w:rPr>
            </w:pPr>
          </w:p>
        </w:tc>
      </w:tr>
      <w:tr w14:paraId="7673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4D04471C">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3AC70B70">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14:paraId="52CEE330">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566DA926">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974B885">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583F72D9">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527B6D74">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3ACA2A99">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0F0F479D">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6B7A7617">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21CCFBB3">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6EA50FD8">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60126E2B">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14:paraId="16EF6EE8">
            <w:pPr>
              <w:widowControl/>
              <w:spacing w:line="240" w:lineRule="auto"/>
              <w:jc w:val="center"/>
              <w:rPr>
                <w:rFonts w:ascii="Times New Roman" w:hAnsi="Times New Roman" w:cs="Times New Roman"/>
                <w:color w:val="000000"/>
                <w:kern w:val="0"/>
                <w:sz w:val="14"/>
                <w:szCs w:val="14"/>
                <w:highlight w:val="none"/>
              </w:rPr>
            </w:pPr>
          </w:p>
        </w:tc>
      </w:tr>
      <w:tr w14:paraId="2F52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7F1BD95B">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4A03A929">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14:paraId="1FC7CED4">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61D50BBE">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A08FDCD">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513848B9">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654403F9">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3CAACFAB">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0540F6BF">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2734BDD3">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C89836D">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07DF4BE">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20D4BF70">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14:paraId="42F0B6EE">
            <w:pPr>
              <w:widowControl/>
              <w:spacing w:line="240" w:lineRule="auto"/>
              <w:jc w:val="center"/>
              <w:rPr>
                <w:rFonts w:ascii="Times New Roman" w:hAnsi="Times New Roman" w:cs="Times New Roman"/>
                <w:color w:val="000000"/>
                <w:kern w:val="0"/>
                <w:sz w:val="14"/>
                <w:szCs w:val="14"/>
                <w:highlight w:val="none"/>
              </w:rPr>
            </w:pPr>
          </w:p>
        </w:tc>
      </w:tr>
      <w:tr w14:paraId="3511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5D66023B">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6D4C37A7">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14:paraId="5286B75F">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547D92E6">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324FC26C">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7FA2961">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564FD89D">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7A0B30BF">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3CBF58F">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799E85D4">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E653DE8">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3A8BC8E">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8FDCF4A">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14:paraId="123CE228">
            <w:pPr>
              <w:widowControl/>
              <w:spacing w:line="240" w:lineRule="auto"/>
              <w:jc w:val="center"/>
              <w:rPr>
                <w:rFonts w:ascii="Times New Roman" w:hAnsi="Times New Roman" w:cs="Times New Roman"/>
                <w:color w:val="000000"/>
                <w:kern w:val="0"/>
                <w:sz w:val="14"/>
                <w:szCs w:val="14"/>
                <w:highlight w:val="none"/>
              </w:rPr>
            </w:pPr>
          </w:p>
        </w:tc>
      </w:tr>
      <w:tr w14:paraId="5DA0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148A9BA3">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23970095">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14:paraId="247A252B">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78B6D51">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5D64C514">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9E7C948">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33EBDC11">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54B83BC3">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00F9962F">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227080FC">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0495D5DA">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0AC5C1C4">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6743C90D">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14:paraId="7B383FDD">
            <w:pPr>
              <w:widowControl/>
              <w:spacing w:line="240" w:lineRule="auto"/>
              <w:jc w:val="center"/>
              <w:rPr>
                <w:rFonts w:ascii="Times New Roman" w:hAnsi="Times New Roman" w:cs="Times New Roman"/>
                <w:color w:val="000000"/>
                <w:kern w:val="0"/>
                <w:sz w:val="14"/>
                <w:szCs w:val="14"/>
                <w:highlight w:val="none"/>
              </w:rPr>
            </w:pPr>
          </w:p>
        </w:tc>
      </w:tr>
      <w:tr w14:paraId="6262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054B14F6">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3344BB68">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14:paraId="36750D08">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586049A2">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D3AEB26">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342A98EE">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5AFF88A3">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BDE986D">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B959EDF">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3B8EB2B2">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6D5B8CA1">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7A71D9C2">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089F859D">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14:paraId="10A47557">
            <w:pPr>
              <w:widowControl/>
              <w:spacing w:line="240" w:lineRule="auto"/>
              <w:jc w:val="center"/>
              <w:rPr>
                <w:rFonts w:ascii="Times New Roman" w:hAnsi="Times New Roman" w:cs="Times New Roman"/>
                <w:color w:val="000000"/>
                <w:kern w:val="0"/>
                <w:sz w:val="14"/>
                <w:szCs w:val="14"/>
                <w:highlight w:val="none"/>
              </w:rPr>
            </w:pPr>
          </w:p>
        </w:tc>
      </w:tr>
      <w:tr w14:paraId="3D9D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151BD54F">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78F4019C">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14:paraId="3E6179D5">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76B4C84F">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003134FD">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09E1511C">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2AA2333">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66579ED">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57E2C36">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2C63B992">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3A52BE92">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6923C029">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26A73168">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14:paraId="38006C69">
            <w:pPr>
              <w:widowControl/>
              <w:spacing w:line="240" w:lineRule="auto"/>
              <w:jc w:val="center"/>
              <w:rPr>
                <w:rFonts w:ascii="Times New Roman" w:hAnsi="Times New Roman" w:cs="Times New Roman"/>
                <w:color w:val="000000"/>
                <w:kern w:val="0"/>
                <w:sz w:val="14"/>
                <w:szCs w:val="14"/>
                <w:highlight w:val="none"/>
              </w:rPr>
            </w:pPr>
          </w:p>
        </w:tc>
      </w:tr>
      <w:tr w14:paraId="6180B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3124E00C">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2F3671E8">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14:paraId="5E8C9D8D">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5DE0F7B9">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6A368479">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A23A9C9">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016581F8">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7509B0C1">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3DF2135B">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2A0B04C">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FFEC273">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9BA566F">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632E4975">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14:paraId="04732EF7">
            <w:pPr>
              <w:widowControl/>
              <w:spacing w:line="240" w:lineRule="auto"/>
              <w:jc w:val="center"/>
              <w:rPr>
                <w:rFonts w:ascii="Times New Roman" w:hAnsi="Times New Roman" w:cs="Times New Roman"/>
                <w:color w:val="000000"/>
                <w:kern w:val="0"/>
                <w:sz w:val="14"/>
                <w:szCs w:val="14"/>
                <w:highlight w:val="none"/>
              </w:rPr>
            </w:pPr>
          </w:p>
        </w:tc>
      </w:tr>
      <w:tr w14:paraId="727A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5A130D28">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51A8FCCD">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14:paraId="0875B297">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5537112E">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67EBA277">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CBA7DF4">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D450D31">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03AAB15">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7DA58405">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168D7D75">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48A78809">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0137126A">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14:paraId="54EC9135">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14:paraId="3B52766B">
            <w:pPr>
              <w:widowControl/>
              <w:spacing w:line="240" w:lineRule="auto"/>
              <w:jc w:val="center"/>
              <w:rPr>
                <w:rFonts w:ascii="Times New Roman" w:hAnsi="Times New Roman" w:cs="Times New Roman"/>
                <w:color w:val="000000"/>
                <w:kern w:val="0"/>
                <w:sz w:val="14"/>
                <w:szCs w:val="14"/>
                <w:highlight w:val="none"/>
              </w:rPr>
            </w:pPr>
          </w:p>
        </w:tc>
      </w:tr>
      <w:tr w14:paraId="0D83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389C">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工况简述</w:t>
            </w:r>
          </w:p>
        </w:tc>
        <w:tc>
          <w:tcPr>
            <w:tcW w:w="1114" w:type="pct"/>
            <w:gridSpan w:val="3"/>
            <w:tcBorders>
              <w:top w:val="single" w:color="000000" w:sz="4" w:space="0"/>
              <w:left w:val="nil"/>
              <w:bottom w:val="single" w:color="000000" w:sz="4" w:space="0"/>
              <w:right w:val="single" w:color="000000" w:sz="4" w:space="0"/>
            </w:tcBorders>
            <w:shd w:val="clear" w:color="auto" w:fill="auto"/>
            <w:noWrap/>
            <w:vAlign w:val="center"/>
          </w:tcPr>
          <w:p w14:paraId="6DCCA720">
            <w:pPr>
              <w:widowControl/>
              <w:spacing w:line="240" w:lineRule="auto"/>
              <w:jc w:val="center"/>
              <w:rPr>
                <w:rFonts w:ascii="Times New Roman" w:hAnsi="Times New Roman" w:cs="Times New Roman"/>
                <w:color w:val="000000"/>
                <w:kern w:val="0"/>
                <w:sz w:val="14"/>
                <w:szCs w:val="14"/>
                <w:highlight w:val="none"/>
              </w:rPr>
            </w:pPr>
          </w:p>
        </w:tc>
        <w:tc>
          <w:tcPr>
            <w:tcW w:w="1068" w:type="pct"/>
            <w:gridSpan w:val="3"/>
            <w:tcBorders>
              <w:top w:val="nil"/>
              <w:left w:val="nil"/>
              <w:bottom w:val="single" w:color="000000" w:sz="4" w:space="0"/>
              <w:right w:val="single" w:color="000000" w:sz="4" w:space="0"/>
            </w:tcBorders>
            <w:shd w:val="clear" w:color="auto" w:fill="auto"/>
            <w:noWrap/>
            <w:vAlign w:val="center"/>
          </w:tcPr>
          <w:p w14:paraId="2AFC2B45">
            <w:pPr>
              <w:widowControl/>
              <w:spacing w:line="240" w:lineRule="auto"/>
              <w:jc w:val="center"/>
              <w:rPr>
                <w:rFonts w:ascii="Times New Roman" w:hAnsi="Times New Roman" w:cs="Times New Roman"/>
                <w:color w:val="000000"/>
                <w:kern w:val="0"/>
                <w:sz w:val="14"/>
                <w:szCs w:val="14"/>
                <w:highlight w:val="none"/>
              </w:rPr>
            </w:pPr>
          </w:p>
        </w:tc>
        <w:tc>
          <w:tcPr>
            <w:tcW w:w="1068" w:type="pct"/>
            <w:gridSpan w:val="3"/>
            <w:tcBorders>
              <w:top w:val="nil"/>
              <w:left w:val="nil"/>
              <w:bottom w:val="single" w:color="000000" w:sz="4" w:space="0"/>
              <w:right w:val="single" w:color="000000" w:sz="4" w:space="0"/>
            </w:tcBorders>
            <w:shd w:val="clear" w:color="auto" w:fill="auto"/>
            <w:noWrap/>
            <w:vAlign w:val="center"/>
          </w:tcPr>
          <w:p w14:paraId="214C7B65">
            <w:pPr>
              <w:widowControl/>
              <w:spacing w:line="240" w:lineRule="auto"/>
              <w:jc w:val="center"/>
              <w:rPr>
                <w:rFonts w:ascii="Times New Roman" w:hAnsi="Times New Roman" w:cs="Times New Roman"/>
                <w:color w:val="000000"/>
                <w:kern w:val="0"/>
                <w:sz w:val="14"/>
                <w:szCs w:val="14"/>
                <w:highlight w:val="none"/>
              </w:rPr>
            </w:pPr>
          </w:p>
        </w:tc>
        <w:tc>
          <w:tcPr>
            <w:tcW w:w="1070" w:type="pct"/>
            <w:gridSpan w:val="3"/>
            <w:tcBorders>
              <w:top w:val="nil"/>
              <w:left w:val="nil"/>
              <w:bottom w:val="single" w:color="000000" w:sz="4" w:space="0"/>
              <w:right w:val="single" w:color="000000" w:sz="4" w:space="0"/>
            </w:tcBorders>
            <w:shd w:val="clear" w:color="auto" w:fill="auto"/>
            <w:noWrap/>
            <w:vAlign w:val="center"/>
          </w:tcPr>
          <w:p w14:paraId="05A9767F">
            <w:pPr>
              <w:widowControl/>
              <w:spacing w:line="240" w:lineRule="auto"/>
              <w:jc w:val="center"/>
              <w:rPr>
                <w:rFonts w:ascii="Times New Roman" w:hAnsi="Times New Roman" w:cs="Times New Roman"/>
                <w:color w:val="000000"/>
                <w:kern w:val="0"/>
                <w:sz w:val="14"/>
                <w:szCs w:val="14"/>
                <w:highlight w:val="none"/>
              </w:rPr>
            </w:pPr>
          </w:p>
        </w:tc>
      </w:tr>
      <w:tr w14:paraId="5D73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A617">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累计变化最大值</w:t>
            </w:r>
          </w:p>
        </w:tc>
        <w:tc>
          <w:tcPr>
            <w:tcW w:w="1114" w:type="pct"/>
            <w:gridSpan w:val="3"/>
            <w:tcBorders>
              <w:top w:val="single" w:color="000000" w:sz="4" w:space="0"/>
              <w:left w:val="nil"/>
              <w:bottom w:val="single" w:color="000000" w:sz="4" w:space="0"/>
              <w:right w:val="single" w:color="000000" w:sz="4" w:space="0"/>
            </w:tcBorders>
            <w:shd w:val="clear" w:color="auto" w:fill="auto"/>
            <w:noWrap/>
            <w:vAlign w:val="center"/>
          </w:tcPr>
          <w:p w14:paraId="0F48EC9D">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68" w:type="pct"/>
            <w:gridSpan w:val="3"/>
            <w:tcBorders>
              <w:top w:val="nil"/>
              <w:left w:val="nil"/>
              <w:bottom w:val="single" w:color="000000" w:sz="4" w:space="0"/>
              <w:right w:val="single" w:color="000000" w:sz="4" w:space="0"/>
            </w:tcBorders>
            <w:shd w:val="clear" w:color="auto" w:fill="auto"/>
            <w:noWrap/>
            <w:vAlign w:val="center"/>
          </w:tcPr>
          <w:p w14:paraId="1E0FD303">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68" w:type="pct"/>
            <w:gridSpan w:val="3"/>
            <w:tcBorders>
              <w:top w:val="nil"/>
              <w:left w:val="nil"/>
              <w:bottom w:val="single" w:color="000000" w:sz="4" w:space="0"/>
              <w:right w:val="single" w:color="000000" w:sz="4" w:space="0"/>
            </w:tcBorders>
            <w:shd w:val="clear" w:color="auto" w:fill="auto"/>
            <w:noWrap/>
            <w:vAlign w:val="center"/>
          </w:tcPr>
          <w:p w14:paraId="5C13DD6D">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70" w:type="pct"/>
            <w:gridSpan w:val="3"/>
            <w:tcBorders>
              <w:top w:val="nil"/>
              <w:left w:val="nil"/>
              <w:bottom w:val="single" w:color="000000" w:sz="4" w:space="0"/>
              <w:right w:val="single" w:color="000000" w:sz="4" w:space="0"/>
            </w:tcBorders>
            <w:shd w:val="clear" w:color="auto" w:fill="auto"/>
            <w:noWrap/>
            <w:vAlign w:val="center"/>
          </w:tcPr>
          <w:p w14:paraId="1212B72B">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r>
      <w:tr w14:paraId="24B79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7415">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最大速率(mm/d)</w:t>
            </w:r>
          </w:p>
        </w:tc>
        <w:tc>
          <w:tcPr>
            <w:tcW w:w="1114" w:type="pct"/>
            <w:gridSpan w:val="3"/>
            <w:tcBorders>
              <w:top w:val="single" w:color="000000" w:sz="4" w:space="0"/>
              <w:left w:val="nil"/>
              <w:bottom w:val="single" w:color="000000" w:sz="4" w:space="0"/>
              <w:right w:val="single" w:color="000000" w:sz="4" w:space="0"/>
            </w:tcBorders>
            <w:shd w:val="clear" w:color="auto" w:fill="auto"/>
            <w:noWrap/>
            <w:vAlign w:val="center"/>
          </w:tcPr>
          <w:p w14:paraId="59F65BDE">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68" w:type="pct"/>
            <w:gridSpan w:val="3"/>
            <w:tcBorders>
              <w:top w:val="nil"/>
              <w:left w:val="nil"/>
              <w:bottom w:val="single" w:color="000000" w:sz="4" w:space="0"/>
              <w:right w:val="single" w:color="000000" w:sz="4" w:space="0"/>
            </w:tcBorders>
            <w:shd w:val="clear" w:color="auto" w:fill="auto"/>
            <w:noWrap/>
            <w:vAlign w:val="center"/>
          </w:tcPr>
          <w:p w14:paraId="19FD1410">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68" w:type="pct"/>
            <w:gridSpan w:val="3"/>
            <w:tcBorders>
              <w:top w:val="nil"/>
              <w:left w:val="nil"/>
              <w:bottom w:val="single" w:color="000000" w:sz="4" w:space="0"/>
              <w:right w:val="single" w:color="000000" w:sz="4" w:space="0"/>
            </w:tcBorders>
            <w:shd w:val="clear" w:color="auto" w:fill="auto"/>
            <w:noWrap/>
            <w:vAlign w:val="center"/>
          </w:tcPr>
          <w:p w14:paraId="31B2CEF8">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70" w:type="pct"/>
            <w:gridSpan w:val="3"/>
            <w:tcBorders>
              <w:top w:val="nil"/>
              <w:left w:val="nil"/>
              <w:bottom w:val="single" w:color="000000" w:sz="4" w:space="0"/>
              <w:right w:val="single" w:color="000000" w:sz="4" w:space="0"/>
            </w:tcBorders>
            <w:shd w:val="clear" w:color="auto" w:fill="auto"/>
            <w:noWrap/>
            <w:vAlign w:val="center"/>
          </w:tcPr>
          <w:p w14:paraId="6202EE10">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r>
      <w:tr w14:paraId="0604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AB0D586">
            <w:pPr>
              <w:widowControl/>
              <w:spacing w:line="240" w:lineRule="auto"/>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备注:</w:t>
            </w:r>
          </w:p>
          <w:p w14:paraId="2CD9AFC0">
            <w:pPr>
              <w:widowControl/>
              <w:spacing w:line="240" w:lineRule="auto"/>
              <w:ind w:firstLine="280" w:firstLineChars="200"/>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1）表中次数为进场次数；2 ）地下水位变化量“+”表示水位上升，“-”表示水位下降</w:t>
            </w:r>
            <w:r>
              <w:rPr>
                <w:rFonts w:ascii="Times New Roman" w:hAnsi="Times New Roman" w:cs="Times New Roman"/>
                <w:color w:val="000000"/>
                <w:kern w:val="0"/>
                <w:sz w:val="14"/>
                <w:szCs w:val="14"/>
                <w:highlight w:val="none"/>
              </w:rPr>
              <w:t>。</w:t>
            </w:r>
          </w:p>
        </w:tc>
      </w:tr>
      <w:tr w14:paraId="3DB7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000000" w:fill="D9D9D9"/>
            <w:noWrap/>
            <w:vAlign w:val="center"/>
          </w:tcPr>
          <w:p w14:paraId="05CD61F9">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监测数据成果曲线图</w:t>
            </w:r>
          </w:p>
        </w:tc>
      </w:tr>
      <w:tr w14:paraId="5B6C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5"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E22BAC">
            <w:pPr>
              <w:widowControl/>
              <w:spacing w:line="240" w:lineRule="auto"/>
              <w:jc w:val="center"/>
              <w:rPr>
                <w:rFonts w:ascii="Times New Roman" w:hAnsi="Times New Roman" w:cs="Times New Roman"/>
                <w:b/>
                <w:bCs/>
                <w:color w:val="000000"/>
                <w:kern w:val="0"/>
                <w:sz w:val="18"/>
                <w:szCs w:val="18"/>
                <w:highlight w:val="none"/>
              </w:rPr>
            </w:pPr>
            <w:r>
              <w:rPr>
                <w:rFonts w:ascii="Times New Roman" w:hAnsi="Times New Roman" w:cs="Times New Roman"/>
                <w:highlight w:val="none"/>
              </w:rPr>
              <mc:AlternateContent>
                <mc:Choice Requires="wps">
                  <w:drawing>
                    <wp:anchor distT="0" distB="0" distL="114300" distR="114300" simplePos="0" relativeHeight="251676672" behindDoc="0" locked="0" layoutInCell="1" allowOverlap="1">
                      <wp:simplePos x="0" y="0"/>
                      <wp:positionH relativeFrom="column">
                        <wp:posOffset>4828540</wp:posOffset>
                      </wp:positionH>
                      <wp:positionV relativeFrom="paragraph">
                        <wp:posOffset>222885</wp:posOffset>
                      </wp:positionV>
                      <wp:extent cx="419735" cy="641985"/>
                      <wp:effectExtent l="5080" t="5080" r="13335" b="19685"/>
                      <wp:wrapNone/>
                      <wp:docPr id="1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19735" cy="641985"/>
                              </a:xfrm>
                              <a:prstGeom prst="rect">
                                <a:avLst/>
                              </a:prstGeom>
                              <a:solidFill>
                                <a:srgbClr val="FFFFFF"/>
                              </a:solidFill>
                              <a:ln w="9525">
                                <a:solidFill>
                                  <a:srgbClr val="44546A"/>
                                </a:solidFill>
                                <a:miter lim="800000"/>
                              </a:ln>
                            </wps:spPr>
                            <wps:txbx>
                              <w:txbxContent>
                                <w:p w14:paraId="4C90E413">
                                  <w:r>
                                    <w:rPr>
                                      <w:rFonts w:hint="eastAsia"/>
                                    </w:rPr>
                                    <w:t>图例：</w:t>
                                  </w:r>
                                </w:p>
                                <w:p w14:paraId="73D4A935"/>
                                <w:p w14:paraId="6DAC6C48"/>
                                <w:p w14:paraId="38419382"/>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80.2pt;margin-top:17.55pt;height:50.55pt;width:33.05pt;z-index:251676672;mso-width-relative:page;mso-height-relative:page;" fillcolor="#FFFFFF" filled="t" stroked="t" coordsize="21600,21600" o:gfxdata="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Gek3X2AAAAAoBAAAPAAAAAAAAAAEAIAAA&#10;ACIAAABkcnMvZG93bnJldi54bWxQSwECFAAUAAAACACHTuJAAVRJxUUCAACHBAAADgAAAAAAAAAB&#10;ACAAAAAnAQAAZHJzL2Uyb0RvYy54bWxQSwUGAAAAAAYABgBZAQAA3gUAAAAA&#10;">
                      <v:fill on="t" focussize="0,0"/>
                      <v:stroke color="#44546A" miterlimit="8" joinstyle="miter"/>
                      <v:imagedata o:title=""/>
                      <o:lock v:ext="edit" aspectratio="f"/>
                      <v:textbox>
                        <w:txbxContent>
                          <w:p w14:paraId="4C90E413">
                            <w:r>
                              <w:rPr>
                                <w:rFonts w:hint="eastAsia"/>
                              </w:rPr>
                              <w:t>图例：</w:t>
                            </w:r>
                          </w:p>
                          <w:p w14:paraId="73D4A935"/>
                          <w:p w14:paraId="6DAC6C48"/>
                          <w:p w14:paraId="38419382"/>
                        </w:txbxContent>
                      </v:textbox>
                    </v:shape>
                  </w:pict>
                </mc:Fallback>
              </mc:AlternateContent>
            </w:r>
            <w:r>
              <w:rPr>
                <w:rFonts w:ascii="Times New Roman" w:hAnsi="Times New Roman" w:cs="Times New Roman"/>
                <w:sz w:val="18"/>
                <w:highlight w:val="none"/>
              </w:rPr>
              <mc:AlternateContent>
                <mc:Choice Requires="wpg">
                  <w:drawing>
                    <wp:anchor distT="0" distB="0" distL="114300" distR="114300" simplePos="0" relativeHeight="251671552" behindDoc="0" locked="0" layoutInCell="1" allowOverlap="1">
                      <wp:simplePos x="0" y="0"/>
                      <wp:positionH relativeFrom="column">
                        <wp:posOffset>94615</wp:posOffset>
                      </wp:positionH>
                      <wp:positionV relativeFrom="paragraph">
                        <wp:posOffset>34925</wp:posOffset>
                      </wp:positionV>
                      <wp:extent cx="5041900" cy="1359535"/>
                      <wp:effectExtent l="4445" t="0" r="1905" b="12065"/>
                      <wp:wrapNone/>
                      <wp:docPr id="180" name="Group 342"/>
                      <wp:cNvGraphicFramePr/>
                      <a:graphic xmlns:a="http://schemas.openxmlformats.org/drawingml/2006/main">
                        <a:graphicData uri="http://schemas.microsoft.com/office/word/2010/wordprocessingGroup">
                          <wpg:wgp>
                            <wpg:cNvGrpSpPr/>
                            <wpg:grpSpPr>
                              <a:xfrm rot="0">
                                <a:off x="1237615" y="7466330"/>
                                <a:ext cx="5041900" cy="1359535"/>
                                <a:chOff x="2164" y="10756"/>
                                <a:chExt cx="8077" cy="2141"/>
                              </a:xfrm>
                            </wpg:grpSpPr>
                            <wps:wsp>
                              <wps:cNvPr id="181" name="文本框 2"/>
                              <wps:cNvSpPr txBox="1">
                                <a:spLocks noChangeArrowheads="1"/>
                              </wps:cNvSpPr>
                              <wps:spPr bwMode="auto">
                                <a:xfrm>
                                  <a:off x="4603" y="12499"/>
                                  <a:ext cx="3165" cy="398"/>
                                </a:xfrm>
                                <a:prstGeom prst="rect">
                                  <a:avLst/>
                                </a:prstGeom>
                                <a:solidFill>
                                  <a:srgbClr val="FFFFFF"/>
                                </a:solidFill>
                                <a:ln w="9525">
                                  <a:solidFill>
                                    <a:srgbClr val="FFFFFF"/>
                                  </a:solidFill>
                                  <a:miter lim="800000"/>
                                </a:ln>
                              </wps:spPr>
                              <wps:txbx>
                                <w:txbxContent>
                                  <w:p w14:paraId="1C5FE3DD">
                                    <w:pPr>
                                      <w:spacing w:line="240" w:lineRule="auto"/>
                                      <w:jc w:val="center"/>
                                      <w:rPr>
                                        <w:sz w:val="18"/>
                                        <w:szCs w:val="18"/>
                                      </w:rPr>
                                    </w:pPr>
                                    <w:r>
                                      <w:rPr>
                                        <w:rFonts w:hint="eastAsia"/>
                                        <w:sz w:val="18"/>
                                        <w:szCs w:val="18"/>
                                      </w:rPr>
                                      <w:t>观测时间</w:t>
                                    </w:r>
                                  </w:p>
                                </w:txbxContent>
                              </wps:txbx>
                              <wps:bodyPr rot="0" vert="horz" wrap="square" lIns="91440" tIns="45720" rIns="91440" bIns="45720" anchor="t" anchorCtr="0" upright="1">
                                <a:noAutofit/>
                              </wps:bodyPr>
                            </wps:wsp>
                            <wps:wsp>
                              <wps:cNvPr id="182" name="Text Box 344"/>
                              <wps:cNvSpPr txBox="1">
                                <a:spLocks noChangeArrowheads="1"/>
                              </wps:cNvSpPr>
                              <wps:spPr bwMode="auto">
                                <a:xfrm>
                                  <a:off x="2164" y="10809"/>
                                  <a:ext cx="538" cy="1713"/>
                                </a:xfrm>
                                <a:prstGeom prst="rect">
                                  <a:avLst/>
                                </a:prstGeom>
                                <a:solidFill>
                                  <a:srgbClr val="FFFFFF"/>
                                </a:solidFill>
                                <a:ln w="9525">
                                  <a:solidFill>
                                    <a:srgbClr val="FFFFFF"/>
                                  </a:solidFill>
                                  <a:miter lim="800000"/>
                                </a:ln>
                              </wps:spPr>
                              <wps:txbx>
                                <w:txbxContent>
                                  <w:p w14:paraId="67A7A947">
                                    <w:r>
                                      <w:rPr>
                                        <w:rFonts w:hint="eastAsia"/>
                                        <w:sz w:val="18"/>
                                        <w:szCs w:val="18"/>
                                      </w:rPr>
                                      <w:t>累计</w:t>
                                    </w:r>
                                    <w:r>
                                      <w:rPr>
                                        <w:sz w:val="18"/>
                                        <w:szCs w:val="18"/>
                                      </w:rPr>
                                      <w:t>变化量</w:t>
                                    </w:r>
                                    <w:r>
                                      <w:t>（</w:t>
                                    </w:r>
                                    <w:r>
                                      <w:rPr>
                                        <w:rFonts w:hint="eastAsia"/>
                                      </w:rPr>
                                      <w:t>mm</w:t>
                                    </w:r>
                                    <w:r>
                                      <w:t>）</w:t>
                                    </w:r>
                                  </w:p>
                                </w:txbxContent>
                              </wps:txbx>
                              <wps:bodyPr rot="0" vert="eaVert" wrap="square" lIns="91440" tIns="45720" rIns="91440" bIns="45720" anchor="t" anchorCtr="0" upright="1">
                                <a:noAutofit/>
                              </wps:bodyPr>
                            </wps:wsp>
                            <wpg:grpSp>
                              <wpg:cNvPr id="183" name="Group 345"/>
                              <wpg:cNvGrpSpPr/>
                              <wpg:grpSpPr>
                                <a:xfrm>
                                  <a:off x="2590" y="10756"/>
                                  <a:ext cx="7651" cy="1825"/>
                                  <a:chOff x="3323" y="12253"/>
                                  <a:chExt cx="5752" cy="1492"/>
                                </a:xfrm>
                              </wpg:grpSpPr>
                              <wps:wsp>
                                <wps:cNvPr id="184" name="AutoShape 346"/>
                                <wps:cNvCnPr>
                                  <a:cxnSpLocks noChangeShapeType="1"/>
                                </wps:cNvCnPr>
                                <wps:spPr bwMode="auto">
                                  <a:xfrm flipV="1">
                                    <a:off x="3323" y="12253"/>
                                    <a:ext cx="1" cy="1486"/>
                                  </a:xfrm>
                                  <a:prstGeom prst="straightConnector1">
                                    <a:avLst/>
                                  </a:prstGeom>
                                  <a:noFill/>
                                  <a:ln w="9525">
                                    <a:solidFill>
                                      <a:srgbClr val="000000"/>
                                    </a:solidFill>
                                    <a:round/>
                                    <a:tailEnd type="triangle" w="med" len="med"/>
                                  </a:ln>
                                </wps:spPr>
                                <wps:bodyPr/>
                              </wps:wsp>
                              <wps:wsp>
                                <wps:cNvPr id="185" name="AutoShape 347"/>
                                <wps:cNvCnPr>
                                  <a:cxnSpLocks noChangeShapeType="1"/>
                                </wps:cNvCnPr>
                                <wps:spPr bwMode="auto">
                                  <a:xfrm flipV="1">
                                    <a:off x="3324" y="13696"/>
                                    <a:ext cx="5751" cy="49"/>
                                  </a:xfrm>
                                  <a:prstGeom prst="straightConnector1">
                                    <a:avLst/>
                                  </a:prstGeom>
                                  <a:noFill/>
                                  <a:ln w="9525">
                                    <a:solidFill>
                                      <a:srgbClr val="000000"/>
                                    </a:solidFill>
                                    <a:round/>
                                    <a:tailEnd type="triangle" w="med" len="med"/>
                                  </a:ln>
                                </wps:spPr>
                                <wps:bodyPr/>
                              </wps:wsp>
                            </wpg:grpSp>
                          </wpg:wgp>
                        </a:graphicData>
                      </a:graphic>
                    </wp:anchor>
                  </w:drawing>
                </mc:Choice>
                <mc:Fallback>
                  <w:pict>
                    <v:group id="Group 342" o:spid="_x0000_s1026" o:spt="203" style="position:absolute;left:0pt;margin-left:7.45pt;margin-top:2.75pt;height:107.05pt;width:397pt;z-index:251671552;mso-width-relative:page;mso-height-relative:page;" coordorigin="2164,10756" coordsize="8077,2141" o:gfxdata="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">
                      <o:lock v:ext="edit" aspectratio="f"/>
                      <v:shape id="文本框 2" o:spid="_x0000_s1026" o:spt="202" type="#_x0000_t202" style="position:absolute;left:4603;top:12499;height:398;width:3165;" fillcolor="#FFFFFF" filled="t" stroked="t" coordsize="21600,21600" o:gfxdata="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pSt37sAAADc&#10;AAAADwAAAAAAAAABACAAAAAiAAAAZHJzL2Rvd25yZXYueG1sUEsBAhQAFAAAAAgAh07iQDMvBZ47&#10;AAAAOQAAABAAAAAAAAAAAQAgAAAACgEAAGRycy9zaGFwZXhtbC54bWxQSwUGAAAAAAYABgBbAQAA&#10;tAMAAAAA&#10;">
                        <v:fill on="t" focussize="0,0"/>
                        <v:stroke color="#FFFFFF" miterlimit="8" joinstyle="miter"/>
                        <v:imagedata o:title=""/>
                        <o:lock v:ext="edit" aspectratio="f"/>
                        <v:textbox>
                          <w:txbxContent>
                            <w:p w14:paraId="1C5FE3DD">
                              <w:pPr>
                                <w:spacing w:line="240" w:lineRule="auto"/>
                                <w:jc w:val="center"/>
                                <w:rPr>
                                  <w:sz w:val="18"/>
                                  <w:szCs w:val="18"/>
                                </w:rPr>
                              </w:pPr>
                              <w:r>
                                <w:rPr>
                                  <w:rFonts w:hint="eastAsia"/>
                                  <w:sz w:val="18"/>
                                  <w:szCs w:val="18"/>
                                </w:rPr>
                                <w:t>观测时间</w:t>
                              </w:r>
                            </w:p>
                          </w:txbxContent>
                        </v:textbox>
                      </v:shape>
                      <v:shape id="Text Box 344" o:spid="_x0000_s1026" o:spt="202" type="#_x0000_t202" style="position:absolute;left:2164;top:10809;height:1713;width:538;" fillcolor="#FFFFFF" filled="t" stroked="t" coordsize="21600,21600" o:gfxdata="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MpphrUAAADcAAAADwAA&#10;AAAAAAABACAAAAAiAAAAZHJzL2Rvd25yZXYueG1sUEsBAhQAFAAAAAgAh07iQDMvBZ47AAAAOQAA&#10;ABAAAAAAAAAAAQAgAAAABAEAAGRycy9zaGFwZXhtbC54bWxQSwUGAAAAAAYABgBbAQAArgMAAAAA&#10;">
                        <v:fill on="t" focussize="0,0"/>
                        <v:stroke color="#FFFFFF" miterlimit="8" joinstyle="miter"/>
                        <v:imagedata o:title=""/>
                        <o:lock v:ext="edit" aspectratio="f"/>
                        <v:textbox style="layout-flow:vertical-ideographic;">
                          <w:txbxContent>
                            <w:p w14:paraId="67A7A947">
                              <w:r>
                                <w:rPr>
                                  <w:rFonts w:hint="eastAsia"/>
                                  <w:sz w:val="18"/>
                                  <w:szCs w:val="18"/>
                                </w:rPr>
                                <w:t>累计</w:t>
                              </w:r>
                              <w:r>
                                <w:rPr>
                                  <w:sz w:val="18"/>
                                  <w:szCs w:val="18"/>
                                </w:rPr>
                                <w:t>变化量</w:t>
                              </w:r>
                              <w:r>
                                <w:t>（</w:t>
                              </w:r>
                              <w:r>
                                <w:rPr>
                                  <w:rFonts w:hint="eastAsia"/>
                                </w:rPr>
                                <w:t>mm</w:t>
                              </w:r>
                              <w:r>
                                <w:t>）</w:t>
                              </w:r>
                            </w:p>
                          </w:txbxContent>
                        </v:textbox>
                      </v:shape>
                      <v:group id="Group 345" o:spid="_x0000_s1026" o:spt="203" style="position:absolute;left:2590;top:10756;height:1825;width:7651;" coordorigin="3323,12253" coordsize="5752,1492" o:gfxdata="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JsA/L0AAADcAAAADwAAAAAAAAABACAAAAAiAAAAZHJzL2Rvd25yZXYueG1s&#10;UEsBAhQAFAAAAAgAh07iQDMvBZ47AAAAOQAAABUAAAAAAAAAAQAgAAAADAEAAGRycy9ncm91cHNo&#10;YXBleG1sLnhtbFBLBQYAAAAABgAGAGABAADJAwAAAAA=&#10;">
                        <o:lock v:ext="edit" aspectratio="f"/>
                        <v:shape id="AutoShape 346" o:spid="_x0000_s1026" o:spt="32" type="#_x0000_t32" style="position:absolute;left:3323;top:12253;flip:y;height:1486;width:1;" filled="f" stroked="t" coordsize="21600,21600" o:gfxdata="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YAob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347" o:spid="_x0000_s1026" o:spt="32" type="#_x0000_t32" style="position:absolute;left:3324;top:13696;flip:y;height:49;width:5751;" filled="f" stroked="t" coordsize="21600,21600" o:gfxdata="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apT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w:pict>
                </mc:Fallback>
              </mc:AlternateContent>
            </w:r>
          </w:p>
        </w:tc>
      </w:tr>
    </w:tbl>
    <w:p w14:paraId="6C6EFDE7">
      <w:pPr>
        <w:ind w:firstLine="180" w:firstLineChars="100"/>
        <w:rPr>
          <w:rFonts w:hint="eastAsia" w:ascii="Times New Roman" w:hAnsi="Times New Roman" w:cs="Times New Roman"/>
          <w:sz w:val="18"/>
          <w:szCs w:val="18"/>
          <w:highlight w:val="none"/>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18"/>
          <w:szCs w:val="18"/>
          <w:highlight w:val="none"/>
        </w:rPr>
        <w:t xml:space="preserve">观测：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计算：                              校核：</w:t>
      </w:r>
    </w:p>
    <w:p w14:paraId="19C42B69">
      <w:pPr>
        <w:pStyle w:val="3"/>
        <w:adjustRightInd w:val="0"/>
        <w:snapToGrid w:val="0"/>
        <w:spacing w:before="0" w:after="0" w:line="360" w:lineRule="auto"/>
        <w:jc w:val="center"/>
        <w:rPr>
          <w:rFonts w:ascii="Times New Roman" w:hAnsi="Times New Roman" w:cs="Times New Roman"/>
          <w:highlight w:val="none"/>
        </w:rPr>
      </w:pPr>
      <w:bookmarkStart w:id="187" w:name="_Toc27394"/>
      <w:bookmarkStart w:id="188" w:name="_Toc4860"/>
      <w:bookmarkStart w:id="189" w:name="_Toc1429"/>
      <w:bookmarkStart w:id="190" w:name="_Toc22889"/>
      <w:bookmarkStart w:id="191" w:name="_Toc525052911"/>
      <w:bookmarkStart w:id="192" w:name="_Toc20415"/>
      <w:bookmarkStart w:id="193" w:name="_Toc11517"/>
      <w:bookmarkStart w:id="194" w:name="_Toc650"/>
      <w:r>
        <w:rPr>
          <w:rFonts w:hint="eastAsia" w:ascii="Times New Roman" w:hAnsi="Times New Roman" w:cs="Times New Roman"/>
          <w:b w:val="0"/>
          <w:highlight w:val="none"/>
        </w:rPr>
        <w:t>附录</w:t>
      </w:r>
      <w:r>
        <w:rPr>
          <w:rFonts w:hint="eastAsia" w:ascii="Times New Roman" w:hAnsi="Times New Roman" w:cs="Times New Roman"/>
          <w:b w:val="0"/>
          <w:highlight w:val="none"/>
          <w:lang w:val="en-US" w:eastAsia="zh-CN"/>
        </w:rPr>
        <w:t>G</w:t>
      </w:r>
      <w:r>
        <w:rPr>
          <w:rFonts w:ascii="Times New Roman" w:hAnsi="Times New Roman" w:cs="Times New Roman"/>
          <w:b w:val="0"/>
          <w:highlight w:val="none"/>
        </w:rPr>
        <w:t xml:space="preserve"> </w:t>
      </w:r>
      <w:r>
        <w:rPr>
          <w:rFonts w:hint="eastAsia" w:ascii="Times New Roman" w:hAnsi="Times New Roman" w:cs="Times New Roman"/>
          <w:b w:val="0"/>
          <w:highlight w:val="none"/>
        </w:rPr>
        <w:t>支护结构内力监测日报表</w:t>
      </w:r>
      <w:bookmarkEnd w:id="187"/>
      <w:bookmarkEnd w:id="188"/>
      <w:bookmarkEnd w:id="189"/>
      <w:bookmarkEnd w:id="190"/>
      <w:bookmarkEnd w:id="191"/>
      <w:bookmarkEnd w:id="192"/>
      <w:bookmarkEnd w:id="193"/>
      <w:bookmarkEnd w:id="194"/>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635"/>
        <w:gridCol w:w="668"/>
        <w:gridCol w:w="668"/>
        <w:gridCol w:w="494"/>
        <w:gridCol w:w="668"/>
        <w:gridCol w:w="668"/>
        <w:gridCol w:w="494"/>
        <w:gridCol w:w="668"/>
        <w:gridCol w:w="668"/>
        <w:gridCol w:w="494"/>
        <w:gridCol w:w="668"/>
        <w:gridCol w:w="668"/>
        <w:gridCol w:w="500"/>
      </w:tblGrid>
      <w:tr w14:paraId="1B92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14:paraId="0E953076">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委托单位：                        监测单位：                            报表编号：</w:t>
            </w:r>
          </w:p>
        </w:tc>
      </w:tr>
      <w:tr w14:paraId="21FB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14:paraId="79EFAC2C">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工程名称：                        工程地点：                            天气：</w:t>
            </w:r>
          </w:p>
        </w:tc>
      </w:tr>
      <w:tr w14:paraId="63A5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14:paraId="01F17213">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仪器名称及编号：                                观测依据：</w:t>
            </w:r>
          </w:p>
        </w:tc>
      </w:tr>
      <w:tr w14:paraId="7D51F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auto" w:sz="4" w:space="0"/>
              <w:left w:val="single" w:color="000000" w:sz="4" w:space="0"/>
              <w:bottom w:val="single" w:color="000000" w:sz="4" w:space="0"/>
              <w:right w:val="single" w:color="000000" w:sz="4" w:space="0"/>
            </w:tcBorders>
            <w:shd w:val="clear" w:color="000000" w:fill="D9D9D9"/>
            <w:vAlign w:val="center"/>
          </w:tcPr>
          <w:p w14:paraId="0C2B7AB2">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监测数据成果汇总</w:t>
            </w:r>
          </w:p>
        </w:tc>
      </w:tr>
      <w:tr w14:paraId="65CB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17" w:type="pct"/>
            <w:vMerge w:val="restart"/>
            <w:tcBorders>
              <w:top w:val="nil"/>
              <w:left w:val="single" w:color="000000" w:sz="4" w:space="0"/>
              <w:bottom w:val="single" w:color="000000" w:sz="4" w:space="0"/>
              <w:right w:val="single" w:color="000000" w:sz="4" w:space="0"/>
              <w:tl2br w:val="single" w:color="000000" w:sz="4" w:space="0"/>
            </w:tcBorders>
            <w:shd w:val="clear" w:color="auto" w:fill="auto"/>
          </w:tcPr>
          <w:p w14:paraId="349FBD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时间</w:t>
            </w:r>
          </w:p>
          <w:p w14:paraId="2C970B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p>
          <w:p w14:paraId="2E62FF72">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14:paraId="4DBC1791">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14:paraId="6177928B">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14:paraId="44ADB964">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测点</w:t>
            </w:r>
          </w:p>
        </w:tc>
        <w:tc>
          <w:tcPr>
            <w:tcW w:w="359" w:type="pct"/>
            <w:vMerge w:val="restart"/>
            <w:tcBorders>
              <w:top w:val="nil"/>
              <w:left w:val="single" w:color="000000" w:sz="4" w:space="0"/>
              <w:bottom w:val="single" w:color="000000" w:sz="4" w:space="0"/>
              <w:right w:val="single" w:color="000000" w:sz="4" w:space="0"/>
            </w:tcBorders>
            <w:shd w:val="clear" w:color="auto" w:fill="auto"/>
            <w:vAlign w:val="center"/>
          </w:tcPr>
          <w:p w14:paraId="4707BF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初始</w:t>
            </w:r>
          </w:p>
          <w:p w14:paraId="6747AE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内力</w:t>
            </w: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14:paraId="5B5B06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0" w:type="pct"/>
            <w:gridSpan w:val="3"/>
            <w:tcBorders>
              <w:top w:val="nil"/>
              <w:left w:val="nil"/>
              <w:bottom w:val="single" w:color="000000" w:sz="4" w:space="0"/>
              <w:right w:val="single" w:color="000000" w:sz="4" w:space="0"/>
            </w:tcBorders>
            <w:shd w:val="clear" w:color="auto" w:fill="auto"/>
            <w:vAlign w:val="center"/>
          </w:tcPr>
          <w:p w14:paraId="5F718D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0" w:type="pct"/>
            <w:gridSpan w:val="3"/>
            <w:tcBorders>
              <w:top w:val="nil"/>
              <w:left w:val="nil"/>
              <w:bottom w:val="single" w:color="000000" w:sz="4" w:space="0"/>
              <w:right w:val="single" w:color="000000" w:sz="4" w:space="0"/>
            </w:tcBorders>
            <w:shd w:val="clear" w:color="auto" w:fill="auto"/>
            <w:vAlign w:val="center"/>
          </w:tcPr>
          <w:p w14:paraId="2A269B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1" w:type="pct"/>
            <w:gridSpan w:val="3"/>
            <w:tcBorders>
              <w:top w:val="nil"/>
              <w:left w:val="nil"/>
              <w:bottom w:val="single" w:color="000000" w:sz="4" w:space="0"/>
              <w:right w:val="single" w:color="000000" w:sz="4" w:space="0"/>
            </w:tcBorders>
            <w:shd w:val="clear" w:color="auto" w:fill="auto"/>
            <w:vAlign w:val="center"/>
          </w:tcPr>
          <w:p w14:paraId="4F2703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r>
      <w:tr w14:paraId="74C7D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17" w:type="pct"/>
            <w:vMerge w:val="continue"/>
            <w:tcBorders>
              <w:top w:val="nil"/>
              <w:left w:val="single" w:color="000000" w:sz="4" w:space="0"/>
              <w:bottom w:val="single" w:color="000000" w:sz="4" w:space="0"/>
              <w:right w:val="single" w:color="000000" w:sz="4" w:space="0"/>
            </w:tcBorders>
            <w:vAlign w:val="center"/>
          </w:tcPr>
          <w:p w14:paraId="384E40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59" w:type="pct"/>
            <w:vMerge w:val="continue"/>
            <w:tcBorders>
              <w:top w:val="nil"/>
              <w:left w:val="single" w:color="000000" w:sz="4" w:space="0"/>
              <w:bottom w:val="single" w:color="000000" w:sz="4" w:space="0"/>
              <w:right w:val="single" w:color="000000" w:sz="4" w:space="0"/>
            </w:tcBorders>
            <w:vAlign w:val="center"/>
          </w:tcPr>
          <w:p w14:paraId="7A7066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14:paraId="6CA11E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80" w:type="pct"/>
            <w:gridSpan w:val="3"/>
            <w:tcBorders>
              <w:top w:val="nil"/>
              <w:left w:val="nil"/>
              <w:bottom w:val="single" w:color="000000" w:sz="4" w:space="0"/>
              <w:right w:val="single" w:color="000000" w:sz="4" w:space="0"/>
            </w:tcBorders>
            <w:shd w:val="clear" w:color="auto" w:fill="auto"/>
            <w:vAlign w:val="center"/>
          </w:tcPr>
          <w:p w14:paraId="6498E1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80" w:type="pct"/>
            <w:gridSpan w:val="3"/>
            <w:tcBorders>
              <w:top w:val="nil"/>
              <w:left w:val="nil"/>
              <w:bottom w:val="single" w:color="000000" w:sz="4" w:space="0"/>
              <w:right w:val="single" w:color="000000" w:sz="4" w:space="0"/>
            </w:tcBorders>
            <w:shd w:val="clear" w:color="auto" w:fill="auto"/>
            <w:vAlign w:val="center"/>
          </w:tcPr>
          <w:p w14:paraId="7909F6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81" w:type="pct"/>
            <w:gridSpan w:val="3"/>
            <w:tcBorders>
              <w:top w:val="nil"/>
              <w:left w:val="nil"/>
              <w:bottom w:val="single" w:color="000000" w:sz="4" w:space="0"/>
              <w:right w:val="single" w:color="000000" w:sz="4" w:space="0"/>
            </w:tcBorders>
            <w:shd w:val="clear" w:color="auto" w:fill="auto"/>
            <w:vAlign w:val="center"/>
          </w:tcPr>
          <w:p w14:paraId="2E2FF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r>
      <w:tr w14:paraId="088B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17" w:type="pct"/>
            <w:vMerge w:val="continue"/>
            <w:tcBorders>
              <w:top w:val="nil"/>
              <w:left w:val="single" w:color="000000" w:sz="4" w:space="0"/>
              <w:bottom w:val="single" w:color="000000" w:sz="4" w:space="0"/>
              <w:right w:val="single" w:color="000000" w:sz="4" w:space="0"/>
            </w:tcBorders>
            <w:vAlign w:val="center"/>
          </w:tcPr>
          <w:p w14:paraId="2BA3F0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59" w:type="pct"/>
            <w:vMerge w:val="continue"/>
            <w:tcBorders>
              <w:top w:val="nil"/>
              <w:left w:val="single" w:color="000000" w:sz="4" w:space="0"/>
              <w:bottom w:val="single" w:color="000000" w:sz="4" w:space="0"/>
              <w:right w:val="single" w:color="000000" w:sz="4" w:space="0"/>
            </w:tcBorders>
            <w:vAlign w:val="center"/>
          </w:tcPr>
          <w:p w14:paraId="3B4A69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60" w:type="pct"/>
            <w:tcBorders>
              <w:top w:val="nil"/>
              <w:left w:val="single" w:color="000000" w:sz="4" w:space="0"/>
              <w:bottom w:val="single" w:color="000000" w:sz="4" w:space="0"/>
              <w:right w:val="single" w:color="000000" w:sz="4" w:space="0"/>
            </w:tcBorders>
            <w:shd w:val="clear" w:color="auto" w:fill="auto"/>
            <w:vAlign w:val="center"/>
          </w:tcPr>
          <w:p w14:paraId="44A995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w:t>
            </w:r>
          </w:p>
          <w:p w14:paraId="25977D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 化（kN</w:t>
            </w:r>
            <w:r>
              <w:rPr>
                <w:rFonts w:ascii="Times New Roman" w:hAnsi="Times New Roman" w:cs="Times New Roman"/>
                <w:color w:val="000000"/>
                <w:kern w:val="0"/>
                <w:sz w:val="14"/>
                <w:szCs w:val="14"/>
                <w:highlight w:val="none"/>
              </w:rPr>
              <w:t>）</w:t>
            </w:r>
          </w:p>
        </w:tc>
        <w:tc>
          <w:tcPr>
            <w:tcW w:w="360" w:type="pct"/>
            <w:tcBorders>
              <w:top w:val="nil"/>
              <w:left w:val="single" w:color="000000" w:sz="4" w:space="0"/>
              <w:bottom w:val="single" w:color="000000" w:sz="4" w:space="0"/>
              <w:right w:val="single" w:color="000000" w:sz="4" w:space="0"/>
            </w:tcBorders>
            <w:shd w:val="clear" w:color="auto" w:fill="auto"/>
            <w:vAlign w:val="center"/>
          </w:tcPr>
          <w:p w14:paraId="3E6BCB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化（kN</w:t>
            </w:r>
            <w:r>
              <w:rPr>
                <w:rFonts w:ascii="Times New Roman" w:hAnsi="Times New Roman" w:cs="Times New Roman"/>
                <w:color w:val="000000"/>
                <w:kern w:val="0"/>
                <w:sz w:val="14"/>
                <w:szCs w:val="14"/>
                <w:highlight w:val="none"/>
              </w:rPr>
              <w:t>）</w:t>
            </w:r>
          </w:p>
        </w:tc>
        <w:tc>
          <w:tcPr>
            <w:tcW w:w="360" w:type="pct"/>
            <w:tcBorders>
              <w:top w:val="nil"/>
              <w:left w:val="single" w:color="000000" w:sz="4" w:space="0"/>
              <w:bottom w:val="single" w:color="auto" w:sz="4" w:space="0"/>
              <w:right w:val="single" w:color="000000" w:sz="4" w:space="0"/>
            </w:tcBorders>
            <w:shd w:val="clear" w:color="auto" w:fill="auto"/>
            <w:vAlign w:val="center"/>
          </w:tcPr>
          <w:p w14:paraId="689BC9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06DF09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速率(kN /d)</w:t>
            </w:r>
          </w:p>
        </w:tc>
        <w:tc>
          <w:tcPr>
            <w:tcW w:w="360" w:type="pct"/>
            <w:tcBorders>
              <w:top w:val="nil"/>
              <w:left w:val="nil"/>
              <w:bottom w:val="single" w:color="auto" w:sz="4" w:space="0"/>
              <w:right w:val="single" w:color="000000" w:sz="4" w:space="0"/>
            </w:tcBorders>
            <w:shd w:val="clear" w:color="auto" w:fill="auto"/>
            <w:vAlign w:val="center"/>
          </w:tcPr>
          <w:p w14:paraId="393C81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74C9BA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1339B7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673E88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速率(kN /d)</w:t>
            </w:r>
          </w:p>
        </w:tc>
        <w:tc>
          <w:tcPr>
            <w:tcW w:w="360" w:type="pct"/>
            <w:tcBorders>
              <w:top w:val="nil"/>
              <w:left w:val="nil"/>
              <w:bottom w:val="single" w:color="auto" w:sz="4" w:space="0"/>
              <w:right w:val="single" w:color="000000" w:sz="4" w:space="0"/>
            </w:tcBorders>
            <w:shd w:val="clear" w:color="auto" w:fill="auto"/>
            <w:vAlign w:val="center"/>
          </w:tcPr>
          <w:p w14:paraId="141C58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40C53F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484BA1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5AB258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速率(kN /d)</w:t>
            </w:r>
          </w:p>
        </w:tc>
        <w:tc>
          <w:tcPr>
            <w:tcW w:w="360" w:type="pct"/>
            <w:tcBorders>
              <w:top w:val="nil"/>
              <w:left w:val="nil"/>
              <w:bottom w:val="single" w:color="auto" w:sz="4" w:space="0"/>
              <w:right w:val="single" w:color="000000" w:sz="4" w:space="0"/>
            </w:tcBorders>
            <w:shd w:val="clear" w:color="auto" w:fill="auto"/>
            <w:vAlign w:val="center"/>
          </w:tcPr>
          <w:p w14:paraId="78D301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5D35CF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364D93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4EE9D5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速率(kN /d)</w:t>
            </w:r>
          </w:p>
        </w:tc>
      </w:tr>
      <w:tr w14:paraId="3FFA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69760E13">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2FE6709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5C622F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68865F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615942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4E2197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A6CFD6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08989F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724699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E13901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BFC82F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6ED781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0553F2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FC5167C">
            <w:pPr>
              <w:widowControl/>
              <w:spacing w:line="240" w:lineRule="auto"/>
              <w:jc w:val="center"/>
              <w:rPr>
                <w:rFonts w:ascii="Times New Roman" w:hAnsi="Times New Roman" w:cs="Times New Roman"/>
                <w:color w:val="000000"/>
                <w:kern w:val="0"/>
                <w:sz w:val="14"/>
                <w:szCs w:val="14"/>
                <w:highlight w:val="none"/>
              </w:rPr>
            </w:pPr>
          </w:p>
        </w:tc>
      </w:tr>
      <w:tr w14:paraId="5835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60FFE10E">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6CCBCCD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F2BADE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F82A53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36C88B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1A1BCE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CFEA2D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3AC61C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B0ED2F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E855FF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F2CE5B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15B5E3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03EF40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A942C38">
            <w:pPr>
              <w:widowControl/>
              <w:spacing w:line="240" w:lineRule="auto"/>
              <w:jc w:val="center"/>
              <w:rPr>
                <w:rFonts w:ascii="Times New Roman" w:hAnsi="Times New Roman" w:cs="Times New Roman"/>
                <w:color w:val="000000"/>
                <w:kern w:val="0"/>
                <w:sz w:val="14"/>
                <w:szCs w:val="14"/>
                <w:highlight w:val="none"/>
              </w:rPr>
            </w:pPr>
          </w:p>
        </w:tc>
      </w:tr>
      <w:tr w14:paraId="64AB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30E491AF">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4E4730C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D70BE8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2B9EE9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69E562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0ED17B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98AA78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7D1A27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F43D04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FEA7F5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27CA8C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BE50A9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E02A83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67E965C">
            <w:pPr>
              <w:widowControl/>
              <w:spacing w:line="240" w:lineRule="auto"/>
              <w:jc w:val="center"/>
              <w:rPr>
                <w:rFonts w:ascii="Times New Roman" w:hAnsi="Times New Roman" w:cs="Times New Roman"/>
                <w:color w:val="000000"/>
                <w:kern w:val="0"/>
                <w:sz w:val="14"/>
                <w:szCs w:val="14"/>
                <w:highlight w:val="none"/>
              </w:rPr>
            </w:pPr>
          </w:p>
        </w:tc>
      </w:tr>
      <w:tr w14:paraId="73A8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6F16281B">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0B83F8D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72D8E7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4A282C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B70AF9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789FE0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314CA7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974AEF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E418E4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A1588E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BD1267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20A968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084A1C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F0F6229">
            <w:pPr>
              <w:widowControl/>
              <w:spacing w:line="240" w:lineRule="auto"/>
              <w:jc w:val="center"/>
              <w:rPr>
                <w:rFonts w:ascii="Times New Roman" w:hAnsi="Times New Roman" w:cs="Times New Roman"/>
                <w:color w:val="000000"/>
                <w:kern w:val="0"/>
                <w:sz w:val="14"/>
                <w:szCs w:val="14"/>
                <w:highlight w:val="none"/>
              </w:rPr>
            </w:pPr>
          </w:p>
        </w:tc>
      </w:tr>
      <w:tr w14:paraId="2B3C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7DE69977">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3991DE2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070E93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606DF5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D38482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4807E3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E4C0EC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D487E1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0EC1FD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C68387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412725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493880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4CEB03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B306AEF">
            <w:pPr>
              <w:widowControl/>
              <w:spacing w:line="240" w:lineRule="auto"/>
              <w:jc w:val="center"/>
              <w:rPr>
                <w:rFonts w:ascii="Times New Roman" w:hAnsi="Times New Roman" w:cs="Times New Roman"/>
                <w:color w:val="000000"/>
                <w:kern w:val="0"/>
                <w:sz w:val="14"/>
                <w:szCs w:val="14"/>
                <w:highlight w:val="none"/>
              </w:rPr>
            </w:pPr>
          </w:p>
        </w:tc>
      </w:tr>
      <w:tr w14:paraId="60D7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480C28C6">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5EB81FB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AFE130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3E84FE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C90CA3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2BDD6C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F9CFD8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091279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EF9D3F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39363A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061131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2B8305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D1335B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FBB4DC2">
            <w:pPr>
              <w:widowControl/>
              <w:spacing w:line="240" w:lineRule="auto"/>
              <w:jc w:val="center"/>
              <w:rPr>
                <w:rFonts w:ascii="Times New Roman" w:hAnsi="Times New Roman" w:cs="Times New Roman"/>
                <w:color w:val="000000"/>
                <w:kern w:val="0"/>
                <w:sz w:val="14"/>
                <w:szCs w:val="14"/>
                <w:highlight w:val="none"/>
              </w:rPr>
            </w:pPr>
          </w:p>
        </w:tc>
      </w:tr>
      <w:tr w14:paraId="4599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34A9AE26">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620B0D4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FB537B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AB4528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041882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AF1289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B495C2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DFF425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67BCD4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B420B9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ABB0A2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108DE8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FD8E4C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8BB2799">
            <w:pPr>
              <w:widowControl/>
              <w:spacing w:line="240" w:lineRule="auto"/>
              <w:jc w:val="center"/>
              <w:rPr>
                <w:rFonts w:ascii="Times New Roman" w:hAnsi="Times New Roman" w:cs="Times New Roman"/>
                <w:color w:val="000000"/>
                <w:kern w:val="0"/>
                <w:sz w:val="14"/>
                <w:szCs w:val="14"/>
                <w:highlight w:val="none"/>
              </w:rPr>
            </w:pPr>
          </w:p>
        </w:tc>
      </w:tr>
      <w:tr w14:paraId="6864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4F035417">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2FB39D9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A09456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57FFF1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8A6069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42EF82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7D73E7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691BA7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B87840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3669C5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9E9255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423387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2AE09C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5561380">
            <w:pPr>
              <w:widowControl/>
              <w:spacing w:line="240" w:lineRule="auto"/>
              <w:jc w:val="center"/>
              <w:rPr>
                <w:rFonts w:ascii="Times New Roman" w:hAnsi="Times New Roman" w:cs="Times New Roman"/>
                <w:color w:val="000000"/>
                <w:kern w:val="0"/>
                <w:sz w:val="14"/>
                <w:szCs w:val="14"/>
                <w:highlight w:val="none"/>
              </w:rPr>
            </w:pPr>
          </w:p>
        </w:tc>
      </w:tr>
      <w:tr w14:paraId="3E1E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0BAB3555">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76F8ADF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3FFF7F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9703D7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D70FA2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F71BD3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310D83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CF844C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4652C1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659FD8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4742B3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BA1896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BAC249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B73180C">
            <w:pPr>
              <w:widowControl/>
              <w:spacing w:line="240" w:lineRule="auto"/>
              <w:jc w:val="center"/>
              <w:rPr>
                <w:rFonts w:ascii="Times New Roman" w:hAnsi="Times New Roman" w:cs="Times New Roman"/>
                <w:color w:val="000000"/>
                <w:kern w:val="0"/>
                <w:sz w:val="14"/>
                <w:szCs w:val="14"/>
                <w:highlight w:val="none"/>
              </w:rPr>
            </w:pPr>
          </w:p>
        </w:tc>
      </w:tr>
      <w:tr w14:paraId="6DC28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5C9E01EB">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1403568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0DEAC7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BF7AC0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71CE32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AE5BE4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36DEFD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5C2550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C2E074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AA463B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14C9E8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48AA5C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0B57AE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2FFB3A5">
            <w:pPr>
              <w:widowControl/>
              <w:spacing w:line="240" w:lineRule="auto"/>
              <w:jc w:val="center"/>
              <w:rPr>
                <w:rFonts w:ascii="Times New Roman" w:hAnsi="Times New Roman" w:cs="Times New Roman"/>
                <w:color w:val="000000"/>
                <w:kern w:val="0"/>
                <w:sz w:val="14"/>
                <w:szCs w:val="14"/>
                <w:highlight w:val="none"/>
              </w:rPr>
            </w:pPr>
          </w:p>
        </w:tc>
      </w:tr>
      <w:tr w14:paraId="06C4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36E37D53">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6240685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64C22C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977388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548E50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DB4AA0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CE57F3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D5D49F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8CBE9C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0DAD8A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6E966E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628F0D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9F7258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96BC0C0">
            <w:pPr>
              <w:widowControl/>
              <w:spacing w:line="240" w:lineRule="auto"/>
              <w:jc w:val="center"/>
              <w:rPr>
                <w:rFonts w:ascii="Times New Roman" w:hAnsi="Times New Roman" w:cs="Times New Roman"/>
                <w:color w:val="000000"/>
                <w:kern w:val="0"/>
                <w:sz w:val="14"/>
                <w:szCs w:val="14"/>
                <w:highlight w:val="none"/>
              </w:rPr>
            </w:pPr>
          </w:p>
        </w:tc>
      </w:tr>
      <w:tr w14:paraId="2DAE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467E4E90">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6C348B9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E96847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913767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B2263C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54E9AF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CEFFB3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388E58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B5E304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4BA23A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DF6B58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7FBDD2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668E16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3086D16">
            <w:pPr>
              <w:widowControl/>
              <w:spacing w:line="240" w:lineRule="auto"/>
              <w:jc w:val="center"/>
              <w:rPr>
                <w:rFonts w:ascii="Times New Roman" w:hAnsi="Times New Roman" w:cs="Times New Roman"/>
                <w:color w:val="000000"/>
                <w:kern w:val="0"/>
                <w:sz w:val="14"/>
                <w:szCs w:val="14"/>
                <w:highlight w:val="none"/>
              </w:rPr>
            </w:pPr>
          </w:p>
        </w:tc>
      </w:tr>
      <w:tr w14:paraId="6E92A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E3A7">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工况简述</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14:paraId="092C3571">
            <w:pPr>
              <w:widowControl/>
              <w:spacing w:line="240" w:lineRule="auto"/>
              <w:jc w:val="center"/>
              <w:rPr>
                <w:rFonts w:ascii="Times New Roman" w:hAnsi="Times New Roman" w:cs="Times New Roman"/>
                <w:color w:val="000000"/>
                <w:kern w:val="0"/>
                <w:sz w:val="14"/>
                <w:szCs w:val="14"/>
                <w:highlight w:val="none"/>
              </w:rPr>
            </w:pPr>
          </w:p>
        </w:tc>
        <w:tc>
          <w:tcPr>
            <w:tcW w:w="1080" w:type="pct"/>
            <w:gridSpan w:val="3"/>
            <w:tcBorders>
              <w:top w:val="nil"/>
              <w:left w:val="nil"/>
              <w:bottom w:val="single" w:color="000000" w:sz="4" w:space="0"/>
              <w:right w:val="single" w:color="000000" w:sz="4" w:space="0"/>
            </w:tcBorders>
            <w:shd w:val="clear" w:color="auto" w:fill="auto"/>
            <w:noWrap/>
            <w:vAlign w:val="center"/>
          </w:tcPr>
          <w:p w14:paraId="4DAC382D">
            <w:pPr>
              <w:widowControl/>
              <w:spacing w:line="240" w:lineRule="auto"/>
              <w:jc w:val="center"/>
              <w:rPr>
                <w:rFonts w:ascii="Times New Roman" w:hAnsi="Times New Roman" w:cs="Times New Roman"/>
                <w:color w:val="000000"/>
                <w:kern w:val="0"/>
                <w:sz w:val="14"/>
                <w:szCs w:val="14"/>
                <w:highlight w:val="none"/>
              </w:rPr>
            </w:pPr>
          </w:p>
        </w:tc>
        <w:tc>
          <w:tcPr>
            <w:tcW w:w="1080" w:type="pct"/>
            <w:gridSpan w:val="3"/>
            <w:tcBorders>
              <w:top w:val="nil"/>
              <w:left w:val="nil"/>
              <w:bottom w:val="single" w:color="000000" w:sz="4" w:space="0"/>
              <w:right w:val="single" w:color="000000" w:sz="4" w:space="0"/>
            </w:tcBorders>
            <w:shd w:val="clear" w:color="auto" w:fill="auto"/>
            <w:noWrap/>
            <w:vAlign w:val="center"/>
          </w:tcPr>
          <w:p w14:paraId="1936E436">
            <w:pPr>
              <w:widowControl/>
              <w:spacing w:line="240" w:lineRule="auto"/>
              <w:jc w:val="center"/>
              <w:rPr>
                <w:rFonts w:ascii="Times New Roman" w:hAnsi="Times New Roman" w:cs="Times New Roman"/>
                <w:color w:val="000000"/>
                <w:kern w:val="0"/>
                <w:sz w:val="14"/>
                <w:szCs w:val="14"/>
                <w:highlight w:val="none"/>
              </w:rPr>
            </w:pPr>
          </w:p>
        </w:tc>
        <w:tc>
          <w:tcPr>
            <w:tcW w:w="1081" w:type="pct"/>
            <w:gridSpan w:val="3"/>
            <w:tcBorders>
              <w:top w:val="nil"/>
              <w:left w:val="nil"/>
              <w:bottom w:val="single" w:color="000000" w:sz="4" w:space="0"/>
              <w:right w:val="single" w:color="000000" w:sz="4" w:space="0"/>
            </w:tcBorders>
            <w:shd w:val="clear" w:color="auto" w:fill="auto"/>
            <w:noWrap/>
            <w:vAlign w:val="center"/>
          </w:tcPr>
          <w:p w14:paraId="05F5027E">
            <w:pPr>
              <w:widowControl/>
              <w:spacing w:line="240" w:lineRule="auto"/>
              <w:jc w:val="center"/>
              <w:rPr>
                <w:rFonts w:ascii="Times New Roman" w:hAnsi="Times New Roman" w:cs="Times New Roman"/>
                <w:color w:val="000000"/>
                <w:kern w:val="0"/>
                <w:sz w:val="14"/>
                <w:szCs w:val="14"/>
                <w:highlight w:val="none"/>
              </w:rPr>
            </w:pPr>
          </w:p>
        </w:tc>
      </w:tr>
      <w:tr w14:paraId="70ED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9216">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构件拉力最大值</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14:paraId="708969B4">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14:paraId="5DCE037E">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14:paraId="3E6E35AC">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1" w:type="pct"/>
            <w:gridSpan w:val="3"/>
            <w:tcBorders>
              <w:top w:val="nil"/>
              <w:left w:val="nil"/>
              <w:bottom w:val="single" w:color="000000" w:sz="4" w:space="0"/>
              <w:right w:val="single" w:color="000000" w:sz="4" w:space="0"/>
            </w:tcBorders>
            <w:shd w:val="clear" w:color="auto" w:fill="auto"/>
            <w:noWrap/>
            <w:vAlign w:val="center"/>
          </w:tcPr>
          <w:p w14:paraId="4B750625">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r>
      <w:tr w14:paraId="625EA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3495">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构件压力最大值</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14:paraId="3C72CB1D">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14:paraId="5AAFE610">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14:paraId="6979CBAE">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1" w:type="pct"/>
            <w:gridSpan w:val="3"/>
            <w:tcBorders>
              <w:top w:val="nil"/>
              <w:left w:val="nil"/>
              <w:bottom w:val="single" w:color="000000" w:sz="4" w:space="0"/>
              <w:right w:val="single" w:color="000000" w:sz="4" w:space="0"/>
            </w:tcBorders>
            <w:shd w:val="clear" w:color="auto" w:fill="auto"/>
            <w:noWrap/>
            <w:vAlign w:val="center"/>
          </w:tcPr>
          <w:p w14:paraId="01DEE426">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r>
      <w:tr w14:paraId="79769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3881">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最大速率(mm/d)</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14:paraId="190B827B">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14:paraId="23820C7B">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80" w:type="pct"/>
            <w:gridSpan w:val="3"/>
            <w:tcBorders>
              <w:top w:val="nil"/>
              <w:left w:val="nil"/>
              <w:bottom w:val="single" w:color="000000" w:sz="4" w:space="0"/>
              <w:right w:val="single" w:color="000000" w:sz="4" w:space="0"/>
            </w:tcBorders>
            <w:shd w:val="clear" w:color="auto" w:fill="auto"/>
            <w:noWrap/>
            <w:vAlign w:val="center"/>
          </w:tcPr>
          <w:p w14:paraId="152139CB">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81" w:type="pct"/>
            <w:gridSpan w:val="3"/>
            <w:tcBorders>
              <w:top w:val="nil"/>
              <w:left w:val="nil"/>
              <w:bottom w:val="single" w:color="000000" w:sz="4" w:space="0"/>
              <w:right w:val="single" w:color="000000" w:sz="4" w:space="0"/>
            </w:tcBorders>
            <w:shd w:val="clear" w:color="auto" w:fill="auto"/>
            <w:noWrap/>
            <w:vAlign w:val="center"/>
          </w:tcPr>
          <w:p w14:paraId="7D383348">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r>
      <w:tr w14:paraId="2E1B7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D4BF756">
            <w:pPr>
              <w:widowControl/>
              <w:spacing w:line="240" w:lineRule="auto"/>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备注:</w:t>
            </w:r>
          </w:p>
          <w:p w14:paraId="3B091467">
            <w:pPr>
              <w:widowControl/>
              <w:spacing w:line="240" w:lineRule="auto"/>
              <w:ind w:firstLine="280" w:firstLineChars="200"/>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1）表中次数为进场次数；2 ）</w:t>
            </w:r>
            <w:r>
              <w:rPr>
                <w:rFonts w:ascii="Times New Roman" w:hAnsi="Times New Roman" w:cs="Times New Roman"/>
                <w:color w:val="000000"/>
                <w:kern w:val="0"/>
                <w:sz w:val="14"/>
                <w:szCs w:val="14"/>
                <w:highlight w:val="none"/>
              </w:rPr>
              <w:t>支护结构内力</w:t>
            </w:r>
            <w:r>
              <w:rPr>
                <w:rFonts w:hint="eastAsia" w:ascii="Times New Roman" w:hAnsi="Times New Roman" w:cs="Times New Roman"/>
                <w:color w:val="000000"/>
                <w:kern w:val="0"/>
                <w:sz w:val="14"/>
                <w:szCs w:val="14"/>
                <w:highlight w:val="none"/>
              </w:rPr>
              <w:t>变化量“+”表示构件受压或内力增大，“-”表示构件受拉或内力减小</w:t>
            </w:r>
            <w:r>
              <w:rPr>
                <w:rFonts w:ascii="Times New Roman" w:hAnsi="Times New Roman" w:cs="Times New Roman"/>
                <w:color w:val="000000"/>
                <w:kern w:val="0"/>
                <w:sz w:val="14"/>
                <w:szCs w:val="14"/>
                <w:highlight w:val="none"/>
              </w:rPr>
              <w:t>。</w:t>
            </w:r>
          </w:p>
        </w:tc>
      </w:tr>
      <w:tr w14:paraId="47AA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000000" w:fill="D9D9D9"/>
            <w:noWrap/>
            <w:vAlign w:val="center"/>
          </w:tcPr>
          <w:p w14:paraId="21CDD449">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监测数据成果曲线图</w:t>
            </w:r>
          </w:p>
        </w:tc>
      </w:tr>
      <w:tr w14:paraId="5025B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9"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486308">
            <w:pPr>
              <w:widowControl/>
              <w:spacing w:line="240" w:lineRule="auto"/>
              <w:jc w:val="center"/>
              <w:rPr>
                <w:rFonts w:ascii="Times New Roman" w:hAnsi="Times New Roman" w:cs="Times New Roman"/>
                <w:b/>
                <w:bCs/>
                <w:color w:val="000000"/>
                <w:kern w:val="0"/>
                <w:sz w:val="18"/>
                <w:szCs w:val="18"/>
                <w:highlight w:val="none"/>
              </w:rPr>
            </w:pPr>
            <w:r>
              <w:rPr>
                <w:rFonts w:ascii="Times New Roman" w:hAnsi="Times New Roman" w:cs="Times New Roman"/>
                <w:highlight w:val="none"/>
              </w:rPr>
              <mc:AlternateContent>
                <mc:Choice Requires="wps">
                  <w:drawing>
                    <wp:anchor distT="0" distB="0" distL="114300" distR="114300" simplePos="0" relativeHeight="251673600" behindDoc="0" locked="0" layoutInCell="1" allowOverlap="1">
                      <wp:simplePos x="0" y="0"/>
                      <wp:positionH relativeFrom="column">
                        <wp:posOffset>4863465</wp:posOffset>
                      </wp:positionH>
                      <wp:positionV relativeFrom="paragraph">
                        <wp:posOffset>240665</wp:posOffset>
                      </wp:positionV>
                      <wp:extent cx="419735" cy="641985"/>
                      <wp:effectExtent l="5080" t="5080" r="13335" b="19685"/>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19735" cy="641985"/>
                              </a:xfrm>
                              <a:prstGeom prst="rect">
                                <a:avLst/>
                              </a:prstGeom>
                              <a:solidFill>
                                <a:srgbClr val="FFFFFF"/>
                              </a:solidFill>
                              <a:ln w="9525">
                                <a:solidFill>
                                  <a:srgbClr val="44546A"/>
                                </a:solidFill>
                                <a:miter lim="800000"/>
                              </a:ln>
                            </wps:spPr>
                            <wps:txbx>
                              <w:txbxContent>
                                <w:p w14:paraId="72199050">
                                  <w:r>
                                    <w:rPr>
                                      <w:rFonts w:hint="eastAsia"/>
                                    </w:rPr>
                                    <w:t>图例：</w:t>
                                  </w:r>
                                </w:p>
                                <w:p w14:paraId="3FDDA441"/>
                                <w:p w14:paraId="0646D1FE"/>
                                <w:p w14:paraId="64072F2B"/>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82.95pt;margin-top:18.95pt;height:50.55pt;width:33.05pt;z-index:251673600;mso-width-relative:page;mso-height-relative:page;" fillcolor="#FFFFFF" filled="t" stroked="t" coordsize="21600,21600" o:gfxdata="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9emo2AAAAAoBAAAPAAAAAAAAAAEAIAAA&#10;ACIAAABkcnMvZG93bnJldi54bWxQSwECFAAUAAAACACHTuJAIns+vUUCAACHBAAADgAAAAAAAAAB&#10;ACAAAAAnAQAAZHJzL2Uyb0RvYy54bWxQSwUGAAAAAAYABgBZAQAA3gUAAAAA&#10;">
                      <v:fill on="t" focussize="0,0"/>
                      <v:stroke color="#44546A" miterlimit="8" joinstyle="miter"/>
                      <v:imagedata o:title=""/>
                      <o:lock v:ext="edit" aspectratio="f"/>
                      <v:textbox>
                        <w:txbxContent>
                          <w:p w14:paraId="72199050">
                            <w:r>
                              <w:rPr>
                                <w:rFonts w:hint="eastAsia"/>
                              </w:rPr>
                              <w:t>图例：</w:t>
                            </w:r>
                          </w:p>
                          <w:p w14:paraId="3FDDA441"/>
                          <w:p w14:paraId="0646D1FE"/>
                          <w:p w14:paraId="64072F2B"/>
                        </w:txbxContent>
                      </v:textbox>
                    </v:shape>
                  </w:pict>
                </mc:Fallback>
              </mc:AlternateContent>
            </w:r>
            <w:r>
              <w:rPr>
                <w:rFonts w:ascii="Times New Roman" w:hAnsi="Times New Roman" w:cs="Times New Roman"/>
                <w:sz w:val="18"/>
                <w:highlight w:val="none"/>
              </w:rPr>
              <mc:AlternateContent>
                <mc:Choice Requires="wpg">
                  <w:drawing>
                    <wp:anchor distT="0" distB="0" distL="114300" distR="114300" simplePos="0" relativeHeight="251672576" behindDoc="0" locked="0" layoutInCell="1" allowOverlap="1">
                      <wp:simplePos x="0" y="0"/>
                      <wp:positionH relativeFrom="column">
                        <wp:posOffset>43815</wp:posOffset>
                      </wp:positionH>
                      <wp:positionV relativeFrom="paragraph">
                        <wp:posOffset>63500</wp:posOffset>
                      </wp:positionV>
                      <wp:extent cx="5041900" cy="1359535"/>
                      <wp:effectExtent l="4445" t="0" r="1905" b="12065"/>
                      <wp:wrapNone/>
                      <wp:docPr id="172" name="Group 366"/>
                      <wp:cNvGraphicFramePr/>
                      <a:graphic xmlns:a="http://schemas.openxmlformats.org/drawingml/2006/main">
                        <a:graphicData uri="http://schemas.microsoft.com/office/word/2010/wordprocessingGroup">
                          <wpg:wgp>
                            <wpg:cNvGrpSpPr/>
                            <wpg:grpSpPr>
                              <a:xfrm rot="0">
                                <a:off x="1186815" y="1751330"/>
                                <a:ext cx="5041900" cy="1359535"/>
                                <a:chOff x="2164" y="10756"/>
                                <a:chExt cx="8077" cy="2141"/>
                              </a:xfrm>
                            </wpg:grpSpPr>
                            <wps:wsp>
                              <wps:cNvPr id="173" name="文本框 2"/>
                              <wps:cNvSpPr txBox="1">
                                <a:spLocks noChangeArrowheads="1"/>
                              </wps:cNvSpPr>
                              <wps:spPr bwMode="auto">
                                <a:xfrm>
                                  <a:off x="4603" y="12499"/>
                                  <a:ext cx="3165" cy="398"/>
                                </a:xfrm>
                                <a:prstGeom prst="rect">
                                  <a:avLst/>
                                </a:prstGeom>
                                <a:solidFill>
                                  <a:srgbClr val="FFFFFF"/>
                                </a:solidFill>
                                <a:ln w="9525">
                                  <a:solidFill>
                                    <a:srgbClr val="FFFFFF"/>
                                  </a:solidFill>
                                  <a:miter lim="800000"/>
                                </a:ln>
                              </wps:spPr>
                              <wps:txbx>
                                <w:txbxContent>
                                  <w:p w14:paraId="5E899D8D">
                                    <w:pPr>
                                      <w:spacing w:line="240" w:lineRule="auto"/>
                                      <w:jc w:val="center"/>
                                      <w:rPr>
                                        <w:sz w:val="18"/>
                                        <w:szCs w:val="18"/>
                                      </w:rPr>
                                    </w:pPr>
                                    <w:r>
                                      <w:rPr>
                                        <w:rFonts w:hint="eastAsia"/>
                                        <w:sz w:val="18"/>
                                        <w:szCs w:val="18"/>
                                      </w:rPr>
                                      <w:t>观测时间</w:t>
                                    </w:r>
                                  </w:p>
                                </w:txbxContent>
                              </wps:txbx>
                              <wps:bodyPr rot="0" vert="horz" wrap="square" lIns="91440" tIns="45720" rIns="91440" bIns="45720" anchor="t" anchorCtr="0" upright="1">
                                <a:noAutofit/>
                              </wps:bodyPr>
                            </wps:wsp>
                            <wps:wsp>
                              <wps:cNvPr id="174" name="Text Box 368"/>
                              <wps:cNvSpPr txBox="1">
                                <a:spLocks noChangeArrowheads="1"/>
                              </wps:cNvSpPr>
                              <wps:spPr bwMode="auto">
                                <a:xfrm>
                                  <a:off x="2164" y="10809"/>
                                  <a:ext cx="538" cy="1713"/>
                                </a:xfrm>
                                <a:prstGeom prst="rect">
                                  <a:avLst/>
                                </a:prstGeom>
                                <a:solidFill>
                                  <a:srgbClr val="FFFFFF"/>
                                </a:solidFill>
                                <a:ln w="9525">
                                  <a:solidFill>
                                    <a:srgbClr val="FFFFFF"/>
                                  </a:solidFill>
                                  <a:miter lim="800000"/>
                                </a:ln>
                              </wps:spPr>
                              <wps:txbx>
                                <w:txbxContent>
                                  <w:p w14:paraId="059F2DA7">
                                    <w:r>
                                      <w:rPr>
                                        <w:rFonts w:hint="eastAsia"/>
                                        <w:sz w:val="18"/>
                                        <w:szCs w:val="18"/>
                                      </w:rPr>
                                      <w:t>累计</w:t>
                                    </w:r>
                                    <w:r>
                                      <w:rPr>
                                        <w:sz w:val="18"/>
                                        <w:szCs w:val="18"/>
                                      </w:rPr>
                                      <w:t>变化量</w:t>
                                    </w:r>
                                    <w:r>
                                      <w:t>（</w:t>
                                    </w:r>
                                    <w:r>
                                      <w:rPr>
                                        <w:rFonts w:hint="eastAsia"/>
                                      </w:rPr>
                                      <w:t>kN</w:t>
                                    </w:r>
                                    <w:r>
                                      <w:t>）</w:t>
                                    </w:r>
                                  </w:p>
                                </w:txbxContent>
                              </wps:txbx>
                              <wps:bodyPr rot="0" vert="eaVert" wrap="square" lIns="91440" tIns="45720" rIns="91440" bIns="45720" anchor="t" anchorCtr="0" upright="1">
                                <a:noAutofit/>
                              </wps:bodyPr>
                            </wps:wsp>
                            <wpg:grpSp>
                              <wpg:cNvPr id="175" name="Group 369"/>
                              <wpg:cNvGrpSpPr/>
                              <wpg:grpSpPr>
                                <a:xfrm>
                                  <a:off x="2590" y="10756"/>
                                  <a:ext cx="7651" cy="1825"/>
                                  <a:chOff x="3323" y="12253"/>
                                  <a:chExt cx="5752" cy="1492"/>
                                </a:xfrm>
                              </wpg:grpSpPr>
                              <wps:wsp>
                                <wps:cNvPr id="176" name="AutoShape 370"/>
                                <wps:cNvCnPr>
                                  <a:cxnSpLocks noChangeShapeType="1"/>
                                </wps:cNvCnPr>
                                <wps:spPr bwMode="auto">
                                  <a:xfrm flipV="1">
                                    <a:off x="3323" y="12253"/>
                                    <a:ext cx="1" cy="1486"/>
                                  </a:xfrm>
                                  <a:prstGeom prst="straightConnector1">
                                    <a:avLst/>
                                  </a:prstGeom>
                                  <a:noFill/>
                                  <a:ln w="9525">
                                    <a:solidFill>
                                      <a:srgbClr val="000000"/>
                                    </a:solidFill>
                                    <a:round/>
                                    <a:tailEnd type="triangle" w="med" len="med"/>
                                  </a:ln>
                                </wps:spPr>
                                <wps:bodyPr/>
                              </wps:wsp>
                              <wps:wsp>
                                <wps:cNvPr id="177" name="AutoShape 371"/>
                                <wps:cNvCnPr>
                                  <a:cxnSpLocks noChangeShapeType="1"/>
                                </wps:cNvCnPr>
                                <wps:spPr bwMode="auto">
                                  <a:xfrm flipV="1">
                                    <a:off x="3324" y="13696"/>
                                    <a:ext cx="5751" cy="49"/>
                                  </a:xfrm>
                                  <a:prstGeom prst="straightConnector1">
                                    <a:avLst/>
                                  </a:prstGeom>
                                  <a:noFill/>
                                  <a:ln w="9525">
                                    <a:solidFill>
                                      <a:srgbClr val="000000"/>
                                    </a:solidFill>
                                    <a:round/>
                                    <a:tailEnd type="triangle" w="med" len="med"/>
                                  </a:ln>
                                </wps:spPr>
                                <wps:bodyPr/>
                              </wps:wsp>
                            </wpg:grpSp>
                          </wpg:wgp>
                        </a:graphicData>
                      </a:graphic>
                    </wp:anchor>
                  </w:drawing>
                </mc:Choice>
                <mc:Fallback>
                  <w:pict>
                    <v:group id="Group 366" o:spid="_x0000_s1026" o:spt="203" style="position:absolute;left:0pt;margin-left:3.45pt;margin-top:5pt;height:107.05pt;width:397pt;z-index:251672576;mso-width-relative:page;mso-height-relative:page;" coordorigin="2164,10756" coordsize="8077,2141" o:gfxdata="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">
                      <o:lock v:ext="edit" aspectratio="f"/>
                      <v:shape id="文本框 2" o:spid="_x0000_s1026" o:spt="202" type="#_x0000_t202" style="position:absolute;left:4603;top:12499;height:398;width:3165;" fillcolor="#FFFFFF" filled="t" stroked="t" coordsize="21600,21600" o:gfxdata="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3+YUugAAANwA&#10;AAAPAAAAAAAAAAEAIAAAACIAAABkcnMvZG93bnJldi54bWxQSwECFAAUAAAACACHTuJAMy8FnjsA&#10;AAA5AAAAEAAAAAAAAAABACAAAAAJAQAAZHJzL3NoYXBleG1sLnhtbFBLBQYAAAAABgAGAFsBAACz&#10;AwAAAAA=&#10;">
                        <v:fill on="t" focussize="0,0"/>
                        <v:stroke color="#FFFFFF" miterlimit="8" joinstyle="miter"/>
                        <v:imagedata o:title=""/>
                        <o:lock v:ext="edit" aspectratio="f"/>
                        <v:textbox>
                          <w:txbxContent>
                            <w:p w14:paraId="5E899D8D">
                              <w:pPr>
                                <w:spacing w:line="240" w:lineRule="auto"/>
                                <w:jc w:val="center"/>
                                <w:rPr>
                                  <w:sz w:val="18"/>
                                  <w:szCs w:val="18"/>
                                </w:rPr>
                              </w:pPr>
                              <w:r>
                                <w:rPr>
                                  <w:rFonts w:hint="eastAsia"/>
                                  <w:sz w:val="18"/>
                                  <w:szCs w:val="18"/>
                                </w:rPr>
                                <w:t>观测时间</w:t>
                              </w:r>
                            </w:p>
                          </w:txbxContent>
                        </v:textbox>
                      </v:shape>
                      <v:shape id="Text Box 368" o:spid="_x0000_s1026" o:spt="202" type="#_x0000_t202" style="position:absolute;left:2164;top:10809;height:1713;width:538;" fillcolor="#FFFFFF" filled="t" stroked="t" coordsize="21600,21600" o:gfxdata="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uiROugAAANwA&#10;AAAPAAAAAAAAAAEAIAAAACIAAABkcnMvZG93bnJldi54bWxQSwECFAAUAAAACACHTuJAMy8FnjsA&#10;AAA5AAAAEAAAAAAAAAABACAAAAAJAQAAZHJzL3NoYXBleG1sLnhtbFBLBQYAAAAABgAGAFsBAACz&#10;AwAAAAA=&#10;">
                        <v:fill on="t" focussize="0,0"/>
                        <v:stroke color="#FFFFFF" miterlimit="8" joinstyle="miter"/>
                        <v:imagedata o:title=""/>
                        <o:lock v:ext="edit" aspectratio="f"/>
                        <v:textbox style="layout-flow:vertical-ideographic;">
                          <w:txbxContent>
                            <w:p w14:paraId="059F2DA7">
                              <w:r>
                                <w:rPr>
                                  <w:rFonts w:hint="eastAsia"/>
                                  <w:sz w:val="18"/>
                                  <w:szCs w:val="18"/>
                                </w:rPr>
                                <w:t>累计</w:t>
                              </w:r>
                              <w:r>
                                <w:rPr>
                                  <w:sz w:val="18"/>
                                  <w:szCs w:val="18"/>
                                </w:rPr>
                                <w:t>变化量</w:t>
                              </w:r>
                              <w:r>
                                <w:t>（</w:t>
                              </w:r>
                              <w:r>
                                <w:rPr>
                                  <w:rFonts w:hint="eastAsia"/>
                                </w:rPr>
                                <w:t>kN</w:t>
                              </w:r>
                              <w:r>
                                <w:t>）</w:t>
                              </w:r>
                            </w:p>
                          </w:txbxContent>
                        </v:textbox>
                      </v:shape>
                      <v:group id="Group 369" o:spid="_x0000_s1026" o:spt="203" style="position:absolute;left:2590;top:10756;height:1825;width:7651;" coordorigin="3323,12253" coordsize="5752,1492" o:gfxdata="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F6000vAAAANwAAAAPAAAAAAAAAAEAIAAAACIAAABkcnMvZG93bnJldi54bWxQ&#10;SwECFAAUAAAACACHTuJAMy8FnjsAAAA5AAAAFQAAAAAAAAABACAAAAALAQAAZHJzL2dyb3Vwc2hh&#10;cGV4bWwueG1sUEsFBgAAAAAGAAYAYAEAAMgDAAAAAA==&#10;">
                        <o:lock v:ext="edit" aspectratio="f"/>
                        <v:shape id="AutoShape 370" o:spid="_x0000_s1026" o:spt="32" type="#_x0000_t32" style="position:absolute;left:3323;top:12253;flip:y;height:1486;width:1;" filled="f" stroked="t" coordsize="21600,21600" o:gfxdata="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7dS2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371" o:spid="_x0000_s1026" o:spt="32" type="#_x0000_t32" style="position:absolute;left:3324;top:13696;flip:y;height:49;width:5751;" filled="f" stroked="t" coordsize="21600,21600" o:gfxdata="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ke7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group>
                  </w:pict>
                </mc:Fallback>
              </mc:AlternateContent>
            </w:r>
          </w:p>
        </w:tc>
      </w:tr>
    </w:tbl>
    <w:p w14:paraId="69A83E4B">
      <w:pPr>
        <w:ind w:firstLine="180" w:firstLineChars="100"/>
        <w:rPr>
          <w:rFonts w:hint="eastAsia" w:ascii="Times New Roman" w:hAnsi="Times New Roman" w:cs="Times New Roman"/>
          <w:sz w:val="18"/>
          <w:szCs w:val="18"/>
          <w:highlight w:val="none"/>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18"/>
          <w:szCs w:val="18"/>
          <w:highlight w:val="none"/>
        </w:rPr>
        <w:t xml:space="preserve">观测：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计算：                              校核：</w:t>
      </w:r>
    </w:p>
    <w:p w14:paraId="32169C75">
      <w:pPr>
        <w:pStyle w:val="3"/>
        <w:adjustRightInd w:val="0"/>
        <w:snapToGrid w:val="0"/>
        <w:spacing w:before="0" w:after="0" w:line="360" w:lineRule="auto"/>
        <w:jc w:val="center"/>
        <w:rPr>
          <w:rFonts w:ascii="Times New Roman" w:hAnsi="Times New Roman" w:cs="Times New Roman"/>
          <w:highlight w:val="none"/>
        </w:rPr>
      </w:pPr>
      <w:bookmarkStart w:id="195" w:name="_Toc10889"/>
      <w:bookmarkStart w:id="196" w:name="_Toc19054"/>
      <w:bookmarkStart w:id="197" w:name="_Toc13227"/>
      <w:bookmarkStart w:id="198" w:name="_Toc22789"/>
      <w:bookmarkStart w:id="199" w:name="_Toc5720"/>
      <w:bookmarkStart w:id="200" w:name="_Toc525052912"/>
      <w:bookmarkStart w:id="201" w:name="_Toc2097"/>
      <w:bookmarkStart w:id="202" w:name="_Toc20844"/>
      <w:r>
        <w:rPr>
          <w:rFonts w:hint="eastAsia" w:ascii="Times New Roman" w:hAnsi="Times New Roman" w:cs="Times New Roman"/>
          <w:b w:val="0"/>
          <w:highlight w:val="none"/>
        </w:rPr>
        <w:t>附录</w:t>
      </w:r>
      <w:r>
        <w:rPr>
          <w:rFonts w:hint="eastAsia" w:ascii="Times New Roman" w:hAnsi="Times New Roman" w:cs="Times New Roman"/>
          <w:b w:val="0"/>
          <w:highlight w:val="none"/>
          <w:lang w:val="en-US" w:eastAsia="zh-CN"/>
        </w:rPr>
        <w:t>H</w:t>
      </w:r>
      <w:r>
        <w:rPr>
          <w:rFonts w:ascii="Times New Roman" w:hAnsi="Times New Roman" w:cs="Times New Roman"/>
          <w:b w:val="0"/>
          <w:highlight w:val="none"/>
        </w:rPr>
        <w:t xml:space="preserve"> </w:t>
      </w:r>
      <w:r>
        <w:rPr>
          <w:rFonts w:hint="eastAsia" w:ascii="Times New Roman" w:hAnsi="Times New Roman" w:cs="Times New Roman"/>
          <w:b w:val="0"/>
          <w:highlight w:val="none"/>
        </w:rPr>
        <w:t>锚杆（索）内力监测日报表</w:t>
      </w:r>
      <w:bookmarkEnd w:id="195"/>
      <w:bookmarkEnd w:id="196"/>
      <w:bookmarkEnd w:id="197"/>
      <w:bookmarkEnd w:id="198"/>
      <w:bookmarkEnd w:id="199"/>
      <w:bookmarkEnd w:id="200"/>
      <w:bookmarkEnd w:id="201"/>
      <w:bookmarkEnd w:id="202"/>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635"/>
        <w:gridCol w:w="668"/>
        <w:gridCol w:w="668"/>
        <w:gridCol w:w="494"/>
        <w:gridCol w:w="668"/>
        <w:gridCol w:w="668"/>
        <w:gridCol w:w="494"/>
        <w:gridCol w:w="668"/>
        <w:gridCol w:w="668"/>
        <w:gridCol w:w="494"/>
        <w:gridCol w:w="668"/>
        <w:gridCol w:w="668"/>
        <w:gridCol w:w="500"/>
      </w:tblGrid>
      <w:tr w14:paraId="079D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14:paraId="3B0C59DE">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委托单位：                        监测单位：                            报表编号：</w:t>
            </w:r>
          </w:p>
        </w:tc>
      </w:tr>
      <w:tr w14:paraId="1CC9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14:paraId="48C2F611">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工程名称：                        工程地点：                            天气：</w:t>
            </w:r>
          </w:p>
        </w:tc>
      </w:tr>
      <w:tr w14:paraId="4489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14:paraId="3F4EFF95">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仪器名称及编号：                                观测依据：</w:t>
            </w:r>
          </w:p>
        </w:tc>
      </w:tr>
      <w:tr w14:paraId="22F4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auto" w:sz="4" w:space="0"/>
              <w:left w:val="single" w:color="000000" w:sz="4" w:space="0"/>
              <w:bottom w:val="single" w:color="000000" w:sz="4" w:space="0"/>
              <w:right w:val="single" w:color="000000" w:sz="4" w:space="0"/>
            </w:tcBorders>
            <w:shd w:val="clear" w:color="000000" w:fill="D9D9D9"/>
            <w:vAlign w:val="center"/>
          </w:tcPr>
          <w:p w14:paraId="26F22D53">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监测数据成果汇总</w:t>
            </w:r>
          </w:p>
        </w:tc>
      </w:tr>
      <w:tr w14:paraId="4AE8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17" w:type="pct"/>
            <w:vMerge w:val="restart"/>
            <w:tcBorders>
              <w:top w:val="nil"/>
              <w:left w:val="single" w:color="000000" w:sz="4" w:space="0"/>
              <w:bottom w:val="single" w:color="000000" w:sz="4" w:space="0"/>
              <w:right w:val="single" w:color="000000" w:sz="4" w:space="0"/>
              <w:tl2br w:val="single" w:color="000000" w:sz="4" w:space="0"/>
            </w:tcBorders>
            <w:shd w:val="clear" w:color="auto" w:fill="auto"/>
          </w:tcPr>
          <w:p w14:paraId="2D55A8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时间</w:t>
            </w:r>
          </w:p>
          <w:p w14:paraId="71A033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p>
          <w:p w14:paraId="2EF9605A">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14:paraId="5AFE8BC1">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14:paraId="4BE8A5D0">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14:paraId="335791A9">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测点</w:t>
            </w:r>
          </w:p>
        </w:tc>
        <w:tc>
          <w:tcPr>
            <w:tcW w:w="359" w:type="pct"/>
            <w:vMerge w:val="restart"/>
            <w:tcBorders>
              <w:top w:val="nil"/>
              <w:left w:val="single" w:color="000000" w:sz="4" w:space="0"/>
              <w:bottom w:val="single" w:color="000000" w:sz="4" w:space="0"/>
              <w:right w:val="single" w:color="000000" w:sz="4" w:space="0"/>
            </w:tcBorders>
            <w:shd w:val="clear" w:color="auto" w:fill="auto"/>
            <w:vAlign w:val="center"/>
          </w:tcPr>
          <w:p w14:paraId="3BD16C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初始</w:t>
            </w:r>
          </w:p>
          <w:p w14:paraId="10AFC4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拉力</w:t>
            </w: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14:paraId="377ECC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0" w:type="pct"/>
            <w:gridSpan w:val="3"/>
            <w:tcBorders>
              <w:top w:val="nil"/>
              <w:left w:val="nil"/>
              <w:bottom w:val="single" w:color="000000" w:sz="4" w:space="0"/>
              <w:right w:val="single" w:color="000000" w:sz="4" w:space="0"/>
            </w:tcBorders>
            <w:shd w:val="clear" w:color="auto" w:fill="auto"/>
            <w:vAlign w:val="center"/>
          </w:tcPr>
          <w:p w14:paraId="38AC65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0" w:type="pct"/>
            <w:gridSpan w:val="3"/>
            <w:tcBorders>
              <w:top w:val="nil"/>
              <w:left w:val="nil"/>
              <w:bottom w:val="single" w:color="000000" w:sz="4" w:space="0"/>
              <w:right w:val="single" w:color="000000" w:sz="4" w:space="0"/>
            </w:tcBorders>
            <w:shd w:val="clear" w:color="auto" w:fill="auto"/>
            <w:vAlign w:val="center"/>
          </w:tcPr>
          <w:p w14:paraId="3B9F61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1" w:type="pct"/>
            <w:gridSpan w:val="3"/>
            <w:tcBorders>
              <w:top w:val="nil"/>
              <w:left w:val="nil"/>
              <w:bottom w:val="single" w:color="000000" w:sz="4" w:space="0"/>
              <w:right w:val="single" w:color="000000" w:sz="4" w:space="0"/>
            </w:tcBorders>
            <w:shd w:val="clear" w:color="auto" w:fill="auto"/>
            <w:vAlign w:val="center"/>
          </w:tcPr>
          <w:p w14:paraId="5CC62A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r>
      <w:tr w14:paraId="7323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17" w:type="pct"/>
            <w:vMerge w:val="continue"/>
            <w:tcBorders>
              <w:top w:val="nil"/>
              <w:left w:val="single" w:color="000000" w:sz="4" w:space="0"/>
              <w:bottom w:val="single" w:color="000000" w:sz="4" w:space="0"/>
              <w:right w:val="single" w:color="000000" w:sz="4" w:space="0"/>
            </w:tcBorders>
            <w:vAlign w:val="center"/>
          </w:tcPr>
          <w:p w14:paraId="538914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59" w:type="pct"/>
            <w:vMerge w:val="continue"/>
            <w:tcBorders>
              <w:top w:val="nil"/>
              <w:left w:val="single" w:color="000000" w:sz="4" w:space="0"/>
              <w:bottom w:val="single" w:color="000000" w:sz="4" w:space="0"/>
              <w:right w:val="single" w:color="000000" w:sz="4" w:space="0"/>
            </w:tcBorders>
            <w:vAlign w:val="center"/>
          </w:tcPr>
          <w:p w14:paraId="0E91A1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14:paraId="5F15A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80" w:type="pct"/>
            <w:gridSpan w:val="3"/>
            <w:tcBorders>
              <w:top w:val="nil"/>
              <w:left w:val="nil"/>
              <w:bottom w:val="single" w:color="000000" w:sz="4" w:space="0"/>
              <w:right w:val="single" w:color="000000" w:sz="4" w:space="0"/>
            </w:tcBorders>
            <w:shd w:val="clear" w:color="auto" w:fill="auto"/>
            <w:vAlign w:val="center"/>
          </w:tcPr>
          <w:p w14:paraId="4A2CBD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80" w:type="pct"/>
            <w:gridSpan w:val="3"/>
            <w:tcBorders>
              <w:top w:val="nil"/>
              <w:left w:val="nil"/>
              <w:bottom w:val="single" w:color="000000" w:sz="4" w:space="0"/>
              <w:right w:val="single" w:color="000000" w:sz="4" w:space="0"/>
            </w:tcBorders>
            <w:shd w:val="clear" w:color="auto" w:fill="auto"/>
            <w:vAlign w:val="center"/>
          </w:tcPr>
          <w:p w14:paraId="182999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81" w:type="pct"/>
            <w:gridSpan w:val="3"/>
            <w:tcBorders>
              <w:top w:val="nil"/>
              <w:left w:val="nil"/>
              <w:bottom w:val="single" w:color="000000" w:sz="4" w:space="0"/>
              <w:right w:val="single" w:color="000000" w:sz="4" w:space="0"/>
            </w:tcBorders>
            <w:shd w:val="clear" w:color="auto" w:fill="auto"/>
            <w:vAlign w:val="center"/>
          </w:tcPr>
          <w:p w14:paraId="4BD3EE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r>
      <w:tr w14:paraId="56C74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17" w:type="pct"/>
            <w:vMerge w:val="continue"/>
            <w:tcBorders>
              <w:top w:val="nil"/>
              <w:left w:val="single" w:color="000000" w:sz="4" w:space="0"/>
              <w:bottom w:val="single" w:color="000000" w:sz="4" w:space="0"/>
              <w:right w:val="single" w:color="000000" w:sz="4" w:space="0"/>
            </w:tcBorders>
            <w:vAlign w:val="center"/>
          </w:tcPr>
          <w:p w14:paraId="252F79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59" w:type="pct"/>
            <w:vMerge w:val="continue"/>
            <w:tcBorders>
              <w:top w:val="nil"/>
              <w:left w:val="single" w:color="000000" w:sz="4" w:space="0"/>
              <w:bottom w:val="single" w:color="000000" w:sz="4" w:space="0"/>
              <w:right w:val="single" w:color="000000" w:sz="4" w:space="0"/>
            </w:tcBorders>
            <w:vAlign w:val="center"/>
          </w:tcPr>
          <w:p w14:paraId="27D69B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60" w:type="pct"/>
            <w:tcBorders>
              <w:top w:val="nil"/>
              <w:left w:val="single" w:color="000000" w:sz="4" w:space="0"/>
              <w:bottom w:val="single" w:color="000000" w:sz="4" w:space="0"/>
              <w:right w:val="single" w:color="000000" w:sz="4" w:space="0"/>
            </w:tcBorders>
            <w:shd w:val="clear" w:color="auto" w:fill="auto"/>
            <w:vAlign w:val="center"/>
          </w:tcPr>
          <w:p w14:paraId="504786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化（kN</w:t>
            </w:r>
            <w:r>
              <w:rPr>
                <w:rFonts w:ascii="Times New Roman" w:hAnsi="Times New Roman" w:cs="Times New Roman"/>
                <w:color w:val="000000"/>
                <w:kern w:val="0"/>
                <w:sz w:val="14"/>
                <w:szCs w:val="14"/>
                <w:highlight w:val="none"/>
              </w:rPr>
              <w:t>）</w:t>
            </w:r>
          </w:p>
        </w:tc>
        <w:tc>
          <w:tcPr>
            <w:tcW w:w="360" w:type="pct"/>
            <w:tcBorders>
              <w:top w:val="nil"/>
              <w:left w:val="single" w:color="000000" w:sz="4" w:space="0"/>
              <w:bottom w:val="single" w:color="000000" w:sz="4" w:space="0"/>
              <w:right w:val="single" w:color="000000" w:sz="4" w:space="0"/>
            </w:tcBorders>
            <w:shd w:val="clear" w:color="auto" w:fill="auto"/>
            <w:vAlign w:val="center"/>
          </w:tcPr>
          <w:p w14:paraId="5AC4EF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lang w:val="en-US" w:eastAsia="zh-CN"/>
              </w:rPr>
            </w:pPr>
            <w:r>
              <w:rPr>
                <w:rFonts w:hint="eastAsia" w:ascii="Times New Roman" w:hAnsi="Times New Roman" w:cs="Times New Roman"/>
                <w:color w:val="000000"/>
                <w:kern w:val="0"/>
                <w:sz w:val="14"/>
                <w:szCs w:val="14"/>
                <w:highlight w:val="none"/>
                <w:lang w:val="en-US" w:eastAsia="zh-CN"/>
              </w:rPr>
              <w:t>拉 力</w:t>
            </w:r>
          </w:p>
          <w:p w14:paraId="13AF38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lang w:val="en-US" w:eastAsia="zh-CN"/>
              </w:rPr>
            </w:pPr>
            <w:r>
              <w:rPr>
                <w:rFonts w:hint="eastAsia" w:ascii="Times New Roman" w:hAnsi="Times New Roman" w:cs="Times New Roman"/>
                <w:color w:val="000000"/>
                <w:kern w:val="0"/>
                <w:sz w:val="14"/>
                <w:szCs w:val="14"/>
                <w:highlight w:val="none"/>
                <w:lang w:val="en-US" w:eastAsia="zh-CN"/>
              </w:rPr>
              <w:t>值</w:t>
            </w:r>
          </w:p>
          <w:p w14:paraId="4CEF05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（kN</w:t>
            </w:r>
            <w:r>
              <w:rPr>
                <w:rFonts w:ascii="Times New Roman" w:hAnsi="Times New Roman" w:cs="Times New Roman"/>
                <w:color w:val="000000"/>
                <w:kern w:val="0"/>
                <w:sz w:val="14"/>
                <w:szCs w:val="14"/>
                <w:highlight w:val="none"/>
              </w:rPr>
              <w:t>）</w:t>
            </w:r>
          </w:p>
        </w:tc>
        <w:tc>
          <w:tcPr>
            <w:tcW w:w="360" w:type="pct"/>
            <w:tcBorders>
              <w:top w:val="nil"/>
              <w:left w:val="single" w:color="000000" w:sz="4" w:space="0"/>
              <w:bottom w:val="single" w:color="auto" w:sz="4" w:space="0"/>
              <w:right w:val="single" w:color="000000" w:sz="4" w:space="0"/>
            </w:tcBorders>
            <w:shd w:val="clear" w:color="auto" w:fill="auto"/>
            <w:vAlign w:val="center"/>
          </w:tcPr>
          <w:p w14:paraId="6B411D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125EC7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速率(kN /d)</w:t>
            </w:r>
          </w:p>
        </w:tc>
        <w:tc>
          <w:tcPr>
            <w:tcW w:w="360" w:type="pct"/>
            <w:tcBorders>
              <w:top w:val="nil"/>
              <w:left w:val="nil"/>
              <w:bottom w:val="single" w:color="auto" w:sz="4" w:space="0"/>
              <w:right w:val="single" w:color="000000" w:sz="4" w:space="0"/>
            </w:tcBorders>
            <w:shd w:val="clear" w:color="auto" w:fill="auto"/>
            <w:vAlign w:val="center"/>
          </w:tcPr>
          <w:p w14:paraId="1C2853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6042A1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lang w:val="en-US" w:eastAsia="zh-CN"/>
              </w:rPr>
            </w:pPr>
            <w:r>
              <w:rPr>
                <w:rFonts w:hint="eastAsia" w:ascii="Times New Roman" w:hAnsi="Times New Roman" w:cs="Times New Roman"/>
                <w:color w:val="000000"/>
                <w:kern w:val="0"/>
                <w:sz w:val="14"/>
                <w:szCs w:val="14"/>
                <w:highlight w:val="none"/>
                <w:lang w:val="en-US" w:eastAsia="zh-CN"/>
              </w:rPr>
              <w:t>拉 力</w:t>
            </w:r>
          </w:p>
          <w:p w14:paraId="4E5D92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lang w:val="en-US" w:eastAsia="zh-CN"/>
              </w:rPr>
            </w:pPr>
            <w:r>
              <w:rPr>
                <w:rFonts w:hint="eastAsia" w:ascii="Times New Roman" w:hAnsi="Times New Roman" w:cs="Times New Roman"/>
                <w:color w:val="000000"/>
                <w:kern w:val="0"/>
                <w:sz w:val="14"/>
                <w:szCs w:val="14"/>
                <w:highlight w:val="none"/>
                <w:lang w:val="en-US" w:eastAsia="zh-CN"/>
              </w:rPr>
              <w:t>值</w:t>
            </w:r>
          </w:p>
          <w:p w14:paraId="3A74E3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7FFC75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7FB4E9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速率(kN /d)</w:t>
            </w:r>
          </w:p>
        </w:tc>
        <w:tc>
          <w:tcPr>
            <w:tcW w:w="360" w:type="pct"/>
            <w:tcBorders>
              <w:top w:val="nil"/>
              <w:left w:val="nil"/>
              <w:bottom w:val="single" w:color="auto" w:sz="4" w:space="0"/>
              <w:right w:val="single" w:color="000000" w:sz="4" w:space="0"/>
            </w:tcBorders>
            <w:shd w:val="clear" w:color="auto" w:fill="auto"/>
            <w:vAlign w:val="center"/>
          </w:tcPr>
          <w:p w14:paraId="08CEF7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2235D6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lang w:val="en-US" w:eastAsia="zh-CN"/>
              </w:rPr>
            </w:pPr>
            <w:r>
              <w:rPr>
                <w:rFonts w:hint="eastAsia" w:ascii="Times New Roman" w:hAnsi="Times New Roman" w:cs="Times New Roman"/>
                <w:color w:val="000000"/>
                <w:kern w:val="0"/>
                <w:sz w:val="14"/>
                <w:szCs w:val="14"/>
                <w:highlight w:val="none"/>
                <w:lang w:val="en-US" w:eastAsia="zh-CN"/>
              </w:rPr>
              <w:t>拉 力</w:t>
            </w:r>
          </w:p>
          <w:p w14:paraId="5A15C9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lang w:val="en-US" w:eastAsia="zh-CN"/>
              </w:rPr>
            </w:pPr>
            <w:r>
              <w:rPr>
                <w:rFonts w:hint="eastAsia" w:ascii="Times New Roman" w:hAnsi="Times New Roman" w:cs="Times New Roman"/>
                <w:color w:val="000000"/>
                <w:kern w:val="0"/>
                <w:sz w:val="14"/>
                <w:szCs w:val="14"/>
                <w:highlight w:val="none"/>
                <w:lang w:val="en-US" w:eastAsia="zh-CN"/>
              </w:rPr>
              <w:t>值</w:t>
            </w:r>
          </w:p>
          <w:p w14:paraId="19D1F5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749EB9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3E84EA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速率(kN /d)</w:t>
            </w:r>
          </w:p>
        </w:tc>
        <w:tc>
          <w:tcPr>
            <w:tcW w:w="360" w:type="pct"/>
            <w:tcBorders>
              <w:top w:val="nil"/>
              <w:left w:val="nil"/>
              <w:bottom w:val="single" w:color="auto" w:sz="4" w:space="0"/>
              <w:right w:val="single" w:color="000000" w:sz="4" w:space="0"/>
            </w:tcBorders>
            <w:shd w:val="clear" w:color="auto" w:fill="auto"/>
            <w:vAlign w:val="center"/>
          </w:tcPr>
          <w:p w14:paraId="2F2DEF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012FFA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lang w:val="en-US" w:eastAsia="zh-CN"/>
              </w:rPr>
            </w:pPr>
            <w:r>
              <w:rPr>
                <w:rFonts w:hint="eastAsia" w:ascii="Times New Roman" w:hAnsi="Times New Roman" w:cs="Times New Roman"/>
                <w:color w:val="000000"/>
                <w:kern w:val="0"/>
                <w:sz w:val="14"/>
                <w:szCs w:val="14"/>
                <w:highlight w:val="none"/>
                <w:lang w:val="en-US" w:eastAsia="zh-CN"/>
              </w:rPr>
              <w:t>拉 力</w:t>
            </w:r>
          </w:p>
          <w:p w14:paraId="2496B6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lang w:val="en-US" w:eastAsia="zh-CN"/>
              </w:rPr>
            </w:pPr>
            <w:r>
              <w:rPr>
                <w:rFonts w:hint="eastAsia" w:ascii="Times New Roman" w:hAnsi="Times New Roman" w:cs="Times New Roman"/>
                <w:color w:val="000000"/>
                <w:kern w:val="0"/>
                <w:sz w:val="14"/>
                <w:szCs w:val="14"/>
                <w:highlight w:val="none"/>
                <w:lang w:val="en-US" w:eastAsia="zh-CN"/>
              </w:rPr>
              <w:t>值</w:t>
            </w:r>
          </w:p>
          <w:p w14:paraId="6A3299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14:paraId="736E0F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14:paraId="6FF654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速率(kN /d)</w:t>
            </w:r>
          </w:p>
        </w:tc>
      </w:tr>
      <w:tr w14:paraId="07CF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5CD269F7">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0AB7407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7657AF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57B736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8DB688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5211D5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4C5A86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883356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EB6E52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5CBA78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656327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E9EDF3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5951F8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C062493">
            <w:pPr>
              <w:widowControl/>
              <w:spacing w:line="240" w:lineRule="auto"/>
              <w:jc w:val="center"/>
              <w:rPr>
                <w:rFonts w:ascii="Times New Roman" w:hAnsi="Times New Roman" w:cs="Times New Roman"/>
                <w:color w:val="000000"/>
                <w:kern w:val="0"/>
                <w:sz w:val="14"/>
                <w:szCs w:val="14"/>
                <w:highlight w:val="none"/>
              </w:rPr>
            </w:pPr>
          </w:p>
        </w:tc>
      </w:tr>
      <w:tr w14:paraId="275F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00E31DEF">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559C59F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06F954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3152E7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3437F5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256096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E41A1E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6FFE6B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2F46DA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753897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EA7186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7BE40C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22653C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3E58A28">
            <w:pPr>
              <w:widowControl/>
              <w:spacing w:line="240" w:lineRule="auto"/>
              <w:jc w:val="center"/>
              <w:rPr>
                <w:rFonts w:ascii="Times New Roman" w:hAnsi="Times New Roman" w:cs="Times New Roman"/>
                <w:color w:val="000000"/>
                <w:kern w:val="0"/>
                <w:sz w:val="14"/>
                <w:szCs w:val="14"/>
                <w:highlight w:val="none"/>
              </w:rPr>
            </w:pPr>
          </w:p>
        </w:tc>
      </w:tr>
      <w:tr w14:paraId="3104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299EF295">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7B1A1BD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84455B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3BBC97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7DA215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4618F8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737EBC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002338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E10B33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E2B020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63C142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6F9D24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4066D7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B22A5E8">
            <w:pPr>
              <w:widowControl/>
              <w:spacing w:line="240" w:lineRule="auto"/>
              <w:jc w:val="center"/>
              <w:rPr>
                <w:rFonts w:ascii="Times New Roman" w:hAnsi="Times New Roman" w:cs="Times New Roman"/>
                <w:color w:val="000000"/>
                <w:kern w:val="0"/>
                <w:sz w:val="14"/>
                <w:szCs w:val="14"/>
                <w:highlight w:val="none"/>
              </w:rPr>
            </w:pPr>
          </w:p>
        </w:tc>
      </w:tr>
      <w:tr w14:paraId="33BD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76BB969D">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230681A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CC1383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EAA7B0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435857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E804A1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BE950A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97B990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E84469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633CAD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6A59C1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529A38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32F8EA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85A18E7">
            <w:pPr>
              <w:widowControl/>
              <w:spacing w:line="240" w:lineRule="auto"/>
              <w:jc w:val="center"/>
              <w:rPr>
                <w:rFonts w:ascii="Times New Roman" w:hAnsi="Times New Roman" w:cs="Times New Roman"/>
                <w:color w:val="000000"/>
                <w:kern w:val="0"/>
                <w:sz w:val="14"/>
                <w:szCs w:val="14"/>
                <w:highlight w:val="none"/>
              </w:rPr>
            </w:pPr>
          </w:p>
        </w:tc>
      </w:tr>
      <w:tr w14:paraId="69073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19A59D0C">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47FFA40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90F15D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261DF6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57C309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92F416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291347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2A6C48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07F993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F4E6BE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5A4811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186A42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AC6C7A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E240E3D">
            <w:pPr>
              <w:widowControl/>
              <w:spacing w:line="240" w:lineRule="auto"/>
              <w:jc w:val="center"/>
              <w:rPr>
                <w:rFonts w:ascii="Times New Roman" w:hAnsi="Times New Roman" w:cs="Times New Roman"/>
                <w:color w:val="000000"/>
                <w:kern w:val="0"/>
                <w:sz w:val="14"/>
                <w:szCs w:val="14"/>
                <w:highlight w:val="none"/>
              </w:rPr>
            </w:pPr>
          </w:p>
        </w:tc>
      </w:tr>
      <w:tr w14:paraId="7F4B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408051B1">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0F50F37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AABFC8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5865134">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E5FECE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55A158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6711A4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441343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07047F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ADC670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DE32FB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EB9342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CFFFA2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FD10EAE">
            <w:pPr>
              <w:widowControl/>
              <w:spacing w:line="240" w:lineRule="auto"/>
              <w:jc w:val="center"/>
              <w:rPr>
                <w:rFonts w:ascii="Times New Roman" w:hAnsi="Times New Roman" w:cs="Times New Roman"/>
                <w:color w:val="000000"/>
                <w:kern w:val="0"/>
                <w:sz w:val="14"/>
                <w:szCs w:val="14"/>
                <w:highlight w:val="none"/>
              </w:rPr>
            </w:pPr>
          </w:p>
        </w:tc>
      </w:tr>
      <w:tr w14:paraId="4D55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189496DC">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53E692E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7606CE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07155F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4F8DCE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1568C9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76DECC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EBC671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F98F2F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34D530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F77805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3CA0E9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260D4D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DECDD66">
            <w:pPr>
              <w:widowControl/>
              <w:spacing w:line="240" w:lineRule="auto"/>
              <w:jc w:val="center"/>
              <w:rPr>
                <w:rFonts w:ascii="Times New Roman" w:hAnsi="Times New Roman" w:cs="Times New Roman"/>
                <w:color w:val="000000"/>
                <w:kern w:val="0"/>
                <w:sz w:val="14"/>
                <w:szCs w:val="14"/>
                <w:highlight w:val="none"/>
              </w:rPr>
            </w:pPr>
          </w:p>
        </w:tc>
      </w:tr>
      <w:tr w14:paraId="3F43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045ADF04">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3E5536A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E6B351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AA5A2A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A93FF1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F7E674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63BE19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EEFDA9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FECB31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6B2A94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15A4E8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DCEB05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1432C7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37E3327">
            <w:pPr>
              <w:widowControl/>
              <w:spacing w:line="240" w:lineRule="auto"/>
              <w:jc w:val="center"/>
              <w:rPr>
                <w:rFonts w:ascii="Times New Roman" w:hAnsi="Times New Roman" w:cs="Times New Roman"/>
                <w:color w:val="000000"/>
                <w:kern w:val="0"/>
                <w:sz w:val="14"/>
                <w:szCs w:val="14"/>
                <w:highlight w:val="none"/>
              </w:rPr>
            </w:pPr>
          </w:p>
        </w:tc>
      </w:tr>
      <w:tr w14:paraId="4C30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47D3884C">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36C3A6E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E2F9AB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0EBB0C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0EE320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291E51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1CE360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60F12C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6602FA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6C5DBF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F3EE8A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36C2BA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6FD1AE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E922D43">
            <w:pPr>
              <w:widowControl/>
              <w:spacing w:line="240" w:lineRule="auto"/>
              <w:jc w:val="center"/>
              <w:rPr>
                <w:rFonts w:ascii="Times New Roman" w:hAnsi="Times New Roman" w:cs="Times New Roman"/>
                <w:color w:val="000000"/>
                <w:kern w:val="0"/>
                <w:sz w:val="14"/>
                <w:szCs w:val="14"/>
                <w:highlight w:val="none"/>
              </w:rPr>
            </w:pPr>
          </w:p>
        </w:tc>
      </w:tr>
      <w:tr w14:paraId="3FF9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294C35F8">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105CF7F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EDF98E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F3A2F3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3880D3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E46F1F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40A1FB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15E50D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C88E2D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7C29348">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3A5702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A4A851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DB7955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567024D">
            <w:pPr>
              <w:widowControl/>
              <w:spacing w:line="240" w:lineRule="auto"/>
              <w:jc w:val="center"/>
              <w:rPr>
                <w:rFonts w:ascii="Times New Roman" w:hAnsi="Times New Roman" w:cs="Times New Roman"/>
                <w:color w:val="000000"/>
                <w:kern w:val="0"/>
                <w:sz w:val="14"/>
                <w:szCs w:val="14"/>
                <w:highlight w:val="none"/>
              </w:rPr>
            </w:pPr>
          </w:p>
        </w:tc>
      </w:tr>
      <w:tr w14:paraId="1911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3170F61A">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5CDC0F5B">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7D3A5E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9D7B339">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CDFD35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F22FC5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00AB6E1">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DC0274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7D0D4DC">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9AF8B7F">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B96AE65">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7702812">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E91672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60DEA0C">
            <w:pPr>
              <w:widowControl/>
              <w:spacing w:line="240" w:lineRule="auto"/>
              <w:jc w:val="center"/>
              <w:rPr>
                <w:rFonts w:ascii="Times New Roman" w:hAnsi="Times New Roman" w:cs="Times New Roman"/>
                <w:color w:val="000000"/>
                <w:kern w:val="0"/>
                <w:sz w:val="14"/>
                <w:szCs w:val="14"/>
                <w:highlight w:val="none"/>
              </w:rPr>
            </w:pPr>
          </w:p>
        </w:tc>
      </w:tr>
      <w:tr w14:paraId="5DC6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14:paraId="4C43BCD2">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14:paraId="1501117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CF322C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F487AD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200E2810">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B5B1BB6">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07DB4B7">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710B532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42FB2B7D">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1D62C6A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66DE9AFA">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3FA2D87E">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5A56AFC3">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14:paraId="087F2C6A">
            <w:pPr>
              <w:widowControl/>
              <w:spacing w:line="240" w:lineRule="auto"/>
              <w:jc w:val="center"/>
              <w:rPr>
                <w:rFonts w:ascii="Times New Roman" w:hAnsi="Times New Roman" w:cs="Times New Roman"/>
                <w:color w:val="000000"/>
                <w:kern w:val="0"/>
                <w:sz w:val="14"/>
                <w:szCs w:val="14"/>
                <w:highlight w:val="none"/>
              </w:rPr>
            </w:pPr>
          </w:p>
        </w:tc>
      </w:tr>
      <w:tr w14:paraId="6BEA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E1F7">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工况简述</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14:paraId="03B415AB">
            <w:pPr>
              <w:widowControl/>
              <w:spacing w:line="240" w:lineRule="auto"/>
              <w:jc w:val="center"/>
              <w:rPr>
                <w:rFonts w:ascii="Times New Roman" w:hAnsi="Times New Roman" w:cs="Times New Roman"/>
                <w:color w:val="000000"/>
                <w:kern w:val="0"/>
                <w:sz w:val="14"/>
                <w:szCs w:val="14"/>
                <w:highlight w:val="none"/>
              </w:rPr>
            </w:pPr>
          </w:p>
        </w:tc>
        <w:tc>
          <w:tcPr>
            <w:tcW w:w="1080" w:type="pct"/>
            <w:gridSpan w:val="3"/>
            <w:tcBorders>
              <w:top w:val="nil"/>
              <w:left w:val="nil"/>
              <w:bottom w:val="single" w:color="000000" w:sz="4" w:space="0"/>
              <w:right w:val="single" w:color="000000" w:sz="4" w:space="0"/>
            </w:tcBorders>
            <w:shd w:val="clear" w:color="auto" w:fill="auto"/>
            <w:noWrap/>
            <w:vAlign w:val="center"/>
          </w:tcPr>
          <w:p w14:paraId="7EEF56B8">
            <w:pPr>
              <w:widowControl/>
              <w:spacing w:line="240" w:lineRule="auto"/>
              <w:jc w:val="center"/>
              <w:rPr>
                <w:rFonts w:ascii="Times New Roman" w:hAnsi="Times New Roman" w:cs="Times New Roman"/>
                <w:color w:val="000000"/>
                <w:kern w:val="0"/>
                <w:sz w:val="14"/>
                <w:szCs w:val="14"/>
                <w:highlight w:val="none"/>
              </w:rPr>
            </w:pPr>
          </w:p>
        </w:tc>
        <w:tc>
          <w:tcPr>
            <w:tcW w:w="1080" w:type="pct"/>
            <w:gridSpan w:val="3"/>
            <w:tcBorders>
              <w:top w:val="nil"/>
              <w:left w:val="nil"/>
              <w:bottom w:val="single" w:color="000000" w:sz="4" w:space="0"/>
              <w:right w:val="single" w:color="000000" w:sz="4" w:space="0"/>
            </w:tcBorders>
            <w:shd w:val="clear" w:color="auto" w:fill="auto"/>
            <w:noWrap/>
            <w:vAlign w:val="center"/>
          </w:tcPr>
          <w:p w14:paraId="296A5916">
            <w:pPr>
              <w:widowControl/>
              <w:spacing w:line="240" w:lineRule="auto"/>
              <w:jc w:val="center"/>
              <w:rPr>
                <w:rFonts w:ascii="Times New Roman" w:hAnsi="Times New Roman" w:cs="Times New Roman"/>
                <w:color w:val="000000"/>
                <w:kern w:val="0"/>
                <w:sz w:val="14"/>
                <w:szCs w:val="14"/>
                <w:highlight w:val="none"/>
              </w:rPr>
            </w:pPr>
          </w:p>
        </w:tc>
        <w:tc>
          <w:tcPr>
            <w:tcW w:w="1081" w:type="pct"/>
            <w:gridSpan w:val="3"/>
            <w:tcBorders>
              <w:top w:val="nil"/>
              <w:left w:val="nil"/>
              <w:bottom w:val="single" w:color="000000" w:sz="4" w:space="0"/>
              <w:right w:val="single" w:color="000000" w:sz="4" w:space="0"/>
            </w:tcBorders>
            <w:shd w:val="clear" w:color="auto" w:fill="auto"/>
            <w:noWrap/>
            <w:vAlign w:val="center"/>
          </w:tcPr>
          <w:p w14:paraId="11E537F5">
            <w:pPr>
              <w:widowControl/>
              <w:spacing w:line="240" w:lineRule="auto"/>
              <w:jc w:val="center"/>
              <w:rPr>
                <w:rFonts w:ascii="Times New Roman" w:hAnsi="Times New Roman" w:cs="Times New Roman"/>
                <w:color w:val="000000"/>
                <w:kern w:val="0"/>
                <w:sz w:val="14"/>
                <w:szCs w:val="14"/>
                <w:highlight w:val="none"/>
              </w:rPr>
            </w:pPr>
          </w:p>
        </w:tc>
      </w:tr>
      <w:tr w14:paraId="6AC0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32F4">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累计变化最大值</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14:paraId="022386FD">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14:paraId="1A925850">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080" w:type="pct"/>
            <w:gridSpan w:val="3"/>
            <w:tcBorders>
              <w:top w:val="nil"/>
              <w:left w:val="nil"/>
              <w:bottom w:val="single" w:color="000000" w:sz="4" w:space="0"/>
              <w:right w:val="single" w:color="000000" w:sz="4" w:space="0"/>
            </w:tcBorders>
            <w:shd w:val="clear" w:color="auto" w:fill="auto"/>
            <w:noWrap/>
            <w:vAlign w:val="center"/>
          </w:tcPr>
          <w:p w14:paraId="6004B1E2">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081" w:type="pct"/>
            <w:gridSpan w:val="3"/>
            <w:tcBorders>
              <w:top w:val="nil"/>
              <w:left w:val="nil"/>
              <w:bottom w:val="single" w:color="000000" w:sz="4" w:space="0"/>
              <w:right w:val="single" w:color="000000" w:sz="4" w:space="0"/>
            </w:tcBorders>
            <w:shd w:val="clear" w:color="auto" w:fill="auto"/>
            <w:noWrap/>
            <w:vAlign w:val="center"/>
          </w:tcPr>
          <w:p w14:paraId="44E66F5D">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r>
      <w:tr w14:paraId="4A68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41AB">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最大速率(mm/d)</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14:paraId="6C7FF84B">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14:paraId="3745543F">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80" w:type="pct"/>
            <w:gridSpan w:val="3"/>
            <w:tcBorders>
              <w:top w:val="nil"/>
              <w:left w:val="nil"/>
              <w:bottom w:val="single" w:color="000000" w:sz="4" w:space="0"/>
              <w:right w:val="single" w:color="000000" w:sz="4" w:space="0"/>
            </w:tcBorders>
            <w:shd w:val="clear" w:color="auto" w:fill="auto"/>
            <w:noWrap/>
            <w:vAlign w:val="center"/>
          </w:tcPr>
          <w:p w14:paraId="77474398">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81" w:type="pct"/>
            <w:gridSpan w:val="3"/>
            <w:tcBorders>
              <w:top w:val="nil"/>
              <w:left w:val="nil"/>
              <w:bottom w:val="single" w:color="000000" w:sz="4" w:space="0"/>
              <w:right w:val="single" w:color="000000" w:sz="4" w:space="0"/>
            </w:tcBorders>
            <w:shd w:val="clear" w:color="auto" w:fill="auto"/>
            <w:noWrap/>
            <w:vAlign w:val="center"/>
          </w:tcPr>
          <w:p w14:paraId="0025A7D8">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r>
      <w:tr w14:paraId="1DBB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391B380">
            <w:pPr>
              <w:widowControl/>
              <w:spacing w:line="240" w:lineRule="auto"/>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备注:</w:t>
            </w:r>
          </w:p>
          <w:p w14:paraId="1E6C5C5C">
            <w:pPr>
              <w:widowControl/>
              <w:spacing w:line="240" w:lineRule="auto"/>
              <w:ind w:firstLine="280" w:firstLineChars="200"/>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1）表中次数为进场次数；2 ）</w:t>
            </w:r>
            <w:r>
              <w:rPr>
                <w:rFonts w:ascii="Times New Roman" w:hAnsi="Times New Roman" w:cs="Times New Roman"/>
                <w:color w:val="000000"/>
                <w:kern w:val="0"/>
                <w:sz w:val="14"/>
                <w:szCs w:val="14"/>
                <w:highlight w:val="none"/>
              </w:rPr>
              <w:t>锚杆（索）或土钉拉力</w:t>
            </w:r>
            <w:r>
              <w:rPr>
                <w:rFonts w:hint="eastAsia" w:ascii="Times New Roman" w:hAnsi="Times New Roman" w:cs="Times New Roman"/>
                <w:color w:val="000000"/>
                <w:kern w:val="0"/>
                <w:sz w:val="14"/>
                <w:szCs w:val="14"/>
                <w:highlight w:val="none"/>
              </w:rPr>
              <w:t>变化量“+”表示拉力增加，“-”表示拉力减少</w:t>
            </w:r>
            <w:r>
              <w:rPr>
                <w:rFonts w:ascii="Times New Roman" w:hAnsi="Times New Roman" w:cs="Times New Roman"/>
                <w:color w:val="000000"/>
                <w:kern w:val="0"/>
                <w:sz w:val="14"/>
                <w:szCs w:val="14"/>
                <w:highlight w:val="none"/>
              </w:rPr>
              <w:t>。</w:t>
            </w:r>
          </w:p>
        </w:tc>
      </w:tr>
      <w:tr w14:paraId="51312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000000" w:fill="D9D9D9"/>
            <w:noWrap/>
            <w:vAlign w:val="center"/>
          </w:tcPr>
          <w:p w14:paraId="7412A7E7">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监测数据成果曲线图</w:t>
            </w:r>
          </w:p>
        </w:tc>
      </w:tr>
      <w:tr w14:paraId="7781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7"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23FEAF">
            <w:pPr>
              <w:widowControl/>
              <w:spacing w:line="240" w:lineRule="auto"/>
              <w:jc w:val="center"/>
              <w:rPr>
                <w:rFonts w:ascii="Times New Roman" w:hAnsi="Times New Roman" w:cs="Times New Roman"/>
                <w:b/>
                <w:bCs/>
                <w:color w:val="000000"/>
                <w:kern w:val="0"/>
                <w:sz w:val="18"/>
                <w:szCs w:val="18"/>
                <w:highlight w:val="none"/>
              </w:rPr>
            </w:pPr>
            <w:r>
              <w:rPr>
                <w:rFonts w:ascii="Times New Roman" w:hAnsi="Times New Roman" w:cs="Times New Roman"/>
                <w:highlight w:val="none"/>
              </w:rPr>
              <mc:AlternateContent>
                <mc:Choice Requires="wps">
                  <w:drawing>
                    <wp:anchor distT="0" distB="0" distL="114300" distR="114300" simplePos="0" relativeHeight="251675648" behindDoc="0" locked="0" layoutInCell="1" allowOverlap="1">
                      <wp:simplePos x="0" y="0"/>
                      <wp:positionH relativeFrom="column">
                        <wp:posOffset>4863465</wp:posOffset>
                      </wp:positionH>
                      <wp:positionV relativeFrom="paragraph">
                        <wp:posOffset>224155</wp:posOffset>
                      </wp:positionV>
                      <wp:extent cx="419735" cy="641985"/>
                      <wp:effectExtent l="5080" t="5080" r="13335" b="19685"/>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19735" cy="641985"/>
                              </a:xfrm>
                              <a:prstGeom prst="rect">
                                <a:avLst/>
                              </a:prstGeom>
                              <a:solidFill>
                                <a:srgbClr val="FFFFFF"/>
                              </a:solidFill>
                              <a:ln w="9525">
                                <a:solidFill>
                                  <a:srgbClr val="44546A"/>
                                </a:solidFill>
                                <a:miter lim="800000"/>
                              </a:ln>
                            </wps:spPr>
                            <wps:txbx>
                              <w:txbxContent>
                                <w:p w14:paraId="6F0411FC">
                                  <w:r>
                                    <w:rPr>
                                      <w:rFonts w:hint="eastAsia"/>
                                    </w:rPr>
                                    <w:t>图例：</w:t>
                                  </w:r>
                                </w:p>
                                <w:p w14:paraId="722A6E5D"/>
                                <w:p w14:paraId="415B128C"/>
                                <w:p w14:paraId="5D84EB2E"/>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82.95pt;margin-top:17.65pt;height:50.55pt;width:33.05pt;z-index:251675648;mso-width-relative:page;mso-height-relative:page;" fillcolor="#FFFFFF" filled="t" stroked="t" coordsize="21600,21600" o:gfxdata="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c8En72AAAAAoBAAAPAAAAAAAAAAEAIAAA&#10;ACIAAABkcnMvZG93bnJldi54bWxQSwECFAAUAAAACACHTuJAhKQ4WUUCAACHBAAADgAAAAAAAAAB&#10;ACAAAAAnAQAAZHJzL2Uyb0RvYy54bWxQSwUGAAAAAAYABgBZAQAA3gUAAAAA&#10;">
                      <v:fill on="t" focussize="0,0"/>
                      <v:stroke color="#44546A" miterlimit="8" joinstyle="miter"/>
                      <v:imagedata o:title=""/>
                      <o:lock v:ext="edit" aspectratio="f"/>
                      <v:textbox>
                        <w:txbxContent>
                          <w:p w14:paraId="6F0411FC">
                            <w:r>
                              <w:rPr>
                                <w:rFonts w:hint="eastAsia"/>
                              </w:rPr>
                              <w:t>图例：</w:t>
                            </w:r>
                          </w:p>
                          <w:p w14:paraId="722A6E5D"/>
                          <w:p w14:paraId="415B128C"/>
                          <w:p w14:paraId="5D84EB2E"/>
                        </w:txbxContent>
                      </v:textbox>
                    </v:shape>
                  </w:pict>
                </mc:Fallback>
              </mc:AlternateContent>
            </w:r>
            <w:r>
              <w:rPr>
                <w:rFonts w:ascii="Times New Roman" w:hAnsi="Times New Roman" w:cs="Times New Roman"/>
                <w:sz w:val="18"/>
                <w:highlight w:val="none"/>
              </w:rPr>
              <mc:AlternateContent>
                <mc:Choice Requires="wpg">
                  <w:drawing>
                    <wp:anchor distT="0" distB="0" distL="114300" distR="114300" simplePos="0" relativeHeight="251674624" behindDoc="0" locked="0" layoutInCell="1" allowOverlap="1">
                      <wp:simplePos x="0" y="0"/>
                      <wp:positionH relativeFrom="column">
                        <wp:posOffset>43815</wp:posOffset>
                      </wp:positionH>
                      <wp:positionV relativeFrom="paragraph">
                        <wp:posOffset>25400</wp:posOffset>
                      </wp:positionV>
                      <wp:extent cx="5041900" cy="1359535"/>
                      <wp:effectExtent l="4445" t="0" r="1905" b="12065"/>
                      <wp:wrapNone/>
                      <wp:docPr id="164" name="Group 350"/>
                      <wp:cNvGraphicFramePr/>
                      <a:graphic xmlns:a="http://schemas.openxmlformats.org/drawingml/2006/main">
                        <a:graphicData uri="http://schemas.microsoft.com/office/word/2010/wordprocessingGroup">
                          <wpg:wgp>
                            <wpg:cNvGrpSpPr/>
                            <wpg:grpSpPr>
                              <a:xfrm rot="0">
                                <a:off x="1186815" y="7469505"/>
                                <a:ext cx="5041900" cy="1359535"/>
                                <a:chOff x="2164" y="10756"/>
                                <a:chExt cx="8077" cy="2141"/>
                              </a:xfrm>
                            </wpg:grpSpPr>
                            <wps:wsp>
                              <wps:cNvPr id="165" name="文本框 2"/>
                              <wps:cNvSpPr txBox="1">
                                <a:spLocks noChangeArrowheads="1"/>
                              </wps:cNvSpPr>
                              <wps:spPr bwMode="auto">
                                <a:xfrm>
                                  <a:off x="4603" y="12499"/>
                                  <a:ext cx="3165" cy="398"/>
                                </a:xfrm>
                                <a:prstGeom prst="rect">
                                  <a:avLst/>
                                </a:prstGeom>
                                <a:solidFill>
                                  <a:srgbClr val="FFFFFF"/>
                                </a:solidFill>
                                <a:ln w="9525">
                                  <a:solidFill>
                                    <a:srgbClr val="FFFFFF"/>
                                  </a:solidFill>
                                  <a:miter lim="800000"/>
                                </a:ln>
                              </wps:spPr>
                              <wps:txbx>
                                <w:txbxContent>
                                  <w:p w14:paraId="24AEB983">
                                    <w:pPr>
                                      <w:spacing w:line="240" w:lineRule="auto"/>
                                      <w:jc w:val="center"/>
                                      <w:rPr>
                                        <w:sz w:val="18"/>
                                        <w:szCs w:val="18"/>
                                      </w:rPr>
                                    </w:pPr>
                                    <w:r>
                                      <w:rPr>
                                        <w:rFonts w:hint="eastAsia"/>
                                        <w:sz w:val="18"/>
                                        <w:szCs w:val="18"/>
                                      </w:rPr>
                                      <w:t>观测时间</w:t>
                                    </w:r>
                                  </w:p>
                                </w:txbxContent>
                              </wps:txbx>
                              <wps:bodyPr rot="0" vert="horz" wrap="square" lIns="91440" tIns="45720" rIns="91440" bIns="45720" anchor="t" anchorCtr="0" upright="1">
                                <a:noAutofit/>
                              </wps:bodyPr>
                            </wps:wsp>
                            <wps:wsp>
                              <wps:cNvPr id="166" name="Text Box 352"/>
                              <wps:cNvSpPr txBox="1">
                                <a:spLocks noChangeArrowheads="1"/>
                              </wps:cNvSpPr>
                              <wps:spPr bwMode="auto">
                                <a:xfrm>
                                  <a:off x="2164" y="10809"/>
                                  <a:ext cx="538" cy="1713"/>
                                </a:xfrm>
                                <a:prstGeom prst="rect">
                                  <a:avLst/>
                                </a:prstGeom>
                                <a:solidFill>
                                  <a:srgbClr val="FFFFFF"/>
                                </a:solidFill>
                                <a:ln w="9525">
                                  <a:solidFill>
                                    <a:srgbClr val="FFFFFF"/>
                                  </a:solidFill>
                                  <a:miter lim="800000"/>
                                </a:ln>
                              </wps:spPr>
                              <wps:txbx>
                                <w:txbxContent>
                                  <w:p w14:paraId="0D99FA65">
                                    <w:r>
                                      <w:rPr>
                                        <w:rFonts w:hint="eastAsia"/>
                                        <w:sz w:val="18"/>
                                        <w:szCs w:val="18"/>
                                      </w:rPr>
                                      <w:t>累计</w:t>
                                    </w:r>
                                    <w:r>
                                      <w:rPr>
                                        <w:sz w:val="18"/>
                                        <w:szCs w:val="18"/>
                                      </w:rPr>
                                      <w:t>变化量</w:t>
                                    </w:r>
                                    <w:r>
                                      <w:t>（</w:t>
                                    </w:r>
                                    <w:r>
                                      <w:rPr>
                                        <w:rFonts w:hint="eastAsia"/>
                                      </w:rPr>
                                      <w:t>kN</w:t>
                                    </w:r>
                                    <w:r>
                                      <w:t>）</w:t>
                                    </w:r>
                                  </w:p>
                                </w:txbxContent>
                              </wps:txbx>
                              <wps:bodyPr rot="0" vert="eaVert" wrap="square" lIns="91440" tIns="45720" rIns="91440" bIns="45720" anchor="t" anchorCtr="0" upright="1">
                                <a:noAutofit/>
                              </wps:bodyPr>
                            </wps:wsp>
                            <wpg:grpSp>
                              <wpg:cNvPr id="167" name="Group 353"/>
                              <wpg:cNvGrpSpPr/>
                              <wpg:grpSpPr>
                                <a:xfrm>
                                  <a:off x="2590" y="10756"/>
                                  <a:ext cx="7651" cy="1825"/>
                                  <a:chOff x="3323" y="12253"/>
                                  <a:chExt cx="5752" cy="1492"/>
                                </a:xfrm>
                              </wpg:grpSpPr>
                              <wps:wsp>
                                <wps:cNvPr id="168" name="AutoShape 354"/>
                                <wps:cNvCnPr>
                                  <a:cxnSpLocks noChangeShapeType="1"/>
                                </wps:cNvCnPr>
                                <wps:spPr bwMode="auto">
                                  <a:xfrm flipV="1">
                                    <a:off x="3323" y="12253"/>
                                    <a:ext cx="1" cy="1486"/>
                                  </a:xfrm>
                                  <a:prstGeom prst="straightConnector1">
                                    <a:avLst/>
                                  </a:prstGeom>
                                  <a:noFill/>
                                  <a:ln w="9525">
                                    <a:solidFill>
                                      <a:srgbClr val="000000"/>
                                    </a:solidFill>
                                    <a:round/>
                                    <a:tailEnd type="triangle" w="med" len="med"/>
                                  </a:ln>
                                </wps:spPr>
                                <wps:bodyPr/>
                              </wps:wsp>
                              <wps:wsp>
                                <wps:cNvPr id="169" name="AutoShape 355"/>
                                <wps:cNvCnPr>
                                  <a:cxnSpLocks noChangeShapeType="1"/>
                                </wps:cNvCnPr>
                                <wps:spPr bwMode="auto">
                                  <a:xfrm flipV="1">
                                    <a:off x="3324" y="13696"/>
                                    <a:ext cx="5751" cy="49"/>
                                  </a:xfrm>
                                  <a:prstGeom prst="straightConnector1">
                                    <a:avLst/>
                                  </a:prstGeom>
                                  <a:noFill/>
                                  <a:ln w="9525">
                                    <a:solidFill>
                                      <a:srgbClr val="000000"/>
                                    </a:solidFill>
                                    <a:round/>
                                    <a:tailEnd type="triangle" w="med" len="med"/>
                                  </a:ln>
                                </wps:spPr>
                                <wps:bodyPr/>
                              </wps:wsp>
                            </wpg:grpSp>
                          </wpg:wgp>
                        </a:graphicData>
                      </a:graphic>
                    </wp:anchor>
                  </w:drawing>
                </mc:Choice>
                <mc:Fallback>
                  <w:pict>
                    <v:group id="Group 350" o:spid="_x0000_s1026" o:spt="203" style="position:absolute;left:0pt;margin-left:3.45pt;margin-top:2pt;height:107.05pt;width:397pt;z-index:251674624;mso-width-relative:page;mso-height-relative:page;" coordorigin="2164,10756" coordsize="8077,2141" o:gfxdata="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">
                      <o:lock v:ext="edit" aspectratio="f"/>
                      <v:shape id="文本框 2" o:spid="_x0000_s1026" o:spt="202" type="#_x0000_t202" style="position:absolute;left:4603;top:12499;height:398;width:3165;" fillcolor="#FFFFFF" filled="t" stroked="t" coordsize="21600,21600" o:gfxdata="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o00mugAAANwA&#10;AAAPAAAAAAAAAAEAIAAAACIAAABkcnMvZG93bnJldi54bWxQSwECFAAUAAAACACHTuJAMy8FnjsA&#10;AAA5AAAAEAAAAAAAAAABACAAAAAJAQAAZHJzL3NoYXBleG1sLnhtbFBLBQYAAAAABgAGAFsBAACz&#10;AwAAAAA=&#10;">
                        <v:fill on="t" focussize="0,0"/>
                        <v:stroke color="#FFFFFF" miterlimit="8" joinstyle="miter"/>
                        <v:imagedata o:title=""/>
                        <o:lock v:ext="edit" aspectratio="f"/>
                        <v:textbox>
                          <w:txbxContent>
                            <w:p w14:paraId="24AEB983">
                              <w:pPr>
                                <w:spacing w:line="240" w:lineRule="auto"/>
                                <w:jc w:val="center"/>
                                <w:rPr>
                                  <w:sz w:val="18"/>
                                  <w:szCs w:val="18"/>
                                </w:rPr>
                              </w:pPr>
                              <w:r>
                                <w:rPr>
                                  <w:rFonts w:hint="eastAsia"/>
                                  <w:sz w:val="18"/>
                                  <w:szCs w:val="18"/>
                                </w:rPr>
                                <w:t>观测时间</w:t>
                              </w:r>
                            </w:p>
                          </w:txbxContent>
                        </v:textbox>
                      </v:shape>
                      <v:shape id="Text Box 352" o:spid="_x0000_s1026" o:spt="202" type="#_x0000_t202" style="position:absolute;left:2164;top:10809;height:1713;width:538;" fillcolor="#FFFFFF" filled="t" stroked="t" coordsize="21600,21600" o:gfxdata="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Yl/ugAAANwA&#10;AAAPAAAAAAAAAAEAIAAAACIAAABkcnMvZG93bnJldi54bWxQSwECFAAUAAAACACHTuJAMy8FnjsA&#10;AAA5AAAAEAAAAAAAAAABACAAAAAJAQAAZHJzL3NoYXBleG1sLnhtbFBLBQYAAAAABgAGAFsBAACz&#10;AwAAAAA=&#10;">
                        <v:fill on="t" focussize="0,0"/>
                        <v:stroke color="#FFFFFF" miterlimit="8" joinstyle="miter"/>
                        <v:imagedata o:title=""/>
                        <o:lock v:ext="edit" aspectratio="f"/>
                        <v:textbox style="layout-flow:vertical-ideographic;">
                          <w:txbxContent>
                            <w:p w14:paraId="0D99FA65">
                              <w:r>
                                <w:rPr>
                                  <w:rFonts w:hint="eastAsia"/>
                                  <w:sz w:val="18"/>
                                  <w:szCs w:val="18"/>
                                </w:rPr>
                                <w:t>累计</w:t>
                              </w:r>
                              <w:r>
                                <w:rPr>
                                  <w:sz w:val="18"/>
                                  <w:szCs w:val="18"/>
                                </w:rPr>
                                <w:t>变化量</w:t>
                              </w:r>
                              <w:r>
                                <w:t>（</w:t>
                              </w:r>
                              <w:r>
                                <w:rPr>
                                  <w:rFonts w:hint="eastAsia"/>
                                </w:rPr>
                                <w:t>kN</w:t>
                              </w:r>
                              <w:r>
                                <w:t>）</w:t>
                              </w:r>
                            </w:p>
                          </w:txbxContent>
                        </v:textbox>
                      </v:shape>
                      <v:group id="Group 353" o:spid="_x0000_s1026" o:spt="203" style="position:absolute;left:2590;top:10756;height:1825;width:7651;" coordorigin="3323,12253" coordsize="5752,1492" o:gfxdata="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6zgBb0AAADcAAAADwAAAAAAAAABACAAAAAiAAAAZHJzL2Rvd25yZXYueG1s&#10;UEsBAhQAFAAAAAgAh07iQDMvBZ47AAAAOQAAABUAAAAAAAAAAQAgAAAADAEAAGRycy9ncm91cHNo&#10;YXBleG1sLnhtbFBLBQYAAAAABgAGAGABAADJAwAAAAA=&#10;">
                        <o:lock v:ext="edit" aspectratio="f"/>
                        <v:shape id="AutoShape 354" o:spid="_x0000_s1026" o:spt="32" type="#_x0000_t32" style="position:absolute;left:3323;top:12253;flip:y;height:1486;width:1;" filled="f" stroked="t" coordsize="21600,21600" o:gfxdata="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dfsX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355" o:spid="_x0000_s1026" o:spt="32" type="#_x0000_t32" style="position:absolute;left:3324;top:13696;flip:y;height:49;width:5751;" filled="f" stroked="t" coordsize="21600,21600" o:gfxdata="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m0nF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group>
                  </w:pict>
                </mc:Fallback>
              </mc:AlternateContent>
            </w:r>
          </w:p>
        </w:tc>
      </w:tr>
    </w:tbl>
    <w:p w14:paraId="61DD76C0">
      <w:pPr>
        <w:ind w:firstLine="180" w:firstLineChars="100"/>
        <w:rPr>
          <w:rFonts w:ascii="Times New Roman" w:hAnsi="Times New Roman" w:cs="Times New Roman"/>
          <w:sz w:val="18"/>
          <w:szCs w:val="18"/>
          <w:highlight w:val="none"/>
        </w:rPr>
      </w:pPr>
      <w:r>
        <w:rPr>
          <w:rFonts w:hint="eastAsia" w:ascii="Times New Roman" w:hAnsi="Times New Roman" w:cs="Times New Roman"/>
          <w:sz w:val="18"/>
          <w:szCs w:val="18"/>
          <w:highlight w:val="none"/>
        </w:rPr>
        <w:t xml:space="preserve">观测：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计算：                              校核：</w:t>
      </w:r>
    </w:p>
    <w:p w14:paraId="0A339A5A">
      <w:pPr>
        <w:ind w:firstLine="180" w:firstLineChars="100"/>
        <w:rPr>
          <w:rFonts w:hint="eastAsia" w:ascii="Times New Roman" w:hAnsi="Times New Roman" w:cs="Times New Roman"/>
          <w:sz w:val="18"/>
          <w:szCs w:val="18"/>
          <w:highlight w:val="none"/>
        </w:rPr>
        <w:sectPr>
          <w:pgSz w:w="11906" w:h="16838"/>
          <w:pgMar w:top="1440" w:right="1800" w:bottom="1440" w:left="1800" w:header="851" w:footer="992" w:gutter="0"/>
          <w:pgNumType w:fmt="decimal"/>
          <w:cols w:space="425" w:num="1"/>
          <w:docGrid w:type="lines" w:linePitch="312" w:charSpace="0"/>
        </w:sectPr>
      </w:pPr>
    </w:p>
    <w:p w14:paraId="0A0618B7">
      <w:pPr>
        <w:widowControl/>
        <w:jc w:val="center"/>
        <w:outlineLvl w:val="1"/>
        <w:rPr>
          <w:rFonts w:hint="default" w:ascii="Times New Roman" w:hAnsi="Times New Roman" w:cs="Times New Roman"/>
          <w:b/>
          <w:bCs/>
          <w:color w:val="000000"/>
          <w:sz w:val="28"/>
          <w:szCs w:val="28"/>
          <w:highlight w:val="none"/>
        </w:rPr>
      </w:pPr>
      <w:bookmarkStart w:id="203" w:name="_Toc31305"/>
      <w:bookmarkStart w:id="204" w:name="_Toc119050663"/>
      <w:bookmarkStart w:id="205" w:name="_Toc18881"/>
      <w:bookmarkStart w:id="206" w:name="_Toc21924"/>
      <w:bookmarkStart w:id="207" w:name="_Toc16022"/>
      <w:bookmarkStart w:id="208" w:name="_Toc11580"/>
      <w:bookmarkStart w:id="209" w:name="_Toc1273"/>
      <w:bookmarkStart w:id="210" w:name="_Toc5211"/>
      <w:bookmarkStart w:id="211" w:name="_Toc10936"/>
      <w:bookmarkStart w:id="212" w:name="_Toc29380"/>
      <w:bookmarkStart w:id="213" w:name="_Toc31018"/>
      <w:bookmarkStart w:id="214" w:name="_Toc118794875"/>
      <w:bookmarkStart w:id="215" w:name="_Toc895"/>
      <w:bookmarkStart w:id="216" w:name="_Toc28409"/>
      <w:bookmarkStart w:id="217" w:name="_Toc607"/>
      <w:bookmarkStart w:id="218" w:name="_Toc30125"/>
      <w:bookmarkStart w:id="219" w:name="_Toc6914"/>
      <w:bookmarkStart w:id="220" w:name="_Toc7512"/>
      <w:bookmarkStart w:id="221" w:name="_Toc119050666"/>
      <w:r>
        <w:rPr>
          <w:rFonts w:hint="default" w:ascii="Times New Roman" w:hAnsi="Times New Roman" w:cs="Times New Roman"/>
          <w:b/>
          <w:bCs/>
          <w:color w:val="000000"/>
          <w:spacing w:val="-5"/>
          <w:sz w:val="28"/>
          <w:szCs w:val="28"/>
          <w:highlight w:val="none"/>
        </w:rPr>
        <w:t>附录</w:t>
      </w:r>
      <w:r>
        <w:rPr>
          <w:rFonts w:hint="eastAsia" w:ascii="Times New Roman" w:hAnsi="Times New Roman" w:cs="Times New Roman"/>
          <w:b/>
          <w:bCs/>
          <w:color w:val="000000"/>
          <w:spacing w:val="-5"/>
          <w:sz w:val="28"/>
          <w:szCs w:val="28"/>
          <w:highlight w:val="none"/>
          <w:lang w:val="en-US" w:eastAsia="zh-CN"/>
        </w:rPr>
        <w:t>I</w:t>
      </w:r>
      <w:r>
        <w:rPr>
          <w:rFonts w:hint="default" w:ascii="Times New Roman" w:hAnsi="Times New Roman" w:cs="Times New Roman"/>
          <w:b/>
          <w:bCs/>
          <w:color w:val="000000"/>
          <w:spacing w:val="-5"/>
          <w:sz w:val="28"/>
          <w:szCs w:val="28"/>
          <w:highlight w:val="none"/>
        </w:rPr>
        <w:t xml:space="preserve">  监测项目代号和图例</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67B06723">
      <w:pPr>
        <w:spacing w:line="360" w:lineRule="auto"/>
        <w:ind w:firstLine="482" w:firstLineChars="200"/>
        <w:rPr>
          <w:rFonts w:hint="default" w:ascii="Times New Roman" w:hAnsi="Times New Roman" w:cs="Times New Roman"/>
          <w:color w:val="000000"/>
          <w:sz w:val="24"/>
          <w:highlight w:val="none"/>
        </w:rPr>
      </w:pPr>
      <w:r>
        <w:rPr>
          <w:rFonts w:hint="default" w:ascii="Times New Roman" w:hAnsi="Times New Roman" w:cs="Times New Roman"/>
          <w:b/>
          <w:bCs/>
          <w:color w:val="000000"/>
          <w:sz w:val="24"/>
          <w:highlight w:val="none"/>
        </w:rPr>
        <w:t>A.0.1</w:t>
      </w:r>
      <w:r>
        <w:rPr>
          <w:rFonts w:hint="default" w:ascii="Times New Roman" w:hAnsi="Times New Roman" w:cs="Times New Roman"/>
          <w:color w:val="000000"/>
          <w:sz w:val="24"/>
          <w:highlight w:val="none"/>
        </w:rPr>
        <w:t xml:space="preserve"> 监测项目代号和图例应具有唯一性。 </w:t>
      </w:r>
    </w:p>
    <w:p w14:paraId="06F78332">
      <w:pPr>
        <w:spacing w:line="360" w:lineRule="auto"/>
        <w:ind w:firstLine="482" w:firstLineChars="200"/>
        <w:rPr>
          <w:rFonts w:hint="default" w:ascii="Times New Roman" w:hAnsi="Times New Roman" w:cs="Times New Roman"/>
          <w:color w:val="000000"/>
          <w:sz w:val="24"/>
          <w:highlight w:val="none"/>
        </w:rPr>
      </w:pPr>
      <w:r>
        <w:rPr>
          <w:rFonts w:hint="default" w:ascii="Times New Roman" w:hAnsi="Times New Roman" w:cs="Times New Roman"/>
          <w:b/>
          <w:bCs/>
          <w:color w:val="000000"/>
          <w:sz w:val="24"/>
          <w:highlight w:val="none"/>
        </w:rPr>
        <w:t>A.0.2</w:t>
      </w:r>
      <w:r>
        <w:rPr>
          <w:rFonts w:hint="default" w:ascii="Times New Roman" w:hAnsi="Times New Roman" w:cs="Times New Roman"/>
          <w:color w:val="000000"/>
          <w:sz w:val="24"/>
          <w:highlight w:val="none"/>
        </w:rPr>
        <w:t xml:space="preserve"> 工程监测</w:t>
      </w:r>
      <w:r>
        <w:rPr>
          <w:rFonts w:hint="eastAsia" w:ascii="Times New Roman" w:hAnsi="Times New Roman" w:cs="Times New Roman"/>
          <w:color w:val="000000"/>
          <w:sz w:val="24"/>
          <w:highlight w:val="none"/>
          <w:lang w:val="en-US" w:eastAsia="zh-CN"/>
        </w:rPr>
        <w:t>断面</w:t>
      </w:r>
      <w:r>
        <w:rPr>
          <w:rFonts w:hint="default" w:ascii="Times New Roman" w:hAnsi="Times New Roman" w:cs="Times New Roman"/>
          <w:color w:val="000000"/>
          <w:sz w:val="24"/>
          <w:highlight w:val="none"/>
        </w:rPr>
        <w:t>、监测点编号应结合监测项目及其图例，按工点统一编制。监测点编号宜符合下列规定：</w:t>
      </w:r>
    </w:p>
    <w:p w14:paraId="21EFF23D">
      <w:pPr>
        <w:spacing w:line="360" w:lineRule="auto"/>
        <w:ind w:firstLine="482" w:firstLineChars="200"/>
        <w:rPr>
          <w:rFonts w:hint="default" w:ascii="Times New Roman" w:hAnsi="Times New Roman" w:cs="Times New Roman"/>
          <w:color w:val="000000"/>
          <w:sz w:val="24"/>
          <w:highlight w:val="none"/>
        </w:rPr>
      </w:pPr>
      <w:r>
        <w:rPr>
          <w:rFonts w:hint="default" w:ascii="Times New Roman" w:hAnsi="Times New Roman" w:cs="Times New Roman"/>
          <w:b/>
          <w:bCs/>
          <w:color w:val="000000"/>
          <w:sz w:val="24"/>
          <w:highlight w:val="none"/>
        </w:rPr>
        <w:t>1</w:t>
      </w:r>
      <w:r>
        <w:rPr>
          <w:rFonts w:hint="default" w:ascii="Times New Roman" w:hAnsi="Times New Roman" w:cs="Times New Roman"/>
          <w:color w:val="000000"/>
          <w:sz w:val="24"/>
          <w:highlight w:val="none"/>
        </w:rPr>
        <w:t xml:space="preserve"> 监测点编号组成格式宜由监测项目代号与监测点序列号共同组成；</w:t>
      </w:r>
    </w:p>
    <w:p w14:paraId="4DB0DA1F">
      <w:pPr>
        <w:spacing w:line="360" w:lineRule="auto"/>
        <w:ind w:firstLine="482" w:firstLineChars="200"/>
        <w:rPr>
          <w:rFonts w:hint="default" w:ascii="Times New Roman" w:hAnsi="Times New Roman" w:cs="Times New Roman"/>
          <w:color w:val="000000"/>
          <w:sz w:val="24"/>
          <w:highlight w:val="none"/>
        </w:rPr>
      </w:pPr>
      <w:bookmarkStart w:id="222" w:name="_Toc13074"/>
      <w:r>
        <w:rPr>
          <w:rFonts w:hint="default" w:ascii="Times New Roman" w:hAnsi="Times New Roman" w:cs="Times New Roman"/>
          <w:b/>
          <w:bCs/>
          <w:color w:val="000000"/>
          <w:sz w:val="24"/>
          <w:highlight w:val="none"/>
        </w:rPr>
        <w:t>2</w:t>
      </w:r>
      <w:r>
        <w:rPr>
          <w:rFonts w:hint="default" w:ascii="Times New Roman" w:hAnsi="Times New Roman" w:cs="Times New Roman"/>
          <w:color w:val="000000"/>
          <w:sz w:val="24"/>
          <w:highlight w:val="none"/>
        </w:rPr>
        <w:t xml:space="preserve"> 监测项目代号宜采用大写英文字母的形式表示；</w:t>
      </w:r>
      <w:bookmarkEnd w:id="222"/>
    </w:p>
    <w:p w14:paraId="59D273D0">
      <w:pPr>
        <w:spacing w:line="360" w:lineRule="auto"/>
        <w:ind w:firstLine="482" w:firstLineChars="200"/>
        <w:rPr>
          <w:rFonts w:hint="default" w:ascii="Times New Roman" w:hAnsi="Times New Roman" w:cs="Times New Roman"/>
          <w:color w:val="000000"/>
          <w:sz w:val="24"/>
          <w:highlight w:val="none"/>
        </w:rPr>
      </w:pPr>
      <w:r>
        <w:rPr>
          <w:rFonts w:hint="default" w:ascii="Times New Roman" w:hAnsi="Times New Roman" w:cs="Times New Roman"/>
          <w:b/>
          <w:bCs/>
          <w:color w:val="000000"/>
          <w:sz w:val="24"/>
          <w:highlight w:val="none"/>
        </w:rPr>
        <w:t>3</w:t>
      </w:r>
      <w:r>
        <w:rPr>
          <w:rFonts w:hint="default" w:ascii="Times New Roman" w:hAnsi="Times New Roman" w:cs="Times New Roman"/>
          <w:color w:val="000000"/>
          <w:sz w:val="24"/>
          <w:highlight w:val="none"/>
        </w:rPr>
        <w:t xml:space="preserve"> 监测点序列号宜采用阿拉伯数字并按一定的顺序或方向进行编号。</w:t>
      </w:r>
    </w:p>
    <w:p w14:paraId="4B3D43A0">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支护结构监测项目代号和图例宜符合表A.0.1</w:t>
      </w:r>
      <w:r>
        <w:rPr>
          <w:rFonts w:ascii="Times New Roman" w:hAnsi="Times New Roman" w:cs="Times New Roman"/>
          <w:color w:val="000000"/>
          <w:sz w:val="24"/>
          <w:highlight w:val="none"/>
        </w:rPr>
        <w:t>，</w:t>
      </w:r>
      <w:r>
        <w:rPr>
          <w:rFonts w:hint="default" w:ascii="Times New Roman" w:hAnsi="Times New Roman" w:cs="Times New Roman"/>
          <w:color w:val="000000"/>
          <w:sz w:val="24"/>
          <w:highlight w:val="none"/>
        </w:rPr>
        <w:t>周边环境及岩土体监测项目代号和图例宜符合表A.0.</w:t>
      </w:r>
      <w:r>
        <w:rPr>
          <w:rFonts w:ascii="Times New Roman" w:hAnsi="Times New Roman" w:cs="Times New Roman"/>
          <w:color w:val="000000"/>
          <w:sz w:val="24"/>
          <w:highlight w:val="none"/>
        </w:rPr>
        <w:t>2。</w:t>
      </w:r>
    </w:p>
    <w:p w14:paraId="11A7F634">
      <w:pPr>
        <w:widowControl/>
        <w:spacing w:before="312" w:beforeLines="100"/>
        <w:jc w:val="center"/>
        <w:rPr>
          <w:rFonts w:ascii="Times New Roman" w:hAnsi="Times New Roman" w:cs="Times New Roman"/>
          <w:b/>
          <w:bCs/>
          <w:szCs w:val="21"/>
          <w:highlight w:val="none"/>
        </w:rPr>
      </w:pPr>
      <w:bookmarkStart w:id="223" w:name="_Toc22742"/>
      <w:r>
        <w:rPr>
          <w:rFonts w:hint="default" w:ascii="Times New Roman" w:hAnsi="Times New Roman" w:cs="Times New Roman"/>
          <w:b/>
          <w:bCs/>
          <w:szCs w:val="21"/>
          <w:highlight w:val="none"/>
        </w:rPr>
        <w:t>表</w:t>
      </w:r>
      <w:r>
        <w:rPr>
          <w:rFonts w:hint="eastAsia" w:ascii="Times New Roman" w:hAnsi="Times New Roman" w:cs="Times New Roman"/>
          <w:b/>
          <w:bCs/>
          <w:szCs w:val="21"/>
          <w:highlight w:val="none"/>
          <w:lang w:val="en-US" w:eastAsia="zh-CN"/>
        </w:rPr>
        <w:t>I</w:t>
      </w:r>
      <w:r>
        <w:rPr>
          <w:rFonts w:hint="default" w:ascii="Times New Roman" w:hAnsi="Times New Roman" w:cs="Times New Roman"/>
          <w:b/>
          <w:bCs/>
          <w:szCs w:val="21"/>
          <w:highlight w:val="none"/>
        </w:rPr>
        <w:t>.0.1  支护结构监测项目代号和图例</w:t>
      </w:r>
      <w:bookmarkEnd w:id="223"/>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2"/>
        <w:gridCol w:w="2084"/>
        <w:gridCol w:w="2203"/>
      </w:tblGrid>
      <w:tr w14:paraId="11D7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83" w:type="pct"/>
            <w:tcBorders>
              <w:top w:val="single" w:color="auto" w:sz="12" w:space="0"/>
              <w:left w:val="single" w:color="auto" w:sz="12" w:space="0"/>
            </w:tcBorders>
            <w:noWrap w:val="0"/>
            <w:vAlign w:val="center"/>
          </w:tcPr>
          <w:p w14:paraId="1E117FF1">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监测项目</w:t>
            </w:r>
          </w:p>
        </w:tc>
        <w:tc>
          <w:tcPr>
            <w:tcW w:w="1223" w:type="pct"/>
            <w:tcBorders>
              <w:top w:val="single" w:color="auto" w:sz="12" w:space="0"/>
            </w:tcBorders>
            <w:noWrap w:val="0"/>
            <w:vAlign w:val="center"/>
          </w:tcPr>
          <w:p w14:paraId="6C7E726A">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项目代号</w:t>
            </w:r>
          </w:p>
        </w:tc>
        <w:tc>
          <w:tcPr>
            <w:tcW w:w="1292" w:type="pct"/>
            <w:tcBorders>
              <w:top w:val="single" w:color="auto" w:sz="12" w:space="0"/>
              <w:right w:val="single" w:color="auto" w:sz="12" w:space="0"/>
            </w:tcBorders>
            <w:noWrap w:val="0"/>
            <w:vAlign w:val="center"/>
          </w:tcPr>
          <w:p w14:paraId="3DD22C80">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图例</w:t>
            </w:r>
          </w:p>
        </w:tc>
      </w:tr>
      <w:tr w14:paraId="15B7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14:paraId="07B882B5">
            <w:pPr>
              <w:widowControl/>
              <w:jc w:val="center"/>
              <w:rPr>
                <w:rFonts w:hint="default" w:ascii="Times New Roman" w:hAnsi="Times New Roman" w:cs="Times New Roman"/>
                <w:szCs w:val="21"/>
                <w:highlight w:val="none"/>
              </w:rPr>
            </w:pPr>
            <w:r>
              <w:rPr>
                <w:rFonts w:ascii="Times New Roman" w:hAnsi="Times New Roman" w:cs="Times New Roman"/>
                <w:szCs w:val="21"/>
                <w:highlight w:val="none"/>
              </w:rPr>
              <w:t>支护结构</w:t>
            </w:r>
            <w:r>
              <w:rPr>
                <w:rFonts w:hint="default" w:ascii="Times New Roman" w:hAnsi="Times New Roman" w:cs="Times New Roman"/>
                <w:szCs w:val="21"/>
                <w:highlight w:val="none"/>
              </w:rPr>
              <w:t>水平位移</w:t>
            </w:r>
          </w:p>
        </w:tc>
        <w:tc>
          <w:tcPr>
            <w:tcW w:w="1223" w:type="pct"/>
            <w:noWrap w:val="0"/>
            <w:vAlign w:val="center"/>
          </w:tcPr>
          <w:p w14:paraId="0EBE5223">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ZQS</w:t>
            </w:r>
          </w:p>
        </w:tc>
        <w:tc>
          <w:tcPr>
            <w:tcW w:w="1292" w:type="pct"/>
            <w:tcBorders>
              <w:right w:val="single" w:color="auto" w:sz="12" w:space="0"/>
            </w:tcBorders>
            <w:noWrap w:val="0"/>
            <w:vAlign w:val="center"/>
          </w:tcPr>
          <w:p w14:paraId="5D6BA21A">
            <w:pPr>
              <w:widowControl/>
              <w:spacing w:line="68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mc:AlternateContent>
                <mc:Choice Requires="wpg">
                  <w:drawing>
                    <wp:inline distT="0" distB="0" distL="114300" distR="114300">
                      <wp:extent cx="288290" cy="288290"/>
                      <wp:effectExtent l="0" t="4445" r="16510" b="12065"/>
                      <wp:docPr id="40" name="组合 40"/>
                      <wp:cNvGraphicFramePr/>
                      <a:graphic xmlns:a="http://schemas.openxmlformats.org/drawingml/2006/main">
                        <a:graphicData uri="http://schemas.microsoft.com/office/word/2010/wordprocessingGroup">
                          <wpg:wgp>
                            <wpg:cNvGrpSpPr>
                              <a:grpSpLocks noRot="1"/>
                            </wpg:cNvGrpSpPr>
                            <wpg:grpSpPr>
                              <a:xfrm>
                                <a:off x="0" y="0"/>
                                <a:ext cx="288290" cy="288290"/>
                                <a:chOff x="9734" y="502635"/>
                                <a:chExt cx="466" cy="454"/>
                              </a:xfrm>
                            </wpg:grpSpPr>
                            <wps:wsp>
                              <wps:cNvPr id="38" name="椭圆 38"/>
                              <wps:cNvSpPr/>
                              <wps:spPr>
                                <a:xfrm>
                                  <a:off x="9746" y="502635"/>
                                  <a:ext cx="454" cy="454"/>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39" name="直接连接符 39"/>
                              <wps:cNvCnPr/>
                              <wps:spPr>
                                <a:xfrm flipH="1">
                                  <a:off x="9734" y="502862"/>
                                  <a:ext cx="454" cy="1"/>
                                </a:xfrm>
                                <a:prstGeom prst="line">
                                  <a:avLst/>
                                </a:prstGeom>
                                <a:ln w="9525" cap="flat" cmpd="sng">
                                  <a:solidFill>
                                    <a:srgbClr val="000000"/>
                                  </a:solidFill>
                                  <a:prstDash val="solid"/>
                                  <a:headEnd type="none" w="med" len="med"/>
                                  <a:tailEnd type="stealth" w="lg" len="lg"/>
                                </a:ln>
                              </wps:spPr>
                              <wps:bodyPr upright="1"/>
                            </wps:wsp>
                          </wpg:wgp>
                        </a:graphicData>
                      </a:graphic>
                    </wp:inline>
                  </w:drawing>
                </mc:Choice>
                <mc:Fallback>
                  <w:pict>
                    <v:group id="_x0000_s1026" o:spid="_x0000_s1026" o:spt="203" style="height:22.7pt;width:22.7pt;" coordorigin="9734,502635" coordsize="466,454" o:gfxdata="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HMOJf9MAAAADAQAADwAAAAAAAAABACAAAAAiAAAAZHJzL2Rvd25yZXYueG1s&#10;UEsBAhQAFAAAAAgAh07iQP3bA/nhAgAAiwcAAA4AAAAAAAAAAQAgAAAAIgEAAGRycy9lMm9Eb2Mu&#10;eG1sUEsFBgAAAAAGAAYAWQEAAHUGAAAAAA==&#10;">
                      <o:lock v:ext="edit" rotation="t" aspectratio="f"/>
                      <v:shape id="_x0000_s1026" o:spid="_x0000_s1026" o:spt="3" type="#_x0000_t3" style="position:absolute;left:9746;top:502635;height:454;width:454;" fillcolor="#FFFFFF" filled="t" stroked="t" coordsize="21600,21600" o:gfxdata="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5Prz2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line id="_x0000_s1026" o:spid="_x0000_s1026" o:spt="20" style="position:absolute;left:9734;top:502862;flip:x;height:1;width:454;" filled="f" stroked="t" coordsize="21600,21600" o:gfxdata="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SAFVvQAA&#10;ANsAAAAPAAAAAAAAAAEAIAAAACIAAABkcnMvZG93bnJldi54bWxQSwECFAAUAAAACACHTuJAMy8F&#10;njsAAAA5AAAAEAAAAAAAAAABACAAAAAMAQAAZHJzL3NoYXBleG1sLnhtbFBLBQYAAAAABgAGAFsB&#10;AAC2AwAAAAA=&#10;">
                        <v:fill on="f" focussize="0,0"/>
                        <v:stroke color="#000000" joinstyle="round" endarrow="classic" endarrowwidth="wide" endarrowlength="long"/>
                        <v:imagedata o:title=""/>
                        <o:lock v:ext="edit" aspectratio="f"/>
                      </v:line>
                      <w10:wrap type="none"/>
                      <w10:anchorlock/>
                    </v:group>
                  </w:pict>
                </mc:Fallback>
              </mc:AlternateContent>
            </w:r>
          </w:p>
        </w:tc>
      </w:tr>
      <w:tr w14:paraId="63EF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14:paraId="3163A64F">
            <w:pPr>
              <w:widowControl/>
              <w:jc w:val="center"/>
              <w:rPr>
                <w:rFonts w:hint="default" w:ascii="Times New Roman" w:hAnsi="Times New Roman" w:cs="Times New Roman"/>
                <w:szCs w:val="21"/>
                <w:highlight w:val="none"/>
              </w:rPr>
            </w:pPr>
            <w:r>
              <w:rPr>
                <w:rFonts w:ascii="Times New Roman" w:hAnsi="Times New Roman" w:cs="Times New Roman"/>
                <w:szCs w:val="21"/>
                <w:highlight w:val="none"/>
              </w:rPr>
              <w:t>支护结构</w:t>
            </w:r>
            <w:r>
              <w:rPr>
                <w:rFonts w:hint="default" w:ascii="Times New Roman" w:hAnsi="Times New Roman" w:cs="Times New Roman"/>
                <w:szCs w:val="21"/>
                <w:highlight w:val="none"/>
              </w:rPr>
              <w:t>竖向位移</w:t>
            </w:r>
          </w:p>
        </w:tc>
        <w:tc>
          <w:tcPr>
            <w:tcW w:w="1223" w:type="pct"/>
            <w:noWrap w:val="0"/>
            <w:vAlign w:val="center"/>
          </w:tcPr>
          <w:p w14:paraId="1E703103">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ZQC</w:t>
            </w:r>
          </w:p>
        </w:tc>
        <w:tc>
          <w:tcPr>
            <w:tcW w:w="1292" w:type="pct"/>
            <w:tcBorders>
              <w:right w:val="single" w:color="auto" w:sz="12" w:space="0"/>
            </w:tcBorders>
            <w:noWrap w:val="0"/>
            <w:vAlign w:val="center"/>
          </w:tcPr>
          <w:p w14:paraId="1DEABB61">
            <w:pPr>
              <w:widowControl/>
              <w:spacing w:line="680" w:lineRule="exact"/>
              <w:jc w:val="center"/>
              <w:rPr>
                <w:rFonts w:hint="default" w:ascii="Times New Roman" w:hAnsi="Times New Roman" w:cs="Times New Roman"/>
                <w:szCs w:val="21"/>
                <w:highlight w:val="none"/>
              </w:rPr>
            </w:pPr>
            <w:r>
              <w:rPr>
                <w:rFonts w:ascii="Times New Roman" w:hAnsi="Times New Roman" w:cs="Times New Roman"/>
                <w:highlight w:val="none"/>
              </w:rPr>
              <mc:AlternateContent>
                <mc:Choice Requires="wpg">
                  <w:drawing>
                    <wp:anchor distT="0" distB="0" distL="114300" distR="114300" simplePos="0" relativeHeight="251677696" behindDoc="0" locked="0" layoutInCell="1" allowOverlap="1">
                      <wp:simplePos x="0" y="0"/>
                      <wp:positionH relativeFrom="column">
                        <wp:posOffset>485775</wp:posOffset>
                      </wp:positionH>
                      <wp:positionV relativeFrom="paragraph">
                        <wp:posOffset>57150</wp:posOffset>
                      </wp:positionV>
                      <wp:extent cx="288290" cy="288290"/>
                      <wp:effectExtent l="4445" t="1270" r="12065" b="15240"/>
                      <wp:wrapNone/>
                      <wp:docPr id="1073742954" name="组合 1073742954"/>
                      <wp:cNvGraphicFramePr/>
                      <a:graphic xmlns:a="http://schemas.openxmlformats.org/drawingml/2006/main">
                        <a:graphicData uri="http://schemas.microsoft.com/office/word/2010/wordprocessingGroup">
                          <wpg:wgp>
                            <wpg:cNvGrpSpPr>
                              <a:grpSpLocks noRot="1"/>
                            </wpg:cNvGrpSpPr>
                            <wpg:grpSpPr>
                              <a:xfrm>
                                <a:off x="4356100" y="2633345"/>
                                <a:ext cx="288290" cy="288290"/>
                                <a:chOff x="9167" y="504663"/>
                                <a:chExt cx="454" cy="460"/>
                              </a:xfrm>
                              <a:effectLst/>
                            </wpg:grpSpPr>
                            <wps:wsp>
                              <wps:cNvPr id="1073742955" name="椭圆 1073742954"/>
                              <wps:cNvSpPr/>
                              <wps:spPr>
                                <a:xfrm>
                                  <a:off x="9167" y="504669"/>
                                  <a:ext cx="454" cy="454"/>
                                </a:xfrm>
                                <a:prstGeom prst="ellipse">
                                  <a:avLst/>
                                </a:prstGeom>
                                <a:solidFill>
                                  <a:srgbClr val="FFFFFF"/>
                                </a:solidFill>
                                <a:ln w="9525" cap="flat" cmpd="sng">
                                  <a:solidFill>
                                    <a:srgbClr val="000000"/>
                                  </a:solidFill>
                                  <a:prstDash val="solid"/>
                                  <a:headEnd type="none" w="med" len="med"/>
                                  <a:tailEnd type="none" w="med" len="med"/>
                                </a:ln>
                                <a:effectLst/>
                              </wps:spPr>
                              <wps:bodyPr/>
                            </wps:wsp>
                            <wps:wsp>
                              <wps:cNvPr id="1073742956" name="直接连接符 1073742955"/>
                              <wps:cNvCnPr/>
                              <wps:spPr>
                                <a:xfrm flipH="1">
                                  <a:off x="9390" y="504663"/>
                                  <a:ext cx="1" cy="454"/>
                                </a:xfrm>
                                <a:prstGeom prst="line">
                                  <a:avLst/>
                                </a:prstGeom>
                                <a:ln w="9525" cap="flat" cmpd="sng">
                                  <a:solidFill>
                                    <a:srgbClr val="000000"/>
                                  </a:solidFill>
                                  <a:prstDash val="solid"/>
                                  <a:headEnd type="none" w="med" len="med"/>
                                  <a:tailEnd type="stealth" w="lg" len="lg"/>
                                </a:ln>
                                <a:effectLst/>
                              </wps:spPr>
                              <wps:bodyPr/>
                            </wps:wsp>
                          </wpg:wgp>
                        </a:graphicData>
                      </a:graphic>
                    </wp:anchor>
                  </w:drawing>
                </mc:Choice>
                <mc:Fallback>
                  <w:pict>
                    <v:group id="_x0000_s1026" o:spid="_x0000_s1026" o:spt="203" style="position:absolute;left:0pt;margin-left:38.25pt;margin-top:4.5pt;height:22.7pt;width:22.7pt;z-index:251677696;mso-width-relative:page;mso-height-relative:page;" coordorigin="9167,504663" coordsize="454,460" o:gfxdata="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JujTe9gAAAAHAQAADwAAAAAAAAABACAAAAAi&#10;AAAAZHJzL2Rvd25yZXYueG1sUEsBAhQAFAAAAAgAh07iQJjt/ovuAgAA2QcAAA4AAAAAAAAAAQAg&#10;AAAAJwEAAGRycy9lMm9Eb2MueG1sUEsFBgAAAAAGAAYAWQEAAIcGAAAAAA==&#10;">
                      <o:lock v:ext="edit" rotation="t" aspectratio="f"/>
                      <v:shape id="椭圆 1073742954" o:spid="_x0000_s1026" o:spt="3" type="#_x0000_t3" style="position:absolute;left:9167;top:504669;height:454;width:454;" fillcolor="#FFFFFF" filled="t" stroked="t" coordsize="21600,21600" o:gfxdata="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a4G&#10;bcEAAADjAAAADwAAAAAAAAABACAAAAAiAAAAZHJzL2Rvd25yZXYueG1sUEsBAhQAFAAAAAgAh07i&#10;QDMvBZ47AAAAOQAAABAAAAAAAAAAAQAgAAAAEAEAAGRycy9zaGFwZXhtbC54bWxQSwUGAAAAAAYA&#10;BgBbAQAAugMAAAAA&#10;">
                        <v:fill on="t" focussize="0,0"/>
                        <v:stroke color="#000000" joinstyle="round"/>
                        <v:imagedata o:title=""/>
                        <o:lock v:ext="edit" aspectratio="f"/>
                      </v:shape>
                      <v:line id="直接连接符 1073742955" o:spid="_x0000_s1026" o:spt="20" style="position:absolute;left:9390;top:504663;flip:x;height:454;width:1;" filled="f" stroked="t" coordsize="21600,21600" o:gfxdata="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3uJwN&#10;wAAAAOMAAAAPAAAAAAAAAAEAIAAAACIAAABkcnMvZG93bnJldi54bWxQSwECFAAUAAAACACHTuJA&#10;My8FnjsAAAA5AAAAEAAAAAAAAAABACAAAAAPAQAAZHJzL3NoYXBleG1sLnhtbFBLBQYAAAAABgAG&#10;AFsBAAC5AwAAAAA=&#10;">
                        <v:fill on="f" focussize="0,0"/>
                        <v:stroke color="#000000" joinstyle="round" endarrow="classic" endarrowwidth="wide" endarrowlength="long"/>
                        <v:imagedata o:title=""/>
                        <o:lock v:ext="edit" aspectratio="f"/>
                      </v:line>
                    </v:group>
                  </w:pict>
                </mc:Fallback>
              </mc:AlternateContent>
            </w:r>
          </w:p>
        </w:tc>
      </w:tr>
      <w:tr w14:paraId="3E9B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14:paraId="09ACCDEE">
            <w:pPr>
              <w:widowControl/>
              <w:jc w:val="center"/>
              <w:rPr>
                <w:rFonts w:hint="default" w:ascii="Times New Roman" w:hAnsi="Times New Roman" w:cs="Times New Roman"/>
                <w:szCs w:val="21"/>
                <w:highlight w:val="none"/>
              </w:rPr>
            </w:pPr>
            <w:r>
              <w:rPr>
                <w:rFonts w:ascii="Times New Roman" w:hAnsi="Times New Roman" w:cs="Times New Roman"/>
                <w:szCs w:val="21"/>
                <w:highlight w:val="none"/>
              </w:rPr>
              <w:t>支护结构</w:t>
            </w:r>
            <w:r>
              <w:rPr>
                <w:rFonts w:hint="default" w:ascii="Times New Roman" w:hAnsi="Times New Roman" w:cs="Times New Roman"/>
                <w:szCs w:val="21"/>
                <w:highlight w:val="none"/>
              </w:rPr>
              <w:t>深层水平位移</w:t>
            </w:r>
          </w:p>
        </w:tc>
        <w:tc>
          <w:tcPr>
            <w:tcW w:w="1223" w:type="pct"/>
            <w:noWrap w:val="0"/>
            <w:vAlign w:val="center"/>
          </w:tcPr>
          <w:p w14:paraId="48B8689A">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ZQT</w:t>
            </w:r>
          </w:p>
        </w:tc>
        <w:tc>
          <w:tcPr>
            <w:tcW w:w="1292" w:type="pct"/>
            <w:tcBorders>
              <w:right w:val="single" w:color="auto" w:sz="12" w:space="0"/>
            </w:tcBorders>
            <w:noWrap w:val="0"/>
            <w:vAlign w:val="center"/>
          </w:tcPr>
          <w:p w14:paraId="281C18E9">
            <w:pPr>
              <w:widowControl/>
              <w:spacing w:line="680" w:lineRule="exact"/>
              <w:jc w:val="center"/>
              <w:rPr>
                <w:rFonts w:hint="default" w:ascii="Times New Roman" w:hAnsi="Times New Roman" w:cs="Times New Roman"/>
                <w:szCs w:val="21"/>
                <w:highlight w:val="none"/>
              </w:rPr>
            </w:pPr>
            <w:r>
              <w:rPr>
                <w:rFonts w:hint="default" w:ascii="Times New Roman" w:hAnsi="Times New Roman" w:cs="Times New Roman"/>
                <w:highlight w:val="none"/>
              </w:rPr>
              <mc:AlternateContent>
                <mc:Choice Requires="wpg">
                  <w:drawing>
                    <wp:inline distT="0" distB="0" distL="114300" distR="114300">
                      <wp:extent cx="288925" cy="288290"/>
                      <wp:effectExtent l="4445" t="1270" r="11430" b="15240"/>
                      <wp:docPr id="27" name="组合 27"/>
                      <wp:cNvGraphicFramePr/>
                      <a:graphic xmlns:a="http://schemas.openxmlformats.org/drawingml/2006/main">
                        <a:graphicData uri="http://schemas.microsoft.com/office/word/2010/wordprocessingGroup">
                          <wpg:wgp>
                            <wpg:cNvGrpSpPr>
                              <a:grpSpLocks noRot="1"/>
                            </wpg:cNvGrpSpPr>
                            <wpg:grpSpPr>
                              <a:xfrm>
                                <a:off x="0" y="0"/>
                                <a:ext cx="288925" cy="288290"/>
                                <a:chOff x="9167" y="504754"/>
                                <a:chExt cx="455" cy="454"/>
                              </a:xfrm>
                            </wpg:grpSpPr>
                            <wpg:grpSp>
                              <wpg:cNvPr id="25" name="组合 25"/>
                              <wpg:cNvGrpSpPr/>
                              <wpg:grpSpPr>
                                <a:xfrm>
                                  <a:off x="9167" y="504754"/>
                                  <a:ext cx="454" cy="454"/>
                                  <a:chOff x="9167" y="504663"/>
                                  <a:chExt cx="454" cy="460"/>
                                </a:xfrm>
                              </wpg:grpSpPr>
                              <wps:wsp>
                                <wps:cNvPr id="23" name="椭圆 23"/>
                                <wps:cNvSpPr/>
                                <wps:spPr>
                                  <a:xfrm>
                                    <a:off x="9167" y="504669"/>
                                    <a:ext cx="454" cy="454"/>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24" name="直接连接符 24"/>
                                <wps:cNvCnPr/>
                                <wps:spPr>
                                  <a:xfrm flipH="1">
                                    <a:off x="9390" y="504663"/>
                                    <a:ext cx="1" cy="454"/>
                                  </a:xfrm>
                                  <a:prstGeom prst="line">
                                    <a:avLst/>
                                  </a:prstGeom>
                                  <a:ln w="12700" cap="flat" cmpd="sng">
                                    <a:solidFill>
                                      <a:srgbClr val="000000"/>
                                    </a:solidFill>
                                    <a:prstDash val="solid"/>
                                    <a:headEnd type="none" w="med" len="med"/>
                                    <a:tailEnd type="none" w="med" len="med"/>
                                  </a:ln>
                                </wps:spPr>
                                <wps:bodyPr upright="1"/>
                              </wps:wsp>
                            </wpg:grpSp>
                            <wps:wsp>
                              <wps:cNvPr id="26" name="直接连接符 26"/>
                              <wps:cNvCnPr/>
                              <wps:spPr>
                                <a:xfrm>
                                  <a:off x="9168" y="504979"/>
                                  <a:ext cx="454" cy="1"/>
                                </a:xfrm>
                                <a:prstGeom prst="line">
                                  <a:avLst/>
                                </a:prstGeom>
                                <a:ln w="12700"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22.7pt;width:22.75pt;" coordorigin="9167,504754" coordsize="455,454" o:gfxdata="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F3YBRHTAAAAAwEAAA8AAAAAAAAAAQAgAAAA&#10;IgAAAGRycy9kb3ducmV2LnhtbFBLAQIUABQAAAAIAIdO4kDYYxzcLQMAAM8KAAAOAAAAAAAAAAEA&#10;IAAAACIBAABkcnMvZTJvRG9jLnhtbFBLBQYAAAAABgAGAFkBAADBBgAAAAA=&#10;">
                      <o:lock v:ext="edit" rotation="t" aspectratio="f"/>
                      <v:group id="_x0000_s1026" o:spid="_x0000_s1026" o:spt="203" style="position:absolute;left:9167;top:504754;height:454;width:454;" coordorigin="9167,504663" coordsize="454,460"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_x0000_s1026" o:spid="_x0000_s1026" o:spt="3" type="#_x0000_t3" style="position:absolute;left:9167;top:504669;height:454;width:454;" fillcolor="#FFFFFF" filled="t" stroked="t" coordsize="21600,21600" o:gfxdata="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yq5G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line id="_x0000_s1026" o:spid="_x0000_s1026" o:spt="20" style="position:absolute;left:9390;top:504663;flip:x;height:454;width:1;" filled="f" stroked="t" coordsize="21600,21600" o:gfxdata="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CEm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group>
                      <v:line id="_x0000_s1026" o:spid="_x0000_s1026" o:spt="20" style="position:absolute;left:9168;top:504979;height:1;width:454;" filled="f" stroked="t" coordsize="21600,21600" o:gfxdata="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4DPq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w10:wrap type="none"/>
                      <w10:anchorlock/>
                    </v:group>
                  </w:pict>
                </mc:Fallback>
              </mc:AlternateContent>
            </w:r>
          </w:p>
        </w:tc>
      </w:tr>
      <w:tr w14:paraId="091D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14:paraId="67742338">
            <w:pPr>
              <w:widowControl/>
              <w:jc w:val="center"/>
              <w:rPr>
                <w:rFonts w:hint="eastAsia"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rPr>
              <w:t>锚杆（索）拉力</w:t>
            </w:r>
          </w:p>
        </w:tc>
        <w:tc>
          <w:tcPr>
            <w:tcW w:w="1223" w:type="pct"/>
            <w:noWrap w:val="0"/>
            <w:vAlign w:val="center"/>
          </w:tcPr>
          <w:p w14:paraId="39D5EB21">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MGL</w:t>
            </w:r>
          </w:p>
        </w:tc>
        <w:tc>
          <w:tcPr>
            <w:tcW w:w="1292" w:type="pct"/>
            <w:tcBorders>
              <w:right w:val="single" w:color="auto" w:sz="12" w:space="0"/>
            </w:tcBorders>
            <w:noWrap w:val="0"/>
            <w:vAlign w:val="center"/>
          </w:tcPr>
          <w:p w14:paraId="10FBAA98">
            <w:pPr>
              <w:widowControl/>
              <w:spacing w:line="500" w:lineRule="exact"/>
              <w:jc w:val="center"/>
              <w:rPr>
                <w:rFonts w:hint="default" w:ascii="Times New Roman" w:hAnsi="Times New Roman" w:cs="Times New Roman"/>
                <w:color w:val="000000"/>
                <w:highlight w:val="none"/>
              </w:rPr>
            </w:pPr>
            <w:r>
              <w:rPr>
                <w:rFonts w:hint="default" w:ascii="Times New Roman" w:hAnsi="Times New Roman" w:cs="Times New Roman"/>
                <w:color w:val="000000"/>
                <w:highlight w:val="none"/>
              </w:rPr>
              <mc:AlternateContent>
                <mc:Choice Requires="wpg">
                  <w:drawing>
                    <wp:inline distT="0" distB="0" distL="114300" distR="114300">
                      <wp:extent cx="539750" cy="107950"/>
                      <wp:effectExtent l="0" t="4445" r="12700" b="20955"/>
                      <wp:docPr id="37" name="组合 37"/>
                      <wp:cNvGraphicFramePr/>
                      <a:graphic xmlns:a="http://schemas.openxmlformats.org/drawingml/2006/main">
                        <a:graphicData uri="http://schemas.microsoft.com/office/word/2010/wordprocessingGroup">
                          <wpg:wgp>
                            <wpg:cNvGrpSpPr>
                              <a:grpSpLocks noRot="1"/>
                            </wpg:cNvGrpSpPr>
                            <wpg:grpSpPr>
                              <a:xfrm>
                                <a:off x="0" y="0"/>
                                <a:ext cx="539750" cy="107950"/>
                                <a:chOff x="9052" y="507891"/>
                                <a:chExt cx="850" cy="170"/>
                              </a:xfrm>
                            </wpg:grpSpPr>
                            <wps:wsp>
                              <wps:cNvPr id="35" name="矩形 35"/>
                              <wps:cNvSpPr/>
                              <wps:spPr>
                                <a:xfrm>
                                  <a:off x="9327" y="507891"/>
                                  <a:ext cx="283" cy="170"/>
                                </a:xfrm>
                                <a:prstGeom prst="rect">
                                  <a:avLst/>
                                </a:prstGeom>
                                <a:solidFill>
                                  <a:srgbClr val="000000"/>
                                </a:solidFill>
                                <a:ln w="9525" cap="flat" cmpd="sng">
                                  <a:solidFill>
                                    <a:srgbClr val="000000"/>
                                  </a:solidFill>
                                  <a:prstDash val="solid"/>
                                  <a:miter/>
                                  <a:headEnd type="none" w="med" len="med"/>
                                  <a:tailEnd type="none" w="med" len="med"/>
                                </a:ln>
                              </wps:spPr>
                              <wps:bodyPr upright="1"/>
                            </wps:wsp>
                            <wps:wsp>
                              <wps:cNvPr id="36" name="直接连接符 36"/>
                              <wps:cNvCnPr/>
                              <wps:spPr>
                                <a:xfrm>
                                  <a:off x="9052" y="507979"/>
                                  <a:ext cx="850" cy="1"/>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8.5pt;width:42.5pt;" coordorigin="9052,507891" coordsize="850,170" o:gfxdata="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YfP/SdMAAAADAQAADwAAAAAA&#10;AAABACAAAAAiAAAAZHJzL2Rvd25yZXYueG1sUEsBAhQAFAAAAAgAh07iQDzihorDAgAAhwcAAA4A&#10;AAAAAAAAAQAgAAAAIgEAAGRycy9lMm9Eb2MueG1sUEsFBgAAAAAGAAYAWQEAAFcGAAAAAA==&#10;">
                      <o:lock v:ext="edit" rotation="t" aspectratio="f"/>
                      <v:rect id="_x0000_s1026" o:spid="_x0000_s1026" o:spt="1" style="position:absolute;left:9327;top:507891;height:170;width:283;" fillcolor="#000000" filled="t" stroked="t" coordsize="21600,21600" o:gfxdata="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6OTLgAAADbAAAA&#10;DwAAAAAAAAABACAAAAAiAAAAZHJzL2Rvd25yZXYueG1sUEsBAhQAFAAAAAgAh07iQDMvBZ47AAAA&#10;OQAAABAAAAAAAAAAAQAgAAAABwEAAGRycy9zaGFwZXhtbC54bWxQSwUGAAAAAAYABgBbAQAAsQMA&#10;AAAA&#10;">
                        <v:fill on="t" focussize="0,0"/>
                        <v:stroke color="#000000" joinstyle="miter"/>
                        <v:imagedata o:title=""/>
                        <o:lock v:ext="edit" aspectratio="f"/>
                      </v:rect>
                      <v:line id="_x0000_s1026" o:spid="_x0000_s1026" o:spt="20" style="position:absolute;left:9052;top:507979;height:1;width:850;" filled="f" stroked="t"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w10:wrap type="none"/>
                      <w10:anchorlock/>
                    </v:group>
                  </w:pict>
                </mc:Fallback>
              </mc:AlternateContent>
            </w:r>
          </w:p>
        </w:tc>
      </w:tr>
      <w:tr w14:paraId="35A7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14:paraId="044887EB">
            <w:pPr>
              <w:widowControl/>
              <w:jc w:val="center"/>
              <w:rPr>
                <w:rFonts w:ascii="Times New Roman" w:hAnsi="Times New Roman" w:cs="Times New Roman"/>
                <w:color w:val="000000"/>
                <w:szCs w:val="21"/>
                <w:highlight w:val="none"/>
              </w:rPr>
            </w:pPr>
            <w:r>
              <w:rPr>
                <w:rFonts w:hint="default" w:ascii="Times New Roman" w:hAnsi="Times New Roman" w:cs="Times New Roman"/>
                <w:color w:val="000000"/>
                <w:szCs w:val="21"/>
                <w:highlight w:val="none"/>
              </w:rPr>
              <w:t>支护结构应力</w:t>
            </w:r>
          </w:p>
        </w:tc>
        <w:tc>
          <w:tcPr>
            <w:tcW w:w="1223" w:type="pct"/>
            <w:noWrap w:val="0"/>
            <w:vAlign w:val="center"/>
          </w:tcPr>
          <w:p w14:paraId="3F7D152B">
            <w:pPr>
              <w:widowControl/>
              <w:jc w:val="center"/>
              <w:rPr>
                <w:rFonts w:hint="default" w:ascii="Times New Roman" w:hAnsi="Times New Roman" w:cs="Times New Roman"/>
                <w:color w:val="000000"/>
                <w:szCs w:val="21"/>
                <w:highlight w:val="none"/>
              </w:rPr>
            </w:pPr>
            <w:r>
              <w:rPr>
                <w:rFonts w:ascii="Times New Roman" w:hAnsi="Times New Roman" w:cs="Times New Roman"/>
                <w:color w:val="000000"/>
                <w:szCs w:val="21"/>
                <w:highlight w:val="none"/>
              </w:rPr>
              <w:t>ZQL</w:t>
            </w:r>
          </w:p>
        </w:tc>
        <w:tc>
          <w:tcPr>
            <w:tcW w:w="1292" w:type="pct"/>
            <w:tcBorders>
              <w:right w:val="single" w:color="auto" w:sz="12" w:space="0"/>
            </w:tcBorders>
            <w:noWrap w:val="0"/>
            <w:vAlign w:val="center"/>
          </w:tcPr>
          <w:p w14:paraId="50229897">
            <w:pPr>
              <w:widowControl/>
              <w:spacing w:line="500" w:lineRule="exact"/>
              <w:jc w:val="center"/>
              <w:rPr>
                <w:rFonts w:hint="default" w:ascii="Times New Roman" w:hAnsi="Times New Roman" w:cs="Times New Roman"/>
                <w:color w:val="000000"/>
                <w:highlight w:val="none"/>
              </w:rPr>
            </w:pPr>
            <w:r>
              <w:rPr>
                <w:rFonts w:hint="default" w:ascii="Times New Roman" w:hAnsi="Times New Roman" w:cs="Times New Roman"/>
                <w:color w:val="000000"/>
                <w:highlight w:val="none"/>
              </w:rPr>
              <mc:AlternateContent>
                <mc:Choice Requires="wpg">
                  <w:drawing>
                    <wp:inline distT="0" distB="0" distL="114300" distR="114300">
                      <wp:extent cx="292735" cy="215900"/>
                      <wp:effectExtent l="4445" t="4445" r="7620" b="8255"/>
                      <wp:docPr id="85" name="组合 85"/>
                      <wp:cNvGraphicFramePr/>
                      <a:graphic xmlns:a="http://schemas.openxmlformats.org/drawingml/2006/main">
                        <a:graphicData uri="http://schemas.microsoft.com/office/word/2010/wordprocessingGroup">
                          <wpg:wgp>
                            <wpg:cNvGrpSpPr>
                              <a:grpSpLocks noRot="1"/>
                            </wpg:cNvGrpSpPr>
                            <wpg:grpSpPr>
                              <a:xfrm>
                                <a:off x="0" y="0"/>
                                <a:ext cx="292735" cy="215900"/>
                                <a:chOff x="9055" y="506665"/>
                                <a:chExt cx="461" cy="340"/>
                              </a:xfrm>
                            </wpg:grpSpPr>
                            <wps:wsp>
                              <wps:cNvPr id="82" name="矩形 82"/>
                              <wps:cNvSpPr/>
                              <wps:spPr>
                                <a:xfrm>
                                  <a:off x="9056" y="506665"/>
                                  <a:ext cx="454" cy="340"/>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83" name="直接连接符 83"/>
                              <wps:cNvCnPr/>
                              <wps:spPr>
                                <a:xfrm>
                                  <a:off x="9055" y="506670"/>
                                  <a:ext cx="457" cy="329"/>
                                </a:xfrm>
                                <a:prstGeom prst="line">
                                  <a:avLst/>
                                </a:prstGeom>
                                <a:ln w="9525" cap="flat" cmpd="sng">
                                  <a:solidFill>
                                    <a:srgbClr val="000000"/>
                                  </a:solidFill>
                                  <a:prstDash val="solid"/>
                                  <a:headEnd type="none" w="med" len="med"/>
                                  <a:tailEnd type="none" w="med" len="med"/>
                                </a:ln>
                              </wps:spPr>
                              <wps:bodyPr upright="1"/>
                            </wps:wsp>
                            <wps:wsp>
                              <wps:cNvPr id="84" name="直接连接符 84"/>
                              <wps:cNvCnPr/>
                              <wps:spPr>
                                <a:xfrm flipH="1">
                                  <a:off x="9062" y="506667"/>
                                  <a:ext cx="455" cy="339"/>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17pt;width:23.05pt;" coordorigin="9055,506665" coordsize="461,340" o:gfxdata="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DBHKX1QAAAAMBAAAPAAAA&#10;AAAAAAEAIAAAACIAAABkcnMvZG93bnJldi54bWxQSwECFAAUAAAACACHTuJAaG/YqPwCAAChCQAA&#10;DgAAAAAAAAABACAAAAAkAQAAZHJzL2Uyb0RvYy54bWxQSwUGAAAAAAYABgBZAQAAkgYAAAAA&#10;">
                      <o:lock v:ext="edit" rotation="t" aspectratio="f"/>
                      <v:rect id="_x0000_s1026" o:spid="_x0000_s1026" o:spt="1" style="position:absolute;left:9056;top:506665;height:340;width:454;" fillcolor="#FFFFFF" filled="t" stroked="t" coordsize="21600,21600" o:gfxdata="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IsPq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rect>
                      <v:line id="_x0000_s1026" o:spid="_x0000_s1026" o:spt="20" style="position:absolute;left:9055;top:506670;height:329;width:457;" filled="f" stroked="t" coordsize="21600,21600" o:gfxdata="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bW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9062;top:506667;flip:x;height:339;width:455;" filled="f" stroked="t" coordsize="21600,21600" o:gfxdata="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A30G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w10:wrap type="none"/>
                      <w10:anchorlock/>
                    </v:group>
                  </w:pict>
                </mc:Fallback>
              </mc:AlternateContent>
            </w:r>
          </w:p>
        </w:tc>
      </w:tr>
    </w:tbl>
    <w:p w14:paraId="71DB034E">
      <w:pPr>
        <w:spacing w:line="360" w:lineRule="auto"/>
        <w:ind w:firstLine="480" w:firstLineChars="200"/>
        <w:rPr>
          <w:rFonts w:hint="default" w:ascii="Times New Roman" w:hAnsi="Times New Roman" w:cs="Times New Roman"/>
          <w:color w:val="000000"/>
          <w:sz w:val="24"/>
          <w:highlight w:val="none"/>
        </w:rPr>
      </w:pPr>
    </w:p>
    <w:p w14:paraId="1A3E83DC">
      <w:pPr>
        <w:spacing w:line="360" w:lineRule="auto"/>
        <w:ind w:firstLine="480" w:firstLineChars="200"/>
        <w:rPr>
          <w:rFonts w:hint="default" w:ascii="Times New Roman" w:hAnsi="Times New Roman" w:cs="Times New Roman"/>
          <w:color w:val="000000"/>
          <w:sz w:val="24"/>
          <w:highlight w:val="none"/>
        </w:rPr>
      </w:pPr>
    </w:p>
    <w:p w14:paraId="49E482C3">
      <w:pPr>
        <w:spacing w:line="360" w:lineRule="auto"/>
        <w:ind w:firstLine="480" w:firstLineChars="200"/>
        <w:rPr>
          <w:rFonts w:hint="default" w:ascii="Times New Roman" w:hAnsi="Times New Roman" w:cs="Times New Roman"/>
          <w:color w:val="000000"/>
          <w:sz w:val="24"/>
          <w:highlight w:val="none"/>
        </w:rPr>
      </w:pPr>
    </w:p>
    <w:p w14:paraId="0272264A">
      <w:pPr>
        <w:spacing w:line="360" w:lineRule="auto"/>
        <w:ind w:firstLine="480" w:firstLineChars="200"/>
        <w:rPr>
          <w:rFonts w:hint="default" w:ascii="Times New Roman" w:hAnsi="Times New Roman" w:cs="Times New Roman"/>
          <w:color w:val="000000"/>
          <w:sz w:val="24"/>
          <w:highlight w:val="none"/>
        </w:rPr>
      </w:pPr>
    </w:p>
    <w:p w14:paraId="7737D87D">
      <w:pPr>
        <w:spacing w:line="360" w:lineRule="auto"/>
        <w:ind w:firstLine="480" w:firstLineChars="200"/>
        <w:rPr>
          <w:rFonts w:hint="default" w:ascii="Times New Roman" w:hAnsi="Times New Roman" w:cs="Times New Roman"/>
          <w:color w:val="000000"/>
          <w:sz w:val="24"/>
          <w:highlight w:val="none"/>
        </w:rPr>
      </w:pPr>
    </w:p>
    <w:p w14:paraId="418FC503">
      <w:pPr>
        <w:spacing w:line="360" w:lineRule="auto"/>
        <w:ind w:firstLine="480" w:firstLineChars="200"/>
        <w:rPr>
          <w:rFonts w:hint="default" w:ascii="Times New Roman" w:hAnsi="Times New Roman" w:cs="Times New Roman"/>
          <w:color w:val="000000"/>
          <w:sz w:val="24"/>
          <w:highlight w:val="none"/>
        </w:rPr>
      </w:pPr>
    </w:p>
    <w:p w14:paraId="4390364E">
      <w:pPr>
        <w:spacing w:line="360" w:lineRule="auto"/>
        <w:ind w:firstLine="480" w:firstLineChars="200"/>
        <w:rPr>
          <w:rFonts w:hint="default" w:ascii="Times New Roman" w:hAnsi="Times New Roman" w:cs="Times New Roman"/>
          <w:color w:val="000000"/>
          <w:sz w:val="24"/>
          <w:highlight w:val="none"/>
        </w:rPr>
      </w:pPr>
    </w:p>
    <w:p w14:paraId="2D93E0EC">
      <w:pPr>
        <w:spacing w:line="360" w:lineRule="auto"/>
        <w:ind w:firstLine="480" w:firstLineChars="200"/>
        <w:rPr>
          <w:rFonts w:hint="default" w:ascii="Times New Roman" w:hAnsi="Times New Roman" w:cs="Times New Roman"/>
          <w:color w:val="000000"/>
          <w:sz w:val="24"/>
          <w:highlight w:val="none"/>
        </w:rPr>
      </w:pPr>
    </w:p>
    <w:p w14:paraId="699B321A">
      <w:pPr>
        <w:spacing w:line="360" w:lineRule="auto"/>
        <w:ind w:firstLine="480" w:firstLineChars="200"/>
        <w:rPr>
          <w:rFonts w:hint="default" w:ascii="Times New Roman" w:hAnsi="Times New Roman" w:cs="Times New Roman"/>
          <w:color w:val="000000"/>
          <w:sz w:val="24"/>
          <w:highlight w:val="none"/>
        </w:rPr>
      </w:pPr>
    </w:p>
    <w:p w14:paraId="12041E97">
      <w:pPr>
        <w:spacing w:line="360" w:lineRule="auto"/>
        <w:rPr>
          <w:rFonts w:hint="default" w:ascii="Times New Roman" w:hAnsi="Times New Roman" w:cs="Times New Roman"/>
          <w:color w:val="000000"/>
          <w:sz w:val="24"/>
          <w:highlight w:val="none"/>
        </w:rPr>
      </w:pPr>
    </w:p>
    <w:p w14:paraId="7AA0EE79">
      <w:pPr>
        <w:widowControl/>
        <w:spacing w:before="312" w:beforeLines="100"/>
        <w:jc w:val="center"/>
        <w:rPr>
          <w:rFonts w:ascii="Times New Roman" w:hAnsi="Times New Roman" w:cs="Times New Roman"/>
          <w:b/>
          <w:bCs/>
          <w:szCs w:val="21"/>
          <w:highlight w:val="none"/>
        </w:rPr>
      </w:pPr>
      <w:r>
        <w:rPr>
          <w:rFonts w:hint="default" w:ascii="Times New Roman" w:hAnsi="Times New Roman" w:cs="Times New Roman"/>
          <w:b/>
          <w:bCs/>
          <w:szCs w:val="21"/>
          <w:highlight w:val="none"/>
        </w:rPr>
        <w:t>表</w:t>
      </w:r>
      <w:r>
        <w:rPr>
          <w:rFonts w:hint="eastAsia" w:ascii="Times New Roman" w:hAnsi="Times New Roman" w:cs="Times New Roman"/>
          <w:b/>
          <w:bCs/>
          <w:szCs w:val="21"/>
          <w:highlight w:val="none"/>
          <w:lang w:val="en-US" w:eastAsia="zh-CN"/>
        </w:rPr>
        <w:t>I</w:t>
      </w:r>
      <w:r>
        <w:rPr>
          <w:rFonts w:hint="default" w:ascii="Times New Roman" w:hAnsi="Times New Roman" w:cs="Times New Roman"/>
          <w:b/>
          <w:bCs/>
          <w:szCs w:val="21"/>
          <w:highlight w:val="none"/>
        </w:rPr>
        <w:t>.0.</w:t>
      </w:r>
      <w:r>
        <w:rPr>
          <w:rFonts w:ascii="Times New Roman" w:hAnsi="Times New Roman" w:cs="Times New Roman"/>
          <w:b/>
          <w:bCs/>
          <w:szCs w:val="21"/>
          <w:highlight w:val="none"/>
        </w:rPr>
        <w:t>2</w:t>
      </w:r>
      <w:r>
        <w:rPr>
          <w:rFonts w:hint="default" w:ascii="Times New Roman" w:hAnsi="Times New Roman" w:cs="Times New Roman"/>
          <w:b/>
          <w:bCs/>
          <w:szCs w:val="21"/>
          <w:highlight w:val="none"/>
        </w:rPr>
        <w:t xml:space="preserve">  周边环境及岩土体监测项目代号和图例</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2"/>
        <w:gridCol w:w="2084"/>
        <w:gridCol w:w="2203"/>
      </w:tblGrid>
      <w:tr w14:paraId="3A25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83" w:type="pct"/>
            <w:tcBorders>
              <w:top w:val="single" w:color="auto" w:sz="12" w:space="0"/>
              <w:left w:val="single" w:color="auto" w:sz="12" w:space="0"/>
            </w:tcBorders>
            <w:noWrap w:val="0"/>
            <w:vAlign w:val="center"/>
          </w:tcPr>
          <w:p w14:paraId="4B8DC41B">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监测项目</w:t>
            </w:r>
          </w:p>
        </w:tc>
        <w:tc>
          <w:tcPr>
            <w:tcW w:w="1223" w:type="pct"/>
            <w:tcBorders>
              <w:top w:val="single" w:color="auto" w:sz="12" w:space="0"/>
            </w:tcBorders>
            <w:noWrap w:val="0"/>
            <w:vAlign w:val="center"/>
          </w:tcPr>
          <w:p w14:paraId="52F279A4">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项目代号</w:t>
            </w:r>
          </w:p>
        </w:tc>
        <w:tc>
          <w:tcPr>
            <w:tcW w:w="1292" w:type="pct"/>
            <w:tcBorders>
              <w:top w:val="single" w:color="auto" w:sz="12" w:space="0"/>
              <w:right w:val="single" w:color="auto" w:sz="12" w:space="0"/>
            </w:tcBorders>
            <w:noWrap w:val="0"/>
            <w:vAlign w:val="center"/>
          </w:tcPr>
          <w:p w14:paraId="7922D717">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图例</w:t>
            </w:r>
          </w:p>
        </w:tc>
      </w:tr>
      <w:tr w14:paraId="6E56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14:paraId="6898D9F4">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周边建（构）筑物</w:t>
            </w:r>
            <w:r>
              <w:rPr>
                <w:rFonts w:ascii="Times New Roman" w:hAnsi="Times New Roman" w:cs="Times New Roman"/>
                <w:color w:val="000000"/>
                <w:szCs w:val="21"/>
                <w:highlight w:val="none"/>
              </w:rPr>
              <w:t>竖向位移</w:t>
            </w:r>
          </w:p>
        </w:tc>
        <w:tc>
          <w:tcPr>
            <w:tcW w:w="1223" w:type="pct"/>
            <w:noWrap w:val="0"/>
            <w:vAlign w:val="center"/>
          </w:tcPr>
          <w:p w14:paraId="1D6306A3">
            <w:pPr>
              <w:widowControl/>
              <w:jc w:val="center"/>
              <w:rPr>
                <w:rFonts w:ascii="Times New Roman" w:hAnsi="Times New Roman" w:cs="Times New Roman"/>
                <w:color w:val="000000"/>
                <w:szCs w:val="21"/>
                <w:highlight w:val="none"/>
              </w:rPr>
            </w:pPr>
            <w:r>
              <w:rPr>
                <w:rFonts w:hint="default" w:ascii="Times New Roman" w:hAnsi="Times New Roman" w:cs="Times New Roman"/>
                <w:color w:val="000000"/>
                <w:szCs w:val="21"/>
                <w:highlight w:val="none"/>
              </w:rPr>
              <w:t>Z</w:t>
            </w:r>
            <w:r>
              <w:rPr>
                <w:rFonts w:ascii="Times New Roman" w:hAnsi="Times New Roman" w:cs="Times New Roman"/>
                <w:color w:val="000000"/>
                <w:szCs w:val="21"/>
                <w:highlight w:val="none"/>
              </w:rPr>
              <w:t>JC</w:t>
            </w:r>
          </w:p>
        </w:tc>
        <w:tc>
          <w:tcPr>
            <w:tcW w:w="1292" w:type="pct"/>
            <w:tcBorders>
              <w:right w:val="single" w:color="auto" w:sz="12" w:space="0"/>
            </w:tcBorders>
            <w:noWrap w:val="0"/>
            <w:vAlign w:val="center"/>
          </w:tcPr>
          <w:p w14:paraId="0C8325A3">
            <w:pPr>
              <w:widowControl/>
              <w:spacing w:line="680" w:lineRule="exact"/>
              <w:jc w:val="center"/>
              <w:rPr>
                <w:rFonts w:hint="default" w:ascii="Times New Roman" w:hAnsi="Times New Roman" w:cs="Times New Roman"/>
                <w:color w:val="000000"/>
                <w:szCs w:val="21"/>
                <w:highlight w:val="none"/>
              </w:rPr>
            </w:pPr>
            <w:r>
              <w:rPr>
                <w:rFonts w:ascii="Times New Roman" w:hAnsi="Times New Roman" w:cs="Times New Roman"/>
                <w:highlight w:val="none"/>
              </w:rPr>
              <mc:AlternateContent>
                <mc:Choice Requires="wpg">
                  <w:drawing>
                    <wp:anchor distT="0" distB="0" distL="114300" distR="114300" simplePos="0" relativeHeight="251678720" behindDoc="0" locked="0" layoutInCell="1" allowOverlap="1">
                      <wp:simplePos x="0" y="0"/>
                      <wp:positionH relativeFrom="column">
                        <wp:posOffset>495300</wp:posOffset>
                      </wp:positionH>
                      <wp:positionV relativeFrom="paragraph">
                        <wp:posOffset>57150</wp:posOffset>
                      </wp:positionV>
                      <wp:extent cx="288290" cy="288290"/>
                      <wp:effectExtent l="4445" t="4445" r="12065" b="12065"/>
                      <wp:wrapNone/>
                      <wp:docPr id="49" name="组合 49"/>
                      <wp:cNvGraphicFramePr/>
                      <a:graphic xmlns:a="http://schemas.openxmlformats.org/drawingml/2006/main">
                        <a:graphicData uri="http://schemas.microsoft.com/office/word/2010/wordprocessingGroup">
                          <wpg:wgp>
                            <wpg:cNvGrpSpPr/>
                            <wpg:grpSpPr>
                              <a:xfrm>
                                <a:off x="4857750" y="2197100"/>
                                <a:ext cx="288290" cy="288290"/>
                                <a:chOff x="7650" y="3460"/>
                                <a:chExt cx="454" cy="454"/>
                              </a:xfrm>
                              <a:effectLst/>
                            </wpg:grpSpPr>
                            <wps:wsp>
                              <wps:cNvPr id="50" name="直接连接符 17"/>
                              <wps:cNvCnPr/>
                              <wps:spPr>
                                <a:xfrm flipH="1">
                                  <a:off x="7877" y="3466"/>
                                  <a:ext cx="1" cy="448"/>
                                </a:xfrm>
                                <a:prstGeom prst="line">
                                  <a:avLst/>
                                </a:prstGeom>
                                <a:ln w="9525" cap="flat" cmpd="sng">
                                  <a:solidFill>
                                    <a:srgbClr val="000000"/>
                                  </a:solidFill>
                                  <a:prstDash val="solid"/>
                                  <a:headEnd type="none" w="med" len="med"/>
                                  <a:tailEnd type="stealth" w="lg" len="lg"/>
                                </a:ln>
                                <a:effectLst/>
                              </wps:spPr>
                              <wps:bodyPr/>
                            </wps:wsp>
                            <wps:wsp>
                              <wps:cNvPr id="51" name="矩形 18"/>
                              <wps:cNvSpPr/>
                              <wps:spPr>
                                <a:xfrm>
                                  <a:off x="7650" y="3460"/>
                                  <a:ext cx="454" cy="454"/>
                                </a:xfrm>
                                <a:prstGeom prst="rect">
                                  <a:avLst/>
                                </a:prstGeom>
                                <a:noFill/>
                                <a:ln w="9525" cap="flat" cmpd="sng" algn="ctr">
                                  <a:solidFill>
                                    <a:srgbClr val="000000"/>
                                  </a:solidFill>
                                  <a:prstDash val="solid"/>
                                </a:ln>
                                <a:effectLst/>
                              </wps:spPr>
                              <wps:bodyPr rtlCol="0" anchor="ctr" anchorCtr="0"/>
                            </wps:wsp>
                          </wpg:wgp>
                        </a:graphicData>
                      </a:graphic>
                    </wp:anchor>
                  </w:drawing>
                </mc:Choice>
                <mc:Fallback>
                  <w:pict>
                    <v:group id="_x0000_s1026" o:spid="_x0000_s1026" o:spt="203" style="position:absolute;left:0pt;margin-left:39pt;margin-top:4.5pt;height:22.7pt;width:22.7pt;z-index:251678720;mso-width-relative:page;mso-height-relative:page;" coordorigin="7650,3460" coordsize="454,454" o:gfxdata="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NnLGkPYAAAABwEAAA8AAAAAAAAAAQAgAAAAIgAA&#10;AGRycy9kb3ducmV2LnhtbFBLAQIUABQAAAAIAIdO4kCQ/zq/7AIAACsHAAAOAAAAAAAAAAEAIAAA&#10;ACcBAABkcnMvZTJvRG9jLnhtbFBLBQYAAAAABgAGAFkBAACFBgAAAAA=&#10;">
                      <o:lock v:ext="edit" aspectratio="f"/>
                      <v:line id="直接连接符 17" o:spid="_x0000_s1026" o:spt="20" style="position:absolute;left:7877;top:3466;flip:x;height:448;width:1;" filled="f" stroked="t" coordsize="21600,21600" o:gfxdata="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K1NaLgAAADbAAAA&#10;DwAAAAAAAAABACAAAAAiAAAAZHJzL2Rvd25yZXYueG1sUEsBAhQAFAAAAAgAh07iQDMvBZ47AAAA&#10;OQAAABAAAAAAAAAAAQAgAAAABwEAAGRycy9zaGFwZXhtbC54bWxQSwUGAAAAAAYABgBbAQAAsQMA&#10;AAAA&#10;">
                        <v:fill on="f" focussize="0,0"/>
                        <v:stroke color="#000000" joinstyle="round" endarrow="classic" endarrowwidth="wide" endarrowlength="long"/>
                        <v:imagedata o:title=""/>
                        <o:lock v:ext="edit" aspectratio="f"/>
                      </v:line>
                      <v:rect id="矩形 18" o:spid="_x0000_s1026" o:spt="1" style="position:absolute;left:7650;top:3460;height:454;width:454;v-text-anchor:middle;" filled="f" stroked="t" coordsize="21600,21600" o:gfxdata="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JuMf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rect>
                    </v:group>
                  </w:pict>
                </mc:Fallback>
              </mc:AlternateContent>
            </w:r>
          </w:p>
        </w:tc>
      </w:tr>
      <w:tr w14:paraId="2DEE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14:paraId="32B6D135">
            <w:pPr>
              <w:widowControl/>
              <w:jc w:val="center"/>
              <w:rPr>
                <w:rFonts w:ascii="Times New Roman" w:hAnsi="Times New Roman" w:cs="Times New Roman"/>
                <w:color w:val="000000"/>
                <w:szCs w:val="21"/>
                <w:highlight w:val="none"/>
              </w:rPr>
            </w:pPr>
            <w:r>
              <w:rPr>
                <w:rFonts w:hint="default" w:ascii="Times New Roman" w:hAnsi="Times New Roman" w:cs="Times New Roman"/>
                <w:color w:val="000000"/>
                <w:szCs w:val="21"/>
                <w:highlight w:val="none"/>
              </w:rPr>
              <w:t>周边建（构）筑物</w:t>
            </w:r>
            <w:r>
              <w:rPr>
                <w:rFonts w:ascii="Times New Roman" w:hAnsi="Times New Roman" w:cs="Times New Roman"/>
                <w:color w:val="000000"/>
                <w:szCs w:val="21"/>
                <w:highlight w:val="none"/>
              </w:rPr>
              <w:t>倾斜</w:t>
            </w:r>
          </w:p>
        </w:tc>
        <w:tc>
          <w:tcPr>
            <w:tcW w:w="1223" w:type="pct"/>
            <w:noWrap w:val="0"/>
            <w:vAlign w:val="center"/>
          </w:tcPr>
          <w:p w14:paraId="572D3AB4">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ZQT</w:t>
            </w:r>
          </w:p>
        </w:tc>
        <w:tc>
          <w:tcPr>
            <w:tcW w:w="1292" w:type="pct"/>
            <w:tcBorders>
              <w:right w:val="single" w:color="auto" w:sz="12" w:space="0"/>
            </w:tcBorders>
            <w:noWrap w:val="0"/>
            <w:vAlign w:val="center"/>
          </w:tcPr>
          <w:p w14:paraId="77E5BDDC">
            <w:pPr>
              <w:widowControl/>
              <w:spacing w:line="680" w:lineRule="exact"/>
              <w:jc w:val="center"/>
              <w:rPr>
                <w:rFonts w:hint="default" w:ascii="Times New Roman" w:hAnsi="Times New Roman" w:cs="Times New Roman"/>
                <w:color w:val="000000"/>
                <w:szCs w:val="21"/>
                <w:highlight w:val="none"/>
              </w:rPr>
            </w:pPr>
            <w:r>
              <w:rPr>
                <w:rFonts w:ascii="Times New Roman" w:hAnsi="Times New Roman" w:cs="Times New Roman"/>
                <w:highlight w:val="none"/>
              </w:rPr>
              <mc:AlternateContent>
                <mc:Choice Requires="wpg">
                  <w:drawing>
                    <wp:anchor distT="0" distB="0" distL="114300" distR="114300" simplePos="0" relativeHeight="251679744" behindDoc="0" locked="0" layoutInCell="1" allowOverlap="1">
                      <wp:simplePos x="0" y="0"/>
                      <wp:positionH relativeFrom="column">
                        <wp:posOffset>503555</wp:posOffset>
                      </wp:positionH>
                      <wp:positionV relativeFrom="paragraph">
                        <wp:posOffset>40640</wp:posOffset>
                      </wp:positionV>
                      <wp:extent cx="288290" cy="288925"/>
                      <wp:effectExtent l="4445" t="3810" r="12065" b="12065"/>
                      <wp:wrapNone/>
                      <wp:docPr id="52" name="组合 52"/>
                      <wp:cNvGraphicFramePr/>
                      <a:graphic xmlns:a="http://schemas.openxmlformats.org/drawingml/2006/main">
                        <a:graphicData uri="http://schemas.microsoft.com/office/word/2010/wordprocessingGroup">
                          <wpg:wgp>
                            <wpg:cNvGrpSpPr/>
                            <wpg:grpSpPr>
                              <a:xfrm>
                                <a:off x="4147185" y="4580255"/>
                                <a:ext cx="288290" cy="288925"/>
                                <a:chOff x="6531" y="7213"/>
                                <a:chExt cx="454" cy="455"/>
                              </a:xfrm>
                              <a:effectLst/>
                            </wpg:grpSpPr>
                            <wps:wsp>
                              <wps:cNvPr id="53" name="直接连接符 24"/>
                              <wps:cNvCnPr/>
                              <wps:spPr>
                                <a:xfrm flipH="1">
                                  <a:off x="6531" y="7213"/>
                                  <a:ext cx="455" cy="455"/>
                                </a:xfrm>
                                <a:prstGeom prst="line">
                                  <a:avLst/>
                                </a:prstGeom>
                                <a:ln w="9525" cap="flat" cmpd="sng">
                                  <a:solidFill>
                                    <a:srgbClr val="000000"/>
                                  </a:solidFill>
                                  <a:prstDash val="solid"/>
                                  <a:headEnd type="none" w="med" len="med"/>
                                  <a:tailEnd type="none" w="lg" len="lg"/>
                                </a:ln>
                                <a:effectLst/>
                              </wps:spPr>
                              <wps:bodyPr/>
                            </wps:wsp>
                            <wps:wsp>
                              <wps:cNvPr id="54" name="矩形 25"/>
                              <wps:cNvSpPr/>
                              <wps:spPr>
                                <a:xfrm>
                                  <a:off x="6531" y="7214"/>
                                  <a:ext cx="454" cy="454"/>
                                </a:xfrm>
                                <a:prstGeom prst="rect">
                                  <a:avLst/>
                                </a:prstGeom>
                                <a:noFill/>
                                <a:ln w="9525" cap="flat" cmpd="sng" algn="ctr">
                                  <a:solidFill>
                                    <a:srgbClr val="000000"/>
                                  </a:solidFill>
                                  <a:prstDash val="solid"/>
                                </a:ln>
                                <a:effectLst/>
                              </wps:spPr>
                              <wps:bodyPr rtlCol="0" anchor="ctr" anchorCtr="0"/>
                            </wps:wsp>
                          </wpg:wgp>
                        </a:graphicData>
                      </a:graphic>
                    </wp:anchor>
                  </w:drawing>
                </mc:Choice>
                <mc:Fallback>
                  <w:pict>
                    <v:group id="_x0000_s1026" o:spid="_x0000_s1026" o:spt="203" style="position:absolute;left:0pt;margin-left:39.65pt;margin-top:3.2pt;height:22.75pt;width:22.7pt;z-index:251679744;mso-width-relative:page;mso-height-relative:page;" coordorigin="6531,7213" coordsize="454,455" o:gfxdata="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DDq/tvXAAAABwEAAA8AAAAAAAAAAQAgAAAAIgAAAGRycy9k&#10;b3ducmV2LnhtbFBLAQIUABQAAAAIAIdO4kDms6Zj5wIAACoHAAAOAAAAAAAAAAEAIAAAACYBAABk&#10;cnMvZTJvRG9jLnhtbFBLBQYAAAAABgAGAFkBAAB/BgAAAAA=&#10;">
                      <o:lock v:ext="edit" aspectratio="f"/>
                      <v:line id="直接连接符 24" o:spid="_x0000_s1026" o:spt="20" style="position:absolute;left:6531;top:7213;flip:x;height:455;width:455;" filled="f" stroked="t" coordsize="21600,21600" o:gfxdata="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tEKC&#10;wAAAANsAAAAPAAAAAAAAAAEAIAAAACIAAABkcnMvZG93bnJldi54bWxQSwECFAAUAAAACACHTuJA&#10;My8FnjsAAAA5AAAAEAAAAAAAAAABACAAAAAPAQAAZHJzL3NoYXBleG1sLnhtbFBLBQYAAAAABgAG&#10;AFsBAAC5AwAAAAA=&#10;">
                        <v:fill on="f" focussize="0,0"/>
                        <v:stroke color="#000000" joinstyle="round" endarrowwidth="wide" endarrowlength="long"/>
                        <v:imagedata o:title=""/>
                        <o:lock v:ext="edit" aspectratio="f"/>
                      </v:line>
                      <v:rect id="矩形 25" o:spid="_x0000_s1026" o:spt="1" style="position:absolute;left:6531;top:7214;height:454;width:454;v-text-anchor:middle;" filled="f" stroked="t" coordsize="21600,21600" o:gfxdata="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Owv5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rect>
                    </v:group>
                  </w:pict>
                </mc:Fallback>
              </mc:AlternateContent>
            </w:r>
          </w:p>
        </w:tc>
      </w:tr>
      <w:tr w14:paraId="0E3E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14:paraId="223B3705">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建筑裂缝</w:t>
            </w:r>
          </w:p>
        </w:tc>
        <w:tc>
          <w:tcPr>
            <w:tcW w:w="1223" w:type="pct"/>
            <w:noWrap w:val="0"/>
            <w:vAlign w:val="center"/>
          </w:tcPr>
          <w:p w14:paraId="79FE2849">
            <w:pPr>
              <w:widowControl/>
              <w:jc w:val="center"/>
              <w:rPr>
                <w:rFonts w:hint="eastAsia" w:ascii="Times New Roman" w:hAnsi="Times New Roman" w:cs="Times New Roman" w:eastAsiaTheme="minorEastAsia"/>
                <w:color w:val="000000"/>
                <w:szCs w:val="21"/>
                <w:highlight w:val="none"/>
                <w:lang w:val="en-US" w:eastAsia="zh-CN"/>
              </w:rPr>
            </w:pPr>
            <w:r>
              <w:rPr>
                <w:rFonts w:hint="default" w:ascii="Times New Roman" w:hAnsi="Times New Roman" w:cs="Times New Roman"/>
                <w:color w:val="000000"/>
                <w:szCs w:val="21"/>
                <w:highlight w:val="none"/>
              </w:rPr>
              <w:t>Z</w:t>
            </w:r>
            <w:r>
              <w:rPr>
                <w:rFonts w:ascii="Times New Roman" w:hAnsi="Times New Roman" w:cs="Times New Roman"/>
                <w:color w:val="000000"/>
                <w:szCs w:val="21"/>
                <w:highlight w:val="none"/>
              </w:rPr>
              <w:t>J</w:t>
            </w:r>
            <w:r>
              <w:rPr>
                <w:rFonts w:hint="eastAsia" w:ascii="Times New Roman" w:hAnsi="Times New Roman" w:cs="Times New Roman"/>
                <w:color w:val="000000"/>
                <w:szCs w:val="21"/>
                <w:highlight w:val="none"/>
                <w:lang w:val="en-US" w:eastAsia="zh-CN"/>
              </w:rPr>
              <w:t>L</w:t>
            </w:r>
          </w:p>
        </w:tc>
        <w:tc>
          <w:tcPr>
            <w:tcW w:w="1292" w:type="pct"/>
            <w:tcBorders>
              <w:right w:val="single" w:color="auto" w:sz="12" w:space="0"/>
            </w:tcBorders>
            <w:noWrap w:val="0"/>
            <w:vAlign w:val="center"/>
          </w:tcPr>
          <w:p w14:paraId="0115F3E2">
            <w:pPr>
              <w:widowControl/>
              <w:spacing w:line="680" w:lineRule="exact"/>
              <w:jc w:val="center"/>
              <w:rPr>
                <w:rFonts w:ascii="Times New Roman" w:hAnsi="Times New Roman" w:cs="Times New Roman"/>
                <w:highlight w:val="none"/>
              </w:rPr>
            </w:pPr>
            <w:r>
              <w:rPr>
                <w:rFonts w:ascii="Times New Roman" w:hAnsi="Times New Roman" w:cs="Times New Roman"/>
                <w:highlight w:val="none"/>
              </w:rPr>
              <mc:AlternateContent>
                <mc:Choice Requires="wpg">
                  <w:drawing>
                    <wp:anchor distT="0" distB="0" distL="114300" distR="114300" simplePos="0" relativeHeight="251685888" behindDoc="0" locked="0" layoutInCell="1" allowOverlap="1">
                      <wp:simplePos x="0" y="0"/>
                      <wp:positionH relativeFrom="column">
                        <wp:posOffset>502285</wp:posOffset>
                      </wp:positionH>
                      <wp:positionV relativeFrom="paragraph">
                        <wp:posOffset>51435</wp:posOffset>
                      </wp:positionV>
                      <wp:extent cx="288290" cy="288290"/>
                      <wp:effectExtent l="4445" t="4445" r="12065" b="12065"/>
                      <wp:wrapNone/>
                      <wp:docPr id="118" name="组合 17"/>
                      <wp:cNvGraphicFramePr/>
                      <a:graphic xmlns:a="http://schemas.openxmlformats.org/drawingml/2006/main">
                        <a:graphicData uri="http://schemas.microsoft.com/office/word/2010/wordprocessingGroup">
                          <wpg:wgp>
                            <wpg:cNvGrpSpPr/>
                            <wpg:grpSpPr>
                              <a:xfrm>
                                <a:off x="0" y="0"/>
                                <a:ext cx="288290" cy="288290"/>
                                <a:chOff x="11509" y="3926"/>
                                <a:chExt cx="454" cy="454"/>
                              </a:xfrm>
                            </wpg:grpSpPr>
                            <wps:wsp>
                              <wps:cNvPr id="119" name="矩形 3"/>
                              <wps:cNvSpPr/>
                              <wps:spPr>
                                <a:xfrm>
                                  <a:off x="11509" y="3926"/>
                                  <a:ext cx="455" cy="45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20" name="组合 7"/>
                              <wpg:cNvGrpSpPr/>
                              <wpg:grpSpPr>
                                <a:xfrm>
                                  <a:off x="11625" y="3926"/>
                                  <a:ext cx="224" cy="454"/>
                                  <a:chOff x="11567" y="3926"/>
                                  <a:chExt cx="340" cy="454"/>
                                </a:xfrm>
                              </wpg:grpSpPr>
                              <wps:wsp>
                                <wps:cNvPr id="121" name="直接连接符 4"/>
                                <wps:cNvCnPr>
                                  <a:stCxn id="4" idx="0"/>
                                </wps:cNvCnPr>
                                <wps:spPr>
                                  <a:xfrm flipH="1">
                                    <a:off x="11567" y="3926"/>
                                    <a:ext cx="170" cy="16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接连接符 5"/>
                                <wps:cNvCnPr/>
                                <wps:spPr>
                                  <a:xfrm>
                                    <a:off x="11567" y="4097"/>
                                    <a:ext cx="340" cy="11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接连接符 6"/>
                                <wps:cNvCnPr>
                                  <a:endCxn id="4" idx="2"/>
                                </wps:cNvCnPr>
                                <wps:spPr>
                                  <a:xfrm flipH="1">
                                    <a:off x="11737" y="4210"/>
                                    <a:ext cx="157" cy="17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组合 17" o:spid="_x0000_s1026" o:spt="203" style="position:absolute;left:0pt;margin-left:39.55pt;margin-top:4.05pt;height:22.7pt;width:22.7pt;z-index:251685888;mso-width-relative:page;mso-height-relative:page;" coordorigin="11509,3926" coordsize="454,454" o:gfxdata="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ATCIJn1wAAAAcBAAAPAAAAAAAAAAEAIAAAACIAAABkcnMvZG93bnJldi54bWxQSwEC&#10;FAAUAAAACACHTuJAxOb7/ksDAAAYDAAADgAAAAAAAAABACAAAAAmAQAAZHJzL2Uyb0RvYy54bWxQ&#10;SwUGAAAAAAYABgBZAQAA4wYAAAAA&#10;">
                      <o:lock v:ext="edit" aspectratio="f"/>
                      <v:rect id="矩形 3" o:spid="_x0000_s1026" o:spt="1" style="position:absolute;left:11509;top:3926;height:455;width:455;v-text-anchor:middle;" filled="f" stroked="t" coordsize="21600,21600" o:gfxdata="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upT4vQAA&#10;ANwAAAAPAAAAAAAAAAEAIAAAACIAAABkcnMvZG93bnJldi54bWxQSwECFAAUAAAACACHTuJAMy8F&#10;njsAAAA5AAAAEAAAAAAAAAABACAAAAAMAQAAZHJzL3NoYXBleG1sLnhtbFBLBQYAAAAABgAGAFsB&#10;AAC2AwAAAAA=&#10;">
                        <v:fill on="f" focussize="0,0"/>
                        <v:stroke color="#000000 [3213]" miterlimit="8" joinstyle="miter"/>
                        <v:imagedata o:title=""/>
                        <o:lock v:ext="edit" aspectratio="f"/>
                      </v:rect>
                      <v:group id="组合 7" o:spid="_x0000_s1026" o:spt="203" style="position:absolute;left:11625;top:3926;height:454;width:224;" coordorigin="11567,3926" coordsize="340,454"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line id="直接连接符 4" o:spid="_x0000_s1026" o:spt="20" style="position:absolute;left:11567;top:3926;flip:x;height:169;width:170;" filled="f" stroked="t" coordsize="21600,21600" o:gfxdata="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VmJ/vQAA&#10;ANwAAAAPAAAAAAAAAAEAIAAAACIAAABkcnMvZG93bnJldi54bWxQSwECFAAUAAAACACHTuJAMy8F&#10;njsAAAA5AAAAEAAAAAAAAAABACAAAAAMAQAAZHJzL3NoYXBleG1sLnhtbFBLBQYAAAAABgAGAFsB&#10;AAC2AwAAAAA=&#10;">
                          <v:fill on="f" focussize="0,0"/>
                          <v:stroke color="#000000 [3213]" miterlimit="8" joinstyle="miter"/>
                          <v:imagedata o:title=""/>
                          <o:lock v:ext="edit" aspectratio="f"/>
                        </v:line>
                        <v:line id="直接连接符 5" o:spid="_x0000_s1026" o:spt="20" style="position:absolute;left:11567;top:4097;height:113;width:340;" filled="f" stroked="t" coordsize="21600,21600" o:gfxdata="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23AtvQAA&#10;ANoAAAAPAAAAAAAAAAEAIAAAACIAAABkcnMvZG93bnJldi54bWxQSwECFAAUAAAACACHTuJAMy8F&#10;njsAAAA5AAAAEAAAAAAAAAABACAAAAAMAQAAZHJzL3NoYXBleG1sLnhtbFBLBQYAAAAABgAGAFsB&#10;AAC2AwAAAAA=&#10;">
                          <v:fill on="f" focussize="0,0"/>
                          <v:stroke color="#000000 [3213]" miterlimit="8" joinstyle="miter"/>
                          <v:imagedata o:title=""/>
                          <o:lock v:ext="edit" aspectratio="f"/>
                        </v:line>
                        <v:line id="直接连接符 6" o:spid="_x0000_s1026" o:spt="20" style="position:absolute;left:11737;top:4210;flip:x;height:171;width:157;" filled="f" stroked="t" coordsize="21600,21600" o:gfxdata="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1zwyvQAA&#10;ANoAAAAPAAAAAAAAAAEAIAAAACIAAABkcnMvZG93bnJldi54bWxQSwECFAAUAAAACACHTuJAMy8F&#10;njsAAAA5AAAAEAAAAAAAAAABACAAAAAMAQAAZHJzL3NoYXBleG1sLnhtbFBLBQYAAAAABgAGAFsB&#10;AAC2AwAAAAA=&#10;">
                          <v:fill on="f" focussize="0,0"/>
                          <v:stroke color="#000000 [3213]" miterlimit="8" joinstyle="miter"/>
                          <v:imagedata o:title=""/>
                          <o:lock v:ext="edit" aspectratio="f"/>
                        </v:line>
                      </v:group>
                    </v:group>
                  </w:pict>
                </mc:Fallback>
              </mc:AlternateContent>
            </w:r>
          </w:p>
        </w:tc>
      </w:tr>
      <w:tr w14:paraId="4003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14:paraId="1FC662FE">
            <w:pPr>
              <w:spacing w:line="312" w:lineRule="auto"/>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道路及管线竖向位移</w:t>
            </w:r>
          </w:p>
        </w:tc>
        <w:tc>
          <w:tcPr>
            <w:tcW w:w="1223" w:type="pct"/>
            <w:noWrap w:val="0"/>
            <w:vAlign w:val="center"/>
          </w:tcPr>
          <w:p w14:paraId="3A773485">
            <w:pPr>
              <w:widowControl/>
              <w:jc w:val="center"/>
              <w:rPr>
                <w:rFonts w:hint="default" w:ascii="Times New Roman" w:hAnsi="Times New Roman" w:cs="Times New Roman"/>
                <w:color w:val="000000"/>
                <w:szCs w:val="21"/>
                <w:highlight w:val="none"/>
              </w:rPr>
            </w:pPr>
            <w:r>
              <w:rPr>
                <w:rFonts w:ascii="Times New Roman" w:hAnsi="Times New Roman" w:cs="Times New Roman"/>
                <w:color w:val="000000"/>
                <w:szCs w:val="21"/>
                <w:highlight w:val="none"/>
              </w:rPr>
              <w:t>GXC</w:t>
            </w:r>
          </w:p>
        </w:tc>
        <w:tc>
          <w:tcPr>
            <w:tcW w:w="1292" w:type="pct"/>
            <w:tcBorders>
              <w:right w:val="single" w:color="auto" w:sz="12" w:space="0"/>
            </w:tcBorders>
            <w:noWrap w:val="0"/>
            <w:vAlign w:val="center"/>
          </w:tcPr>
          <w:p w14:paraId="5FA9E0A6">
            <w:pPr>
              <w:widowControl/>
              <w:spacing w:line="500" w:lineRule="exact"/>
              <w:jc w:val="center"/>
              <w:rPr>
                <w:rFonts w:hint="default" w:ascii="Times New Roman" w:hAnsi="Times New Roman" w:cs="Times New Roman"/>
                <w:color w:val="000000"/>
                <w:highlight w:val="none"/>
              </w:rPr>
            </w:pPr>
            <w:r>
              <w:rPr>
                <w:rFonts w:ascii="Times New Roman" w:hAnsi="Times New Roman" w:cs="Times New Roman"/>
                <w:highlight w:val="none"/>
              </w:rPr>
              <mc:AlternateContent>
                <mc:Choice Requires="wpg">
                  <w:drawing>
                    <wp:anchor distT="0" distB="0" distL="114300" distR="114300" simplePos="0" relativeHeight="251680768" behindDoc="0" locked="0" layoutInCell="1" allowOverlap="1">
                      <wp:simplePos x="0" y="0"/>
                      <wp:positionH relativeFrom="column">
                        <wp:posOffset>508000</wp:posOffset>
                      </wp:positionH>
                      <wp:positionV relativeFrom="paragraph">
                        <wp:posOffset>47625</wp:posOffset>
                      </wp:positionV>
                      <wp:extent cx="288290" cy="288290"/>
                      <wp:effectExtent l="4445" t="4445" r="12065" b="12065"/>
                      <wp:wrapNone/>
                      <wp:docPr id="62" name="组合 62"/>
                      <wp:cNvGraphicFramePr/>
                      <a:graphic xmlns:a="http://schemas.openxmlformats.org/drawingml/2006/main">
                        <a:graphicData uri="http://schemas.microsoft.com/office/word/2010/wordprocessingGroup">
                          <wpg:wgp>
                            <wpg:cNvGrpSpPr/>
                            <wpg:grpSpPr>
                              <a:xfrm>
                                <a:off x="5436235" y="3141345"/>
                                <a:ext cx="288290" cy="288290"/>
                                <a:chOff x="8561" y="4947"/>
                                <a:chExt cx="454" cy="454"/>
                              </a:xfrm>
                              <a:effectLst/>
                            </wpg:grpSpPr>
                            <wps:wsp>
                              <wps:cNvPr id="63" name="直接连接符 32"/>
                              <wps:cNvCnPr/>
                              <wps:spPr>
                                <a:xfrm flipH="1">
                                  <a:off x="8675" y="4953"/>
                                  <a:ext cx="1" cy="448"/>
                                </a:xfrm>
                                <a:prstGeom prst="line">
                                  <a:avLst/>
                                </a:prstGeom>
                                <a:ln w="9525" cap="flat" cmpd="sng">
                                  <a:solidFill>
                                    <a:srgbClr val="000000"/>
                                  </a:solidFill>
                                  <a:prstDash val="solid"/>
                                  <a:headEnd type="none" w="med" len="med"/>
                                  <a:tailEnd type="stealth" w="lg" len="lg"/>
                                </a:ln>
                                <a:effectLst/>
                              </wps:spPr>
                              <wps:bodyPr/>
                            </wps:wsp>
                            <wps:wsp>
                              <wps:cNvPr id="64" name="矩形 33"/>
                              <wps:cNvSpPr/>
                              <wps:spPr>
                                <a:xfrm>
                                  <a:off x="8561" y="4947"/>
                                  <a:ext cx="454" cy="454"/>
                                </a:xfrm>
                                <a:prstGeom prst="rect">
                                  <a:avLst/>
                                </a:prstGeom>
                                <a:noFill/>
                                <a:ln w="9525" cap="flat" cmpd="sng" algn="ctr">
                                  <a:solidFill>
                                    <a:srgbClr val="000000"/>
                                  </a:solidFill>
                                  <a:prstDash val="solid"/>
                                </a:ln>
                                <a:effectLst/>
                              </wps:spPr>
                              <wps:bodyPr rtlCol="0" anchor="ctr" anchorCtr="0"/>
                            </wps:wsp>
                            <wps:wsp>
                              <wps:cNvPr id="65" name="直接连接符 34"/>
                              <wps:cNvCnPr/>
                              <wps:spPr>
                                <a:xfrm flipH="1">
                                  <a:off x="8901" y="4953"/>
                                  <a:ext cx="1" cy="448"/>
                                </a:xfrm>
                                <a:prstGeom prst="line">
                                  <a:avLst/>
                                </a:prstGeom>
                                <a:ln w="9525" cap="flat" cmpd="sng">
                                  <a:solidFill>
                                    <a:srgbClr val="000000"/>
                                  </a:solidFill>
                                  <a:prstDash val="solid"/>
                                  <a:headEnd type="none" w="med" len="med"/>
                                  <a:tailEnd type="stealth" w="lg" len="lg"/>
                                </a:ln>
                                <a:effectLst/>
                              </wps:spPr>
                              <wps:bodyPr/>
                            </wps:wsp>
                          </wpg:wgp>
                        </a:graphicData>
                      </a:graphic>
                    </wp:anchor>
                  </w:drawing>
                </mc:Choice>
                <mc:Fallback>
                  <w:pict>
                    <v:group id="_x0000_s1026" o:spid="_x0000_s1026" o:spt="203" style="position:absolute;left:0pt;margin-left:40pt;margin-top:3.75pt;height:22.7pt;width:22.7pt;z-index:251680768;mso-width-relative:page;mso-height-relative:page;" coordorigin="8561,4947" coordsize="454,454" o:gfxdata="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FHWPHrYAAAABwEAAA8AAAAAAAAAAQAgAAAAIgAAAGRycy9kb3ducmV2LnhtbFBLAQIUABQA&#10;AAAIAIdO4kBsTP17DQMAAEIJAAAOAAAAAAAAAAEAIAAAACcBAABkcnMvZTJvRG9jLnhtbFBLBQYA&#10;AAAABgAGAFkBAACmBgAAAAA=&#10;">
                      <o:lock v:ext="edit" aspectratio="f"/>
                      <v:line id="直接连接符 32" o:spid="_x0000_s1026" o:spt="20" style="position:absolute;left:8675;top:4953;flip:x;height:448;width:1;" filled="f" stroked="t" coordsize="21600,21600" o:gfxdata="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TGaK8AAAA&#10;2wAAAA8AAAAAAAAAAQAgAAAAIgAAAGRycy9kb3ducmV2LnhtbFBLAQIUABQAAAAIAIdO4kAzLwWe&#10;OwAAADkAAAAQAAAAAAAAAAEAIAAAAAsBAABkcnMvc2hhcGV4bWwueG1sUEsFBgAAAAAGAAYAWwEA&#10;ALUDAAAAAA==&#10;">
                        <v:fill on="f" focussize="0,0"/>
                        <v:stroke color="#000000" joinstyle="round" endarrow="classic" endarrowwidth="wide" endarrowlength="long"/>
                        <v:imagedata o:title=""/>
                        <o:lock v:ext="edit" aspectratio="f"/>
                      </v:line>
                      <v:rect id="矩形 33" o:spid="_x0000_s1026" o:spt="1" style="position:absolute;left:8561;top:4947;height:454;width:454;v-text-anchor:middle;" filled="f" stroked="t" coordsize="21600,21600" o:gfxdata="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A5Vu/&#10;AAAA2wAAAA8AAAAAAAAAAQAgAAAAIgAAAGRycy9kb3ducmV2LnhtbFBLAQIUABQAAAAIAIdO4kAz&#10;LwWeOwAAADkAAAAQAAAAAAAAAAEAIAAAAA4BAABkcnMvc2hhcGV4bWwueG1sUEsFBgAAAAAGAAYA&#10;WwEAALgDAAAAAA==&#10;">
                        <v:fill on="f" focussize="0,0"/>
                        <v:stroke color="#000000" joinstyle="round"/>
                        <v:imagedata o:title=""/>
                        <o:lock v:ext="edit" aspectratio="f"/>
                      </v:rect>
                      <v:line id="直接连接符 34" o:spid="_x0000_s1026" o:spt="20" style="position:absolute;left:8901;top:4953;flip:x;height:448;width:1;" filled="f" stroked="t" coordsize="21600,21600" o:gfxdata="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2JE28AAAA&#10;2wAAAA8AAAAAAAAAAQAgAAAAIgAAAGRycy9kb3ducmV2LnhtbFBLAQIUABQAAAAIAIdO4kAzLwWe&#10;OwAAADkAAAAQAAAAAAAAAAEAIAAAAAsBAABkcnMvc2hhcGV4bWwueG1sUEsFBgAAAAAGAAYAWwEA&#10;ALUDAAAAAA==&#10;">
                        <v:fill on="f" focussize="0,0"/>
                        <v:stroke color="#000000" joinstyle="round" endarrow="classic" endarrowwidth="wide" endarrowlength="long"/>
                        <v:imagedata o:title=""/>
                        <o:lock v:ext="edit" aspectratio="f"/>
                      </v:line>
                    </v:group>
                  </w:pict>
                </mc:Fallback>
              </mc:AlternateContent>
            </w:r>
          </w:p>
        </w:tc>
      </w:tr>
      <w:tr w14:paraId="4839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14:paraId="7C1F8A6E">
            <w:pPr>
              <w:spacing w:line="312" w:lineRule="auto"/>
              <w:jc w:val="center"/>
              <w:rPr>
                <w:rFonts w:hint="default" w:ascii="Times New Roman" w:hAnsi="Times New Roman" w:cs="Times New Roman"/>
                <w:color w:val="000000"/>
                <w:szCs w:val="21"/>
                <w:highlight w:val="none"/>
              </w:rPr>
            </w:pPr>
            <w:r>
              <w:rPr>
                <w:rFonts w:hint="eastAsia" w:ascii="Times New Roman" w:hAnsi="Times New Roman" w:cs="Times New Roman"/>
                <w:highlight w:val="none"/>
                <w:vertAlign w:val="baseline"/>
                <w:lang w:val="en-US" w:eastAsia="zh-CN"/>
              </w:rPr>
              <w:t>坡顶水平位移</w:t>
            </w:r>
          </w:p>
        </w:tc>
        <w:tc>
          <w:tcPr>
            <w:tcW w:w="1223" w:type="pct"/>
            <w:noWrap w:val="0"/>
            <w:vAlign w:val="center"/>
          </w:tcPr>
          <w:p w14:paraId="6B48463F">
            <w:pPr>
              <w:widowControl/>
              <w:jc w:val="center"/>
              <w:rPr>
                <w:rFonts w:hint="default" w:ascii="Times New Roman" w:hAnsi="Times New Roman" w:cs="Times New Roman" w:eastAsiaTheme="minorEastAsia"/>
                <w:color w:val="000000"/>
                <w:szCs w:val="21"/>
                <w:highlight w:val="none"/>
                <w:lang w:val="en-US" w:eastAsia="zh-CN"/>
              </w:rPr>
            </w:pPr>
            <w:r>
              <w:rPr>
                <w:rFonts w:hint="eastAsia" w:ascii="Times New Roman" w:hAnsi="Times New Roman" w:cs="Times New Roman"/>
                <w:color w:val="000000"/>
                <w:szCs w:val="21"/>
                <w:highlight w:val="none"/>
                <w:lang w:val="en-US" w:eastAsia="zh-CN"/>
              </w:rPr>
              <w:t>PDS</w:t>
            </w:r>
          </w:p>
        </w:tc>
        <w:tc>
          <w:tcPr>
            <w:tcW w:w="1292" w:type="pct"/>
            <w:tcBorders>
              <w:right w:val="single" w:color="auto" w:sz="12" w:space="0"/>
            </w:tcBorders>
            <w:noWrap w:val="0"/>
            <w:vAlign w:val="center"/>
          </w:tcPr>
          <w:p w14:paraId="33B441AE">
            <w:pPr>
              <w:widowControl/>
              <w:spacing w:line="500" w:lineRule="exact"/>
              <w:jc w:val="center"/>
              <w:rPr>
                <w:rFonts w:ascii="Times New Roman" w:hAnsi="Times New Roman" w:cs="Times New Roman"/>
                <w:highlight w:val="none"/>
              </w:rPr>
            </w:pPr>
            <w:r>
              <w:rPr>
                <w:rFonts w:ascii="Times New Roman" w:hAnsi="Times New Roman" w:cs="Times New Roman"/>
                <w:highlight w:val="none"/>
              </w:rPr>
              <mc:AlternateContent>
                <mc:Choice Requires="wps">
                  <w:drawing>
                    <wp:anchor distT="0" distB="0" distL="114300" distR="114300" simplePos="0" relativeHeight="251684864" behindDoc="0" locked="0" layoutInCell="1" allowOverlap="1">
                      <wp:simplePos x="0" y="0"/>
                      <wp:positionH relativeFrom="column">
                        <wp:posOffset>553720</wp:posOffset>
                      </wp:positionH>
                      <wp:positionV relativeFrom="paragraph">
                        <wp:posOffset>94615</wp:posOffset>
                      </wp:positionV>
                      <wp:extent cx="215900" cy="215900"/>
                      <wp:effectExtent l="12700" t="12700" r="19050" b="19050"/>
                      <wp:wrapNone/>
                      <wp:docPr id="117" name="流程图: 合并 117"/>
                      <wp:cNvGraphicFramePr/>
                      <a:graphic xmlns:a="http://schemas.openxmlformats.org/drawingml/2006/main">
                        <a:graphicData uri="http://schemas.microsoft.com/office/word/2010/wordprocessingShape">
                          <wps:wsp>
                            <wps:cNvSpPr/>
                            <wps:spPr>
                              <a:xfrm rot="5400000">
                                <a:off x="0" y="0"/>
                                <a:ext cx="215900" cy="215900"/>
                              </a:xfrm>
                              <a:prstGeom prst="flowChartMerge">
                                <a:avLst/>
                              </a:prstGeom>
                              <a:solidFill>
                                <a:srgbClr val="000000"/>
                              </a:solidFill>
                              <a:ln w="25400" cap="flat" cmpd="sng" algn="ctr">
                                <a:solidFill>
                                  <a:srgbClr val="000000"/>
                                </a:solidFill>
                                <a:prstDash val="solid"/>
                              </a:ln>
                              <a:effectLst/>
                            </wps:spPr>
                            <wps:bodyPr rtlCol="0" anchor="ctr" anchorCtr="0"/>
                          </wps:wsp>
                        </a:graphicData>
                      </a:graphic>
                    </wp:anchor>
                  </w:drawing>
                </mc:Choice>
                <mc:Fallback>
                  <w:pict>
                    <v:shape id="_x0000_s1026" o:spid="_x0000_s1026" o:spt="128" type="#_x0000_t128" style="position:absolute;left:0pt;margin-left:43.6pt;margin-top:7.45pt;height:17pt;width:17pt;rotation:5898240f;z-index:251684864;v-text-anchor:middle;mso-width-relative:page;mso-height-relative:page;" fillcolor="#000000" filled="t" stroked="t" coordsize="21600,21600" o:gfxdata="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sf9KbVAAAACAEAAA8AAAAAAAAAAQAgAAAAIgAAAGRy&#10;cy9kb3ducmV2LnhtbFBLAQIUABQAAAAIAIdO4kBcSCK+CAIAABoEAAAOAAAAAAAAAAEAIAAAACQB&#10;AABkcnMvZTJvRG9jLnhtbFBLBQYAAAAABgAGAFkBAACeBQAAAAA=&#10;">
                      <v:fill on="t" focussize="0,0"/>
                      <v:stroke weight="2pt" color="#000000" joinstyle="round"/>
                      <v:imagedata o:title=""/>
                      <o:lock v:ext="edit" aspectratio="f"/>
                    </v:shape>
                  </w:pict>
                </mc:Fallback>
              </mc:AlternateContent>
            </w:r>
          </w:p>
        </w:tc>
      </w:tr>
      <w:tr w14:paraId="3894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14:paraId="76BDCB74">
            <w:pPr>
              <w:widowControl/>
              <w:jc w:val="center"/>
              <w:rPr>
                <w:rFonts w:ascii="Times New Roman" w:hAnsi="Times New Roman" w:cs="Times New Roman"/>
                <w:color w:val="000000"/>
                <w:szCs w:val="21"/>
                <w:highlight w:val="none"/>
              </w:rPr>
            </w:pPr>
            <w:r>
              <w:rPr>
                <w:rFonts w:hint="eastAsia" w:ascii="Times New Roman" w:hAnsi="Times New Roman" w:cs="Times New Roman"/>
                <w:highlight w:val="none"/>
                <w:vertAlign w:val="baseline"/>
                <w:lang w:val="en-US" w:eastAsia="zh-CN"/>
              </w:rPr>
              <w:t>坡顶竖向位移</w:t>
            </w:r>
          </w:p>
        </w:tc>
        <w:tc>
          <w:tcPr>
            <w:tcW w:w="1223" w:type="pct"/>
            <w:noWrap w:val="0"/>
            <w:vAlign w:val="center"/>
          </w:tcPr>
          <w:p w14:paraId="00E880BD">
            <w:pPr>
              <w:widowControl/>
              <w:jc w:val="center"/>
              <w:rPr>
                <w:rFonts w:hint="default" w:ascii="Times New Roman" w:hAnsi="Times New Roman" w:cs="Times New Roman" w:eastAsiaTheme="minorEastAsia"/>
                <w:color w:val="000000"/>
                <w:szCs w:val="21"/>
                <w:highlight w:val="none"/>
                <w:lang w:val="en-US" w:eastAsia="zh-CN"/>
              </w:rPr>
            </w:pPr>
            <w:r>
              <w:rPr>
                <w:rFonts w:hint="eastAsia" w:ascii="Times New Roman" w:hAnsi="Times New Roman" w:cs="Times New Roman"/>
                <w:color w:val="000000"/>
                <w:szCs w:val="21"/>
                <w:highlight w:val="none"/>
                <w:lang w:val="en-US" w:eastAsia="zh-CN"/>
              </w:rPr>
              <w:t>PDS</w:t>
            </w:r>
          </w:p>
        </w:tc>
        <w:tc>
          <w:tcPr>
            <w:tcW w:w="1292" w:type="pct"/>
            <w:tcBorders>
              <w:right w:val="single" w:color="auto" w:sz="12" w:space="0"/>
            </w:tcBorders>
            <w:noWrap w:val="0"/>
            <w:vAlign w:val="center"/>
          </w:tcPr>
          <w:p w14:paraId="32DD8B1C">
            <w:pPr>
              <w:widowControl/>
              <w:spacing w:line="500" w:lineRule="exact"/>
              <w:jc w:val="center"/>
              <w:rPr>
                <w:rFonts w:hint="default" w:ascii="Times New Roman" w:hAnsi="Times New Roman" w:cs="Times New Roman"/>
                <w:color w:val="000000"/>
                <w:highlight w:val="none"/>
              </w:rPr>
            </w:pPr>
            <w:r>
              <w:rPr>
                <w:rFonts w:ascii="Times New Roman" w:hAnsi="Times New Roman" w:cs="Times New Roman"/>
                <w:highlight w:val="none"/>
              </w:rPr>
              <mc:AlternateContent>
                <mc:Choice Requires="wps">
                  <w:drawing>
                    <wp:anchor distT="0" distB="0" distL="114300" distR="114300" simplePos="0" relativeHeight="251683840" behindDoc="0" locked="0" layoutInCell="1" allowOverlap="1">
                      <wp:simplePos x="0" y="0"/>
                      <wp:positionH relativeFrom="column">
                        <wp:posOffset>564515</wp:posOffset>
                      </wp:positionH>
                      <wp:positionV relativeFrom="paragraph">
                        <wp:posOffset>99695</wp:posOffset>
                      </wp:positionV>
                      <wp:extent cx="215900" cy="215900"/>
                      <wp:effectExtent l="12700" t="12700" r="19050" b="19050"/>
                      <wp:wrapNone/>
                      <wp:docPr id="116" name="流程图: 合并 116"/>
                      <wp:cNvGraphicFramePr/>
                      <a:graphic xmlns:a="http://schemas.openxmlformats.org/drawingml/2006/main">
                        <a:graphicData uri="http://schemas.microsoft.com/office/word/2010/wordprocessingShape">
                          <wps:wsp>
                            <wps:cNvSpPr/>
                            <wps:spPr>
                              <a:xfrm>
                                <a:off x="0" y="0"/>
                                <a:ext cx="215900" cy="215900"/>
                              </a:xfrm>
                              <a:prstGeom prst="flowChartMerge">
                                <a:avLst/>
                              </a:prstGeom>
                              <a:solidFill>
                                <a:srgbClr val="000000"/>
                              </a:solidFill>
                              <a:ln w="25400" cap="flat" cmpd="sng" algn="ctr">
                                <a:solidFill>
                                  <a:srgbClr val="000000"/>
                                </a:solidFill>
                                <a:prstDash val="solid"/>
                              </a:ln>
                              <a:effectLst/>
                            </wps:spPr>
                            <wps:bodyPr rtlCol="0" anchor="ctr" anchorCtr="0"/>
                          </wps:wsp>
                        </a:graphicData>
                      </a:graphic>
                    </wp:anchor>
                  </w:drawing>
                </mc:Choice>
                <mc:Fallback>
                  <w:pict>
                    <v:shape id="_x0000_s1026" o:spid="_x0000_s1026" o:spt="128" type="#_x0000_t128" style="position:absolute;left:0pt;margin-left:44.45pt;margin-top:7.85pt;height:17pt;width:17pt;z-index:251683840;v-text-anchor:middle;mso-width-relative:page;mso-height-relative:page;" fillcolor="#000000" filled="t" stroked="t" coordsize="21600,21600" o:gfxdata="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ztRPdcAAAAIAQAADwAAAAAAAAABACAAAAAiAAAAZHJzL2Rvd25y&#10;ZXYueG1sUEsBAhQAFAAAAAgAh07iQEmo4Zb/AQAADAQAAA4AAAAAAAAAAQAgAAAAJgEAAGRycy9l&#10;Mm9Eb2MueG1sUEsFBgAAAAAGAAYAWQEAAJcFAAAAAA==&#10;">
                      <v:fill on="t" focussize="0,0"/>
                      <v:stroke weight="2pt" color="#000000" joinstyle="round"/>
                      <v:imagedata o:title=""/>
                      <o:lock v:ext="edit" aspectratio="f"/>
                    </v:shape>
                  </w:pict>
                </mc:Fallback>
              </mc:AlternateContent>
            </w:r>
          </w:p>
        </w:tc>
      </w:tr>
      <w:tr w14:paraId="48C7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14:paraId="6C3CF53A">
            <w:pPr>
              <w:spacing w:line="312" w:lineRule="auto"/>
              <w:jc w:val="center"/>
              <w:rPr>
                <w:rFonts w:ascii="Times New Roman" w:hAnsi="Times New Roman" w:cs="Times New Roman"/>
                <w:color w:val="000000"/>
                <w:szCs w:val="21"/>
                <w:highlight w:val="none"/>
              </w:rPr>
            </w:pPr>
            <w:r>
              <w:rPr>
                <w:rFonts w:hint="eastAsia" w:ascii="Times New Roman" w:hAnsi="Times New Roman" w:cs="Times New Roman"/>
                <w:highlight w:val="none"/>
                <w:vertAlign w:val="baseline"/>
                <w:lang w:val="en-US" w:eastAsia="zh-CN"/>
              </w:rPr>
              <w:t>地表裂缝</w:t>
            </w:r>
          </w:p>
        </w:tc>
        <w:tc>
          <w:tcPr>
            <w:tcW w:w="1223" w:type="pct"/>
            <w:noWrap w:val="0"/>
            <w:vAlign w:val="center"/>
          </w:tcPr>
          <w:p w14:paraId="555B1E72">
            <w:pPr>
              <w:widowControl/>
              <w:jc w:val="center"/>
              <w:rPr>
                <w:rFonts w:hint="default" w:ascii="Times New Roman" w:hAnsi="Times New Roman" w:cs="Times New Roman" w:eastAsiaTheme="minorEastAsia"/>
                <w:color w:val="000000"/>
                <w:szCs w:val="21"/>
                <w:highlight w:val="none"/>
                <w:lang w:val="en-US" w:eastAsia="zh-CN"/>
              </w:rPr>
            </w:pPr>
            <w:r>
              <w:rPr>
                <w:rFonts w:hint="eastAsia" w:ascii="Times New Roman" w:hAnsi="Times New Roman" w:cs="Times New Roman"/>
                <w:color w:val="000000"/>
                <w:szCs w:val="21"/>
                <w:highlight w:val="none"/>
                <w:lang w:val="en-US" w:eastAsia="zh-CN"/>
              </w:rPr>
              <w:t>DBL</w:t>
            </w:r>
          </w:p>
        </w:tc>
        <w:tc>
          <w:tcPr>
            <w:tcW w:w="1292" w:type="pct"/>
            <w:tcBorders>
              <w:right w:val="single" w:color="auto" w:sz="12" w:space="0"/>
            </w:tcBorders>
            <w:noWrap w:val="0"/>
            <w:vAlign w:val="center"/>
          </w:tcPr>
          <w:p w14:paraId="2984A874">
            <w:pPr>
              <w:widowControl/>
              <w:spacing w:line="500" w:lineRule="exact"/>
              <w:jc w:val="center"/>
              <w:rPr>
                <w:rFonts w:hint="default" w:ascii="Times New Roman" w:hAnsi="Times New Roman" w:cs="Times New Roman"/>
                <w:color w:val="000000"/>
                <w:highlight w:val="none"/>
              </w:rPr>
            </w:pPr>
            <w:r>
              <w:rPr>
                <w:rFonts w:ascii="Times New Roman" w:hAnsi="Times New Roman" w:cs="Times New Roman"/>
                <w:highlight w:val="none"/>
              </w:rPr>
              <mc:AlternateContent>
                <mc:Choice Requires="wpg">
                  <w:drawing>
                    <wp:anchor distT="0" distB="0" distL="114300" distR="114300" simplePos="0" relativeHeight="251686912" behindDoc="0" locked="0" layoutInCell="1" allowOverlap="1">
                      <wp:simplePos x="0" y="0"/>
                      <wp:positionH relativeFrom="column">
                        <wp:posOffset>524510</wp:posOffset>
                      </wp:positionH>
                      <wp:positionV relativeFrom="paragraph">
                        <wp:posOffset>46990</wp:posOffset>
                      </wp:positionV>
                      <wp:extent cx="280670" cy="288925"/>
                      <wp:effectExtent l="4445" t="2540" r="19685" b="13335"/>
                      <wp:wrapNone/>
                      <wp:docPr id="122" name="组合 16"/>
                      <wp:cNvGraphicFramePr/>
                      <a:graphic xmlns:a="http://schemas.openxmlformats.org/drawingml/2006/main">
                        <a:graphicData uri="http://schemas.microsoft.com/office/word/2010/wordprocessingGroup">
                          <wpg:wgp>
                            <wpg:cNvGrpSpPr/>
                            <wpg:grpSpPr>
                              <a:xfrm>
                                <a:off x="0" y="0"/>
                                <a:ext cx="280670" cy="288925"/>
                                <a:chOff x="11509" y="5031"/>
                                <a:chExt cx="442" cy="455"/>
                              </a:xfrm>
                            </wpg:grpSpPr>
                            <wpg:grpSp>
                              <wpg:cNvPr id="123" name="组合 8"/>
                              <wpg:cNvGrpSpPr/>
                              <wpg:grpSpPr>
                                <a:xfrm>
                                  <a:off x="11610" y="5031"/>
                                  <a:ext cx="224" cy="454"/>
                                  <a:chOff x="11567" y="3926"/>
                                  <a:chExt cx="340" cy="454"/>
                                </a:xfrm>
                              </wpg:grpSpPr>
                              <wps:wsp>
                                <wps:cNvPr id="124" name="直接连接符 9"/>
                                <wps:cNvCnPr/>
                                <wps:spPr>
                                  <a:xfrm flipH="1">
                                    <a:off x="11567" y="3926"/>
                                    <a:ext cx="170" cy="16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 name="直接连接符 10"/>
                                <wps:cNvCnPr/>
                                <wps:spPr>
                                  <a:xfrm>
                                    <a:off x="11567" y="4097"/>
                                    <a:ext cx="340" cy="11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接连接符 11"/>
                                <wps:cNvCnPr/>
                                <wps:spPr>
                                  <a:xfrm flipH="1">
                                    <a:off x="11737" y="4210"/>
                                    <a:ext cx="157" cy="17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 name="椭圆 7"/>
                              <wps:cNvSpPr/>
                              <wps:spPr>
                                <a:xfrm>
                                  <a:off x="11509" y="5034"/>
                                  <a:ext cx="443" cy="452"/>
                                </a:xfrm>
                                <a:prstGeom prst="ellipse">
                                  <a:avLst/>
                                </a:prstGeom>
                                <a:noFill/>
                                <a:ln w="9525" cap="flat" cmpd="sng">
                                  <a:solidFill>
                                    <a:srgbClr val="000000"/>
                                  </a:solidFill>
                                  <a:prstDash val="solid"/>
                                  <a:round/>
                                  <a:headEnd type="none" w="med" len="med"/>
                                  <a:tailEnd type="none" w="med" len="med"/>
                                </a:ln>
                              </wps:spPr>
                              <wps:bodyPr anchor="t" anchorCtr="0"/>
                            </wps:wsp>
                          </wpg:wgp>
                        </a:graphicData>
                      </a:graphic>
                    </wp:anchor>
                  </w:drawing>
                </mc:Choice>
                <mc:Fallback>
                  <w:pict>
                    <v:group id="组合 16" o:spid="_x0000_s1026" o:spt="203" style="position:absolute;left:0pt;margin-left:41.3pt;margin-top:3.7pt;height:22.75pt;width:22.1pt;z-index:251686912;mso-width-relative:page;mso-height-relative:page;" coordorigin="11509,5031" coordsize="442,455" o:gfxdata="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">
                      <o:lock v:ext="edit" aspectratio="f"/>
                      <v:group id="组合 8" o:spid="_x0000_s1026" o:spt="203" style="position:absolute;left:11610;top:5031;height:454;width:224;" coordorigin="11567,3926" coordsize="340,454"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line id="直接连接符 9" o:spid="_x0000_s1026" o:spt="20" style="position:absolute;left:11567;top:3926;flip:x;height:169;width:170;" filled="f" stroked="t" coordsize="21600,21600" o:gfxdata="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hwee8AAAA&#10;3AAAAA8AAAAAAAAAAQAgAAAAIgAAAGRycy9kb3ducmV2LnhtbFBLAQIUABQAAAAIAIdO4kAzLwWe&#10;OwAAADkAAAAQAAAAAAAAAAEAIAAAAAsBAABkcnMvc2hhcGV4bWwueG1sUEsFBgAAAAAGAAYAWwEA&#10;ALUDAAAAAA==&#10;">
                          <v:fill on="f" focussize="0,0"/>
                          <v:stroke color="#000000 [3213]" miterlimit="8" joinstyle="miter"/>
                          <v:imagedata o:title=""/>
                          <o:lock v:ext="edit" aspectratio="f"/>
                        </v:line>
                        <v:line id="直接连接符 10" o:spid="_x0000_s1026" o:spt="20" style="position:absolute;left:11567;top:4097;height:113;width:340;" filled="f" stroked="t" coordsize="21600,21600" o:gfxdata="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ZB85vQAA&#10;ANwAAAAPAAAAAAAAAAEAIAAAACIAAABkcnMvZG93bnJldi54bWxQSwECFAAUAAAACACHTuJAMy8F&#10;njsAAAA5AAAAEAAAAAAAAAABACAAAAAMAQAAZHJzL3NoYXBleG1sLnhtbFBLBQYAAAAABgAGAFsB&#10;AAC2AwAAAAA=&#10;">
                          <v:fill on="f" focussize="0,0"/>
                          <v:stroke color="#000000 [3213]" miterlimit="8" joinstyle="miter"/>
                          <v:imagedata o:title=""/>
                          <o:lock v:ext="edit" aspectratio="f"/>
                        </v:line>
                        <v:line id="直接连接符 11" o:spid="_x0000_s1026" o:spt="20" style="position:absolute;left:11737;top:4210;flip:x;height:171;width:157;" filled="f" stroked="t" coordsize="21600,21600" o:gfxdata="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8ufq8AAAA&#10;2wAAAA8AAAAAAAAAAQAgAAAAIgAAAGRycy9kb3ducmV2LnhtbFBLAQIUABQAAAAIAIdO4kAzLwWe&#10;OwAAADkAAAAQAAAAAAAAAAEAIAAAAAsBAABkcnMvc2hhcGV4bWwueG1sUEsFBgAAAAAGAAYAWwEA&#10;ALUDAAAAAA==&#10;">
                          <v:fill on="f" focussize="0,0"/>
                          <v:stroke color="#000000 [3213]" miterlimit="8" joinstyle="miter"/>
                          <v:imagedata o:title=""/>
                          <o:lock v:ext="edit" aspectratio="f"/>
                        </v:line>
                      </v:group>
                      <v:shape id="椭圆 7" o:spid="_x0000_s1026" o:spt="3" type="#_x0000_t3" style="position:absolute;left:11509;top:5034;height:452;width:443;" filled="f" stroked="t" coordsize="21600,21600" o:gfxdata="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qpMB+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group>
                  </w:pict>
                </mc:Fallback>
              </mc:AlternateContent>
            </w:r>
          </w:p>
        </w:tc>
      </w:tr>
      <w:tr w14:paraId="530A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14:paraId="642C77AE">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土体深层水平位移</w:t>
            </w:r>
          </w:p>
        </w:tc>
        <w:tc>
          <w:tcPr>
            <w:tcW w:w="1223" w:type="pct"/>
            <w:noWrap w:val="0"/>
            <w:vAlign w:val="center"/>
          </w:tcPr>
          <w:p w14:paraId="445B3776">
            <w:pPr>
              <w:widowControl/>
              <w:jc w:val="center"/>
              <w:rPr>
                <w:rFonts w:hint="default" w:ascii="Times New Roman" w:hAnsi="Times New Roman" w:cs="Times New Roman"/>
                <w:color w:val="000000"/>
                <w:szCs w:val="21"/>
                <w:highlight w:val="none"/>
              </w:rPr>
            </w:pPr>
            <w:r>
              <w:rPr>
                <w:rFonts w:ascii="Times New Roman" w:hAnsi="Times New Roman" w:cs="Times New Roman"/>
                <w:color w:val="000000"/>
                <w:szCs w:val="21"/>
                <w:highlight w:val="none"/>
              </w:rPr>
              <w:t>TTT</w:t>
            </w:r>
          </w:p>
        </w:tc>
        <w:tc>
          <w:tcPr>
            <w:tcW w:w="1292" w:type="pct"/>
            <w:tcBorders>
              <w:right w:val="single" w:color="auto" w:sz="12" w:space="0"/>
            </w:tcBorders>
            <w:noWrap w:val="0"/>
            <w:vAlign w:val="center"/>
          </w:tcPr>
          <w:p w14:paraId="6AEEF09E">
            <w:pPr>
              <w:widowControl/>
              <w:spacing w:line="680" w:lineRule="exact"/>
              <w:jc w:val="center"/>
              <w:rPr>
                <w:rFonts w:hint="default" w:ascii="Times New Roman" w:hAnsi="Times New Roman" w:cs="Times New Roman"/>
                <w:color w:val="000000"/>
                <w:highlight w:val="none"/>
              </w:rPr>
            </w:pPr>
            <w:r>
              <w:rPr>
                <w:rFonts w:ascii="Times New Roman" w:hAnsi="Times New Roman" w:cs="Times New Roman"/>
                <w:highlight w:val="none"/>
              </w:rPr>
              <mc:AlternateContent>
                <mc:Choice Requires="wpg">
                  <w:drawing>
                    <wp:anchor distT="0" distB="0" distL="114300" distR="114300" simplePos="0" relativeHeight="251681792" behindDoc="0" locked="0" layoutInCell="1" allowOverlap="1">
                      <wp:simplePos x="0" y="0"/>
                      <wp:positionH relativeFrom="column">
                        <wp:posOffset>511810</wp:posOffset>
                      </wp:positionH>
                      <wp:positionV relativeFrom="paragraph">
                        <wp:posOffset>55880</wp:posOffset>
                      </wp:positionV>
                      <wp:extent cx="290830" cy="288290"/>
                      <wp:effectExtent l="4445" t="4445" r="9525" b="12065"/>
                      <wp:wrapNone/>
                      <wp:docPr id="70" name="组合 70"/>
                      <wp:cNvGraphicFramePr/>
                      <a:graphic xmlns:a="http://schemas.openxmlformats.org/drawingml/2006/main">
                        <a:graphicData uri="http://schemas.microsoft.com/office/word/2010/wordprocessingGroup">
                          <wpg:wgp>
                            <wpg:cNvGrpSpPr/>
                            <wpg:grpSpPr>
                              <a:xfrm>
                                <a:off x="3708400" y="2204720"/>
                                <a:ext cx="290830" cy="288290"/>
                                <a:chOff x="5840" y="3472"/>
                                <a:chExt cx="458" cy="454"/>
                              </a:xfrm>
                              <a:effectLst/>
                            </wpg:grpSpPr>
                            <wps:wsp>
                              <wps:cNvPr id="71" name="直接连接符 49"/>
                              <wps:cNvCnPr/>
                              <wps:spPr>
                                <a:xfrm flipH="1">
                                  <a:off x="6066" y="3472"/>
                                  <a:ext cx="1" cy="448"/>
                                </a:xfrm>
                                <a:prstGeom prst="line">
                                  <a:avLst/>
                                </a:prstGeom>
                                <a:ln w="9525" cap="flat" cmpd="sng">
                                  <a:solidFill>
                                    <a:srgbClr val="000000"/>
                                  </a:solidFill>
                                  <a:prstDash val="solid"/>
                                  <a:headEnd type="none" w="med" len="med"/>
                                  <a:tailEnd type="none" w="med" len="med"/>
                                </a:ln>
                                <a:effectLst/>
                              </wps:spPr>
                              <wps:bodyPr/>
                            </wps:wsp>
                            <wps:wsp>
                              <wps:cNvPr id="72" name="直接连接符 50"/>
                              <wps:cNvCnPr/>
                              <wps:spPr>
                                <a:xfrm>
                                  <a:off x="5844" y="3697"/>
                                  <a:ext cx="454" cy="1"/>
                                </a:xfrm>
                                <a:prstGeom prst="line">
                                  <a:avLst/>
                                </a:prstGeom>
                                <a:ln w="9525" cap="flat" cmpd="sng">
                                  <a:solidFill>
                                    <a:srgbClr val="000000"/>
                                  </a:solidFill>
                                  <a:prstDash val="solid"/>
                                  <a:headEnd type="none" w="med" len="med"/>
                                  <a:tailEnd type="none" w="med" len="med"/>
                                </a:ln>
                                <a:effectLst/>
                              </wps:spPr>
                              <wps:bodyPr/>
                            </wps:wsp>
                            <wps:wsp>
                              <wps:cNvPr id="73" name="矩形 51"/>
                              <wps:cNvSpPr/>
                              <wps:spPr>
                                <a:xfrm>
                                  <a:off x="5840" y="3472"/>
                                  <a:ext cx="454" cy="454"/>
                                </a:xfrm>
                                <a:prstGeom prst="rect">
                                  <a:avLst/>
                                </a:prstGeom>
                                <a:noFill/>
                                <a:ln w="9525" cap="flat" cmpd="sng" algn="ctr">
                                  <a:solidFill>
                                    <a:srgbClr val="000000"/>
                                  </a:solidFill>
                                  <a:prstDash val="solid"/>
                                </a:ln>
                                <a:effectLst/>
                              </wps:spPr>
                              <wps:bodyPr rtlCol="0" anchor="ctr" anchorCtr="0"/>
                            </wps:wsp>
                          </wpg:wgp>
                        </a:graphicData>
                      </a:graphic>
                    </wp:anchor>
                  </w:drawing>
                </mc:Choice>
                <mc:Fallback>
                  <w:pict>
                    <v:group id="_x0000_s1026" o:spid="_x0000_s1026" o:spt="203" style="position:absolute;left:0pt;margin-left:40.3pt;margin-top:4.4pt;height:22.7pt;width:22.9pt;z-index:251681792;mso-width-relative:page;mso-height-relative:page;" coordorigin="5840,3472" coordsize="458,454" o:gfxdata="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WR47KtcAAAAHAQAADwAAAAAAAAABACAAAAAiAAAAZHJzL2Rvd25yZXYueG1sUEsBAhQA&#10;FAAAAAgAh07iQKqw7eEQAwAANgkAAA4AAAAAAAAAAQAgAAAAJgEAAGRycy9lMm9Eb2MueG1sUEsF&#10;BgAAAAAGAAYAWQEAAKgGAAAAAA==&#10;">
                      <o:lock v:ext="edit" aspectratio="f"/>
                      <v:line id="直接连接符 49" o:spid="_x0000_s1026" o:spt="20" style="position:absolute;left:6066;top:3472;flip:x;height:448;width:1;" filled="f" stroked="t" coordsize="21600,21600" o:gfxdata="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oa6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50" o:spid="_x0000_s1026" o:spt="20" style="position:absolute;left:5844;top:3697;height:1;width:454;" filled="f" stroked="t" coordsize="21600,21600" o:gfxdata="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fQ7k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rect id="矩形 51" o:spid="_x0000_s1026" o:spt="1" style="position:absolute;left:5840;top:3472;height:454;width:454;v-text-anchor:middle;" filled="f" stroked="t" coordsize="21600,21600" o:gfxdata="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yw6/K/&#10;AAAA2wAAAA8AAAAAAAAAAQAgAAAAIgAAAGRycy9kb3ducmV2LnhtbFBLAQIUABQAAAAIAIdO4kAz&#10;LwWeOwAAADkAAAAQAAAAAAAAAAEAIAAAAA4BAABkcnMvc2hhcGV4bWwueG1sUEsFBgAAAAAGAAYA&#10;WwEAALgDAAAAAA==&#10;">
                        <v:fill on="f" focussize="0,0"/>
                        <v:stroke color="#000000" joinstyle="round"/>
                        <v:imagedata o:title=""/>
                        <o:lock v:ext="edit" aspectratio="f"/>
                      </v:rect>
                    </v:group>
                  </w:pict>
                </mc:Fallback>
              </mc:AlternateContent>
            </w:r>
          </w:p>
        </w:tc>
      </w:tr>
      <w:tr w14:paraId="27BD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2483" w:type="pct"/>
            <w:tcBorders>
              <w:left w:val="single" w:color="auto" w:sz="12" w:space="0"/>
            </w:tcBorders>
            <w:noWrap w:val="0"/>
            <w:vAlign w:val="center"/>
          </w:tcPr>
          <w:p w14:paraId="13167946">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地下水位</w:t>
            </w:r>
          </w:p>
        </w:tc>
        <w:tc>
          <w:tcPr>
            <w:tcW w:w="1223" w:type="pct"/>
            <w:noWrap w:val="0"/>
            <w:vAlign w:val="center"/>
          </w:tcPr>
          <w:p w14:paraId="5300A4DD">
            <w:pPr>
              <w:widowControl/>
              <w:jc w:val="center"/>
              <w:rPr>
                <w:rFonts w:hint="default" w:ascii="Times New Roman" w:hAnsi="Times New Roman" w:cs="Times New Roman"/>
                <w:color w:val="000000"/>
                <w:szCs w:val="21"/>
                <w:highlight w:val="none"/>
              </w:rPr>
            </w:pPr>
            <w:r>
              <w:rPr>
                <w:rFonts w:ascii="Times New Roman" w:hAnsi="Times New Roman" w:cs="Times New Roman"/>
                <w:color w:val="000000"/>
                <w:szCs w:val="21"/>
                <w:highlight w:val="none"/>
              </w:rPr>
              <w:t>DSW</w:t>
            </w:r>
          </w:p>
        </w:tc>
        <w:tc>
          <w:tcPr>
            <w:tcW w:w="1292" w:type="pct"/>
            <w:tcBorders>
              <w:right w:val="single" w:color="auto" w:sz="12" w:space="0"/>
            </w:tcBorders>
            <w:noWrap w:val="0"/>
            <w:vAlign w:val="center"/>
          </w:tcPr>
          <w:p w14:paraId="7E670E96">
            <w:pPr>
              <w:widowControl/>
              <w:spacing w:line="680" w:lineRule="exact"/>
              <w:jc w:val="center"/>
              <w:rPr>
                <w:rFonts w:hint="default" w:ascii="Times New Roman" w:hAnsi="Times New Roman" w:cs="Times New Roman"/>
                <w:color w:val="000000"/>
                <w:highlight w:val="none"/>
              </w:rPr>
            </w:pPr>
            <w:r>
              <w:rPr>
                <w:rFonts w:ascii="Times New Roman" w:hAnsi="Times New Roman" w:cs="Times New Roman"/>
                <w:highlight w:val="none"/>
              </w:rPr>
              <mc:AlternateContent>
                <mc:Choice Requires="wpg">
                  <w:drawing>
                    <wp:anchor distT="0" distB="0" distL="114300" distR="114300" simplePos="0" relativeHeight="251682816" behindDoc="0" locked="0" layoutInCell="1" allowOverlap="1">
                      <wp:simplePos x="0" y="0"/>
                      <wp:positionH relativeFrom="column">
                        <wp:posOffset>520065</wp:posOffset>
                      </wp:positionH>
                      <wp:positionV relativeFrom="paragraph">
                        <wp:posOffset>58420</wp:posOffset>
                      </wp:positionV>
                      <wp:extent cx="290830" cy="288290"/>
                      <wp:effectExtent l="4445" t="4445" r="9525" b="12065"/>
                      <wp:wrapNone/>
                      <wp:docPr id="77" name="组合 77"/>
                      <wp:cNvGraphicFramePr/>
                      <a:graphic xmlns:a="http://schemas.openxmlformats.org/drawingml/2006/main">
                        <a:graphicData uri="http://schemas.microsoft.com/office/word/2010/wordprocessingGroup">
                          <wpg:wgp>
                            <wpg:cNvGrpSpPr/>
                            <wpg:grpSpPr>
                              <a:xfrm>
                                <a:off x="3835400" y="2637155"/>
                                <a:ext cx="290830" cy="288290"/>
                                <a:chOff x="6040" y="4153"/>
                                <a:chExt cx="458" cy="454"/>
                              </a:xfrm>
                              <a:effectLst/>
                            </wpg:grpSpPr>
                            <wps:wsp>
                              <wps:cNvPr id="78" name="直接连接符 62"/>
                              <wps:cNvCnPr/>
                              <wps:spPr>
                                <a:xfrm>
                                  <a:off x="6044" y="4378"/>
                                  <a:ext cx="454" cy="1"/>
                                </a:xfrm>
                                <a:prstGeom prst="line">
                                  <a:avLst/>
                                </a:prstGeom>
                                <a:ln w="9525" cap="flat" cmpd="sng">
                                  <a:solidFill>
                                    <a:srgbClr val="000000"/>
                                  </a:solidFill>
                                  <a:prstDash val="solid"/>
                                  <a:headEnd type="none" w="med" len="med"/>
                                  <a:tailEnd type="none" w="med" len="med"/>
                                </a:ln>
                                <a:effectLst/>
                              </wps:spPr>
                              <wps:bodyPr/>
                            </wps:wsp>
                            <wps:wsp>
                              <wps:cNvPr id="79" name="矩形 63"/>
                              <wps:cNvSpPr/>
                              <wps:spPr>
                                <a:xfrm>
                                  <a:off x="6040" y="4153"/>
                                  <a:ext cx="454" cy="454"/>
                                </a:xfrm>
                                <a:prstGeom prst="rect">
                                  <a:avLst/>
                                </a:prstGeom>
                                <a:noFill/>
                                <a:ln w="9525" cap="flat" cmpd="sng" algn="ctr">
                                  <a:solidFill>
                                    <a:srgbClr val="000000"/>
                                  </a:solidFill>
                                  <a:prstDash val="solid"/>
                                </a:ln>
                                <a:effectLst/>
                              </wps:spPr>
                              <wps:bodyPr rtlCol="0" anchor="ctr" anchorCtr="0"/>
                            </wps:wsp>
                            <wps:wsp>
                              <wps:cNvPr id="80" name="直接连接符 64"/>
                              <wps:cNvCnPr/>
                              <wps:spPr>
                                <a:xfrm>
                                  <a:off x="6125" y="4460"/>
                                  <a:ext cx="283" cy="1"/>
                                </a:xfrm>
                                <a:prstGeom prst="line">
                                  <a:avLst/>
                                </a:prstGeom>
                                <a:ln w="9525" cap="flat" cmpd="sng">
                                  <a:solidFill>
                                    <a:srgbClr val="000000"/>
                                  </a:solidFill>
                                  <a:prstDash val="solid"/>
                                  <a:headEnd type="none" w="med" len="med"/>
                                  <a:tailEnd type="none" w="med" len="med"/>
                                </a:ln>
                                <a:effectLst/>
                              </wps:spPr>
                              <wps:bodyPr/>
                            </wps:wsp>
                            <wps:wsp>
                              <wps:cNvPr id="81" name="直接连接符 65"/>
                              <wps:cNvCnPr/>
                              <wps:spPr>
                                <a:xfrm>
                                  <a:off x="6180" y="4542"/>
                                  <a:ext cx="170" cy="1"/>
                                </a:xfrm>
                                <a:prstGeom prst="line">
                                  <a:avLst/>
                                </a:prstGeom>
                                <a:ln w="9525" cap="flat" cmpd="sng">
                                  <a:solidFill>
                                    <a:srgbClr val="000000"/>
                                  </a:solidFill>
                                  <a:prstDash val="solid"/>
                                  <a:headEnd type="none" w="med" len="med"/>
                                  <a:tailEnd type="none" w="med" len="med"/>
                                </a:ln>
                                <a:effectLst/>
                              </wps:spPr>
                              <wps:bodyPr/>
                            </wps:wsp>
                          </wpg:wgp>
                        </a:graphicData>
                      </a:graphic>
                    </wp:anchor>
                  </w:drawing>
                </mc:Choice>
                <mc:Fallback>
                  <w:pict>
                    <v:group id="_x0000_s1026" o:spid="_x0000_s1026" o:spt="203" style="position:absolute;left:0pt;margin-left:40.95pt;margin-top:4.6pt;height:22.7pt;width:22.9pt;z-index:251682816;mso-width-relative:page;mso-height-relative:page;" coordorigin="6040,4153" coordsize="458,454" o:gfxdata="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OaJnAHXAAAABwEAAA8AAAAAAAAAAQAgAAAAIgAA&#10;AGRycy9kb3ducmV2LnhtbFBLAQIUABQAAAAIAIdO4kD4b6FUJgMAADgLAAAOAAAAAAAAAAEAIAAA&#10;ACYBAABkcnMvZTJvRG9jLnhtbFBLBQYAAAAABgAGAFkBAAC+BgAAAAA=&#10;">
                      <o:lock v:ext="edit" aspectratio="f"/>
                      <v:line id="直接连接符 62" o:spid="_x0000_s1026" o:spt="20" style="position:absolute;left:6044;top:4378;height:1;width:454;" filled="f" stroked="t" coordsize="21600,21600" o:gfxdata="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lTkO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矩形 63" o:spid="_x0000_s1026" o:spt="1" style="position:absolute;left:6040;top:4153;height:454;width:454;v-text-anchor:middle;" filled="f" stroked="t" coordsize="21600,21600" o:gfxdata="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1Y3Bi/&#10;AAAA2wAAAA8AAAAAAAAAAQAgAAAAIgAAAGRycy9kb3ducmV2LnhtbFBLAQIUABQAAAAIAIdO4kAz&#10;LwWeOwAAADkAAAAQAAAAAAAAAAEAIAAAAA4BAABkcnMvc2hhcGV4bWwueG1sUEsFBgAAAAAGAAYA&#10;WwEAALgDAAAAAA==&#10;">
                        <v:fill on="f" focussize="0,0"/>
                        <v:stroke color="#000000" joinstyle="round"/>
                        <v:imagedata o:title=""/>
                        <o:lock v:ext="edit" aspectratio="f"/>
                      </v:rect>
                      <v:line id="直接连接符 64" o:spid="_x0000_s1026" o:spt="20" style="position:absolute;left:6125;top:4460;height:1;width:283;" filled="f" stroked="t" coordsize="21600,21600" o:gfxdata="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zZFL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接连接符 65" o:spid="_x0000_s1026" o:spt="20" style="position:absolute;left:6180;top:4542;height:1;width:170;" filled="f" stroked="t" coordsize="21600,21600" o:gfxdata="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64L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p>
        </w:tc>
      </w:tr>
    </w:tbl>
    <w:p w14:paraId="0CE03769">
      <w:pPr>
        <w:spacing w:before="312" w:beforeLines="100" w:line="312" w:lineRule="auto"/>
        <w:jc w:val="left"/>
        <w:rPr>
          <w:rFonts w:hint="default" w:ascii="Times New Roman" w:hAnsi="Times New Roman" w:cs="Times New Roman"/>
          <w:color w:val="000000"/>
          <w:sz w:val="24"/>
          <w:highlight w:val="none"/>
        </w:rPr>
      </w:pPr>
    </w:p>
    <w:p w14:paraId="6BECAF22">
      <w:pPr>
        <w:spacing w:before="312" w:beforeLines="100" w:line="312" w:lineRule="auto"/>
        <w:jc w:val="left"/>
        <w:rPr>
          <w:rFonts w:hint="default" w:ascii="Times New Roman" w:hAnsi="Times New Roman" w:cs="Times New Roman"/>
          <w:color w:val="000000"/>
          <w:sz w:val="24"/>
          <w:highlight w:val="none"/>
        </w:rPr>
      </w:pPr>
    </w:p>
    <w:p w14:paraId="0053EEED">
      <w:pPr>
        <w:pStyle w:val="2"/>
        <w:jc w:val="both"/>
        <w:rPr>
          <w:rFonts w:ascii="Times New Roman" w:hAnsi="Times New Roman" w:cs="Times New Roman"/>
          <w:highlight w:val="none"/>
        </w:rPr>
        <w:sectPr>
          <w:pgSz w:w="11906" w:h="16838"/>
          <w:pgMar w:top="1440" w:right="1800" w:bottom="1440" w:left="1800" w:header="851" w:footer="992" w:gutter="0"/>
          <w:pgNumType w:fmt="decimal"/>
          <w:cols w:space="425" w:num="1"/>
          <w:docGrid w:type="lines" w:linePitch="312" w:charSpace="0"/>
        </w:sectPr>
      </w:pPr>
    </w:p>
    <w:p w14:paraId="11C3FB82">
      <w:pPr>
        <w:spacing w:line="312" w:lineRule="auto"/>
        <w:jc w:val="center"/>
        <w:outlineLvl w:val="1"/>
        <w:rPr>
          <w:rFonts w:hint="default" w:ascii="Times New Roman" w:hAnsi="Times New Roman" w:cs="Times New Roman"/>
          <w:b/>
          <w:bCs/>
          <w:color w:val="000000"/>
          <w:spacing w:val="-5"/>
          <w:sz w:val="28"/>
          <w:szCs w:val="28"/>
          <w:highlight w:val="none"/>
        </w:rPr>
      </w:pPr>
      <w:bookmarkStart w:id="224" w:name="_Toc133"/>
      <w:bookmarkStart w:id="225" w:name="_Toc2258"/>
      <w:bookmarkStart w:id="226" w:name="_Toc118794877"/>
      <w:bookmarkStart w:id="227" w:name="_Toc28606"/>
      <w:bookmarkStart w:id="228" w:name="_Toc19151"/>
      <w:bookmarkStart w:id="229" w:name="_Toc30491"/>
      <w:bookmarkStart w:id="230" w:name="_Toc1079"/>
      <w:bookmarkStart w:id="231" w:name="_Toc25903"/>
      <w:bookmarkStart w:id="232" w:name="_Toc18825"/>
      <w:bookmarkStart w:id="233" w:name="_Toc16459"/>
      <w:bookmarkStart w:id="234" w:name="_Toc8458"/>
      <w:bookmarkStart w:id="235" w:name="_Toc3228"/>
      <w:bookmarkStart w:id="236" w:name="_Toc18311"/>
      <w:bookmarkStart w:id="237" w:name="_Toc4106"/>
      <w:bookmarkStart w:id="238" w:name="_Toc24000"/>
      <w:bookmarkStart w:id="239" w:name="_Toc23621"/>
      <w:bookmarkStart w:id="240" w:name="_Toc119050665"/>
      <w:bookmarkStart w:id="241" w:name="_Toc2078"/>
      <w:r>
        <w:rPr>
          <w:rFonts w:hint="default" w:ascii="Times New Roman" w:hAnsi="Times New Roman" w:cs="Times New Roman"/>
          <w:b/>
          <w:bCs/>
          <w:color w:val="000000"/>
          <w:spacing w:val="-5"/>
          <w:sz w:val="28"/>
          <w:szCs w:val="28"/>
          <w:highlight w:val="none"/>
        </w:rPr>
        <w:t>附录</w:t>
      </w:r>
      <w:r>
        <w:rPr>
          <w:rFonts w:hint="eastAsia" w:ascii="Times New Roman" w:hAnsi="Times New Roman" w:cs="Times New Roman"/>
          <w:b/>
          <w:bCs/>
          <w:color w:val="000000"/>
          <w:spacing w:val="-5"/>
          <w:sz w:val="28"/>
          <w:szCs w:val="28"/>
          <w:highlight w:val="none"/>
          <w:lang w:val="en-US" w:eastAsia="zh-CN"/>
        </w:rPr>
        <w:t>J</w:t>
      </w:r>
      <w:r>
        <w:rPr>
          <w:rFonts w:hint="default" w:ascii="Times New Roman" w:hAnsi="Times New Roman" w:cs="Times New Roman"/>
          <w:b/>
          <w:bCs/>
          <w:color w:val="000000"/>
          <w:spacing w:val="-5"/>
          <w:sz w:val="28"/>
          <w:szCs w:val="28"/>
          <w:highlight w:val="none"/>
        </w:rPr>
        <w:t xml:space="preserve">  巡视检查预警表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596072CC">
      <w:pPr>
        <w:spacing w:line="312" w:lineRule="auto"/>
        <w:jc w:val="left"/>
        <w:rPr>
          <w:rFonts w:hint="default" w:ascii="Times New Roman" w:hAnsi="Times New Roman" w:cs="Times New Roman"/>
          <w:color w:val="000000"/>
          <w:sz w:val="24"/>
          <w:highlight w:val="none"/>
        </w:rPr>
      </w:pPr>
      <w:r>
        <w:rPr>
          <w:rFonts w:hint="eastAsia" w:ascii="Times New Roman" w:hAnsi="Times New Roman" w:cs="Times New Roman"/>
          <w:b/>
          <w:bCs/>
          <w:color w:val="000000"/>
          <w:sz w:val="24"/>
          <w:highlight w:val="none"/>
          <w:lang w:val="en-US" w:eastAsia="zh-CN"/>
        </w:rPr>
        <w:t>J</w:t>
      </w:r>
      <w:r>
        <w:rPr>
          <w:rFonts w:hint="default" w:ascii="Times New Roman" w:hAnsi="Times New Roman" w:cs="Times New Roman"/>
          <w:b/>
          <w:bCs/>
          <w:color w:val="000000"/>
          <w:sz w:val="24"/>
          <w:highlight w:val="none"/>
        </w:rPr>
        <w:t>.0.1</w:t>
      </w:r>
      <w:r>
        <w:rPr>
          <w:rFonts w:hint="default" w:ascii="Times New Roman" w:hAnsi="Times New Roman" w:cs="Times New Roman"/>
          <w:color w:val="000000"/>
          <w:sz w:val="24"/>
          <w:highlight w:val="none"/>
        </w:rPr>
        <w:t xml:space="preserve"> 巡视检查预警表宜符合表</w:t>
      </w:r>
      <w:r>
        <w:rPr>
          <w:rFonts w:hint="eastAsia" w:ascii="Times New Roman" w:hAnsi="Times New Roman" w:cs="Times New Roman"/>
          <w:color w:val="000000"/>
          <w:sz w:val="24"/>
          <w:highlight w:val="none"/>
          <w:lang w:val="en-US" w:eastAsia="zh-CN"/>
        </w:rPr>
        <w:t>J</w:t>
      </w:r>
      <w:r>
        <w:rPr>
          <w:rFonts w:hint="default" w:ascii="Times New Roman" w:hAnsi="Times New Roman" w:cs="Times New Roman"/>
          <w:color w:val="000000"/>
          <w:sz w:val="24"/>
          <w:highlight w:val="none"/>
        </w:rPr>
        <w:t>.0.1的规定。</w:t>
      </w:r>
    </w:p>
    <w:p w14:paraId="600DF844">
      <w:pPr>
        <w:spacing w:before="312" w:beforeLines="100" w:line="312" w:lineRule="auto"/>
        <w:jc w:val="cente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rPr>
        <w:t>表</w:t>
      </w:r>
      <w:r>
        <w:rPr>
          <w:rFonts w:hint="eastAsia" w:ascii="Times New Roman" w:hAnsi="Times New Roman" w:cs="Times New Roman"/>
          <w:b/>
          <w:bCs/>
          <w:color w:val="000000"/>
          <w:szCs w:val="21"/>
          <w:highlight w:val="none"/>
          <w:lang w:val="en-US" w:eastAsia="zh-CN"/>
        </w:rPr>
        <w:t>J</w:t>
      </w:r>
      <w:r>
        <w:rPr>
          <w:rFonts w:hint="default" w:ascii="Times New Roman" w:hAnsi="Times New Roman" w:cs="Times New Roman"/>
          <w:b/>
          <w:bCs/>
          <w:color w:val="000000"/>
          <w:szCs w:val="21"/>
          <w:highlight w:val="none"/>
        </w:rPr>
        <w:t>.0.1  巡视检查</w:t>
      </w:r>
      <w:r>
        <w:rPr>
          <w:rFonts w:hint="eastAsia" w:ascii="Times New Roman" w:hAnsi="Times New Roman" w:cs="Times New Roman"/>
          <w:b/>
          <w:bCs/>
          <w:color w:val="0000FF"/>
          <w:szCs w:val="21"/>
          <w:highlight w:val="none"/>
          <w:lang w:val="en-US" w:eastAsia="zh-CN"/>
        </w:rPr>
        <w:t>预警（异常）</w:t>
      </w:r>
      <w:r>
        <w:rPr>
          <w:rFonts w:hint="default" w:ascii="Times New Roman" w:hAnsi="Times New Roman" w:cs="Times New Roman"/>
          <w:b/>
          <w:bCs/>
          <w:color w:val="000000"/>
          <w:szCs w:val="21"/>
          <w:highlight w:val="none"/>
        </w:rPr>
        <w:t>表</w:t>
      </w:r>
    </w:p>
    <w:tbl>
      <w:tblPr>
        <w:tblStyle w:val="10"/>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78"/>
        <w:gridCol w:w="1254"/>
        <w:gridCol w:w="3000"/>
        <w:gridCol w:w="682"/>
        <w:gridCol w:w="683"/>
        <w:gridCol w:w="2322"/>
      </w:tblGrid>
      <w:tr w14:paraId="596899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blHeader/>
          <w:jc w:val="center"/>
        </w:trPr>
        <w:tc>
          <w:tcPr>
            <w:tcW w:w="1075" w:type="pct"/>
            <w:gridSpan w:val="2"/>
            <w:vMerge w:val="restart"/>
            <w:noWrap w:val="0"/>
            <w:vAlign w:val="center"/>
          </w:tcPr>
          <w:p w14:paraId="2B04CBF7">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巡查内容</w:t>
            </w:r>
          </w:p>
        </w:tc>
        <w:tc>
          <w:tcPr>
            <w:tcW w:w="1760" w:type="pct"/>
            <w:vMerge w:val="restart"/>
            <w:noWrap w:val="0"/>
            <w:vAlign w:val="center"/>
          </w:tcPr>
          <w:p w14:paraId="53B897CC">
            <w:pPr>
              <w:jc w:val="center"/>
              <w:rPr>
                <w:rFonts w:hint="eastAsia" w:ascii="Times New Roman" w:hAnsi="Times New Roman" w:eastAsia="宋体" w:cs="Times New Roman"/>
                <w:color w:val="000000"/>
                <w:szCs w:val="21"/>
                <w:highlight w:val="none"/>
                <w:lang w:eastAsia="zh-CN"/>
              </w:rPr>
            </w:pPr>
            <w:r>
              <w:rPr>
                <w:rFonts w:hint="default" w:ascii="Times New Roman" w:hAnsi="Times New Roman" w:cs="Times New Roman"/>
                <w:color w:val="000000"/>
                <w:szCs w:val="21"/>
                <w:highlight w:val="none"/>
              </w:rPr>
              <w:t>巡查状况描述</w:t>
            </w:r>
          </w:p>
        </w:tc>
        <w:tc>
          <w:tcPr>
            <w:tcW w:w="801" w:type="pct"/>
            <w:gridSpan w:val="2"/>
            <w:noWrap w:val="0"/>
            <w:vAlign w:val="center"/>
          </w:tcPr>
          <w:p w14:paraId="59FF3780">
            <w:pPr>
              <w:jc w:val="center"/>
              <w:rPr>
                <w:rFonts w:hint="default" w:ascii="Times New Roman" w:hAnsi="Times New Roman" w:eastAsia="宋体" w:cs="Times New Roman"/>
                <w:color w:val="000000"/>
                <w:kern w:val="2"/>
                <w:sz w:val="24"/>
                <w:szCs w:val="21"/>
                <w:highlight w:val="none"/>
                <w:lang w:val="en-US" w:eastAsia="zh-CN" w:bidi="ar-SA"/>
              </w:rPr>
            </w:pPr>
            <w:r>
              <w:rPr>
                <w:rFonts w:hint="eastAsia" w:ascii="Times New Roman" w:hAnsi="Times New Roman" w:cs="Times New Roman"/>
                <w:color w:val="0000FF"/>
                <w:szCs w:val="21"/>
                <w:highlight w:val="none"/>
                <w:lang w:val="en-US" w:eastAsia="zh-CN"/>
              </w:rPr>
              <w:t>巡查结果</w:t>
            </w:r>
          </w:p>
        </w:tc>
        <w:tc>
          <w:tcPr>
            <w:tcW w:w="1362" w:type="pct"/>
            <w:vMerge w:val="restart"/>
            <w:noWrap w:val="0"/>
            <w:vAlign w:val="center"/>
          </w:tcPr>
          <w:p w14:paraId="1B88F911">
            <w:pPr>
              <w:jc w:val="center"/>
              <w:rPr>
                <w:rFonts w:hint="eastAsia" w:ascii="Times New Roman" w:hAnsi="Times New Roman" w:eastAsia="宋体" w:cs="Times New Roman"/>
                <w:color w:val="000000"/>
                <w:kern w:val="2"/>
                <w:sz w:val="24"/>
                <w:szCs w:val="21"/>
                <w:highlight w:val="none"/>
                <w:lang w:val="en-US" w:eastAsia="zh-CN" w:bidi="ar-SA"/>
              </w:rPr>
            </w:pPr>
            <w:r>
              <w:rPr>
                <w:rFonts w:hint="eastAsia" w:ascii="Times New Roman" w:hAnsi="Times New Roman" w:cs="Times New Roman"/>
                <w:color w:val="0000FF"/>
                <w:szCs w:val="21"/>
                <w:highlight w:val="none"/>
                <w:lang w:val="en-US" w:eastAsia="zh-CN"/>
              </w:rPr>
              <w:t>详细描述</w:t>
            </w:r>
          </w:p>
        </w:tc>
      </w:tr>
      <w:tr w14:paraId="3178C6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75" w:type="pct"/>
            <w:gridSpan w:val="2"/>
            <w:vMerge w:val="continue"/>
            <w:noWrap w:val="0"/>
            <w:vAlign w:val="center"/>
          </w:tcPr>
          <w:p w14:paraId="228882B0">
            <w:pPr>
              <w:jc w:val="center"/>
              <w:rPr>
                <w:rFonts w:hint="default" w:ascii="Times New Roman" w:hAnsi="Times New Roman" w:cs="Times New Roman"/>
                <w:color w:val="000000"/>
                <w:szCs w:val="21"/>
                <w:highlight w:val="none"/>
              </w:rPr>
            </w:pPr>
          </w:p>
        </w:tc>
        <w:tc>
          <w:tcPr>
            <w:tcW w:w="1760" w:type="pct"/>
            <w:vMerge w:val="continue"/>
            <w:noWrap w:val="0"/>
            <w:vAlign w:val="center"/>
          </w:tcPr>
          <w:p w14:paraId="583073F3">
            <w:pPr>
              <w:jc w:val="left"/>
              <w:rPr>
                <w:rFonts w:hint="default" w:ascii="Times New Roman" w:hAnsi="Times New Roman" w:cs="Times New Roman"/>
                <w:color w:val="000000"/>
                <w:szCs w:val="21"/>
                <w:highlight w:val="none"/>
              </w:rPr>
            </w:pPr>
          </w:p>
        </w:tc>
        <w:tc>
          <w:tcPr>
            <w:tcW w:w="400" w:type="pct"/>
            <w:noWrap w:val="0"/>
            <w:vAlign w:val="center"/>
          </w:tcPr>
          <w:p w14:paraId="614F578E">
            <w:pPr>
              <w:jc w:val="center"/>
              <w:rPr>
                <w:rFonts w:hint="eastAsia" w:ascii="Times New Roman" w:hAnsi="Times New Roman" w:cs="Times New Roman" w:eastAsiaTheme="minorEastAsia"/>
                <w:color w:val="000000"/>
                <w:szCs w:val="21"/>
                <w:highlight w:val="none"/>
                <w:lang w:val="en-US" w:eastAsia="zh-CN"/>
              </w:rPr>
            </w:pPr>
            <w:r>
              <w:rPr>
                <w:rFonts w:hint="eastAsia" w:ascii="Times New Roman" w:hAnsi="Times New Roman" w:cs="Times New Roman"/>
                <w:color w:val="000000"/>
                <w:szCs w:val="21"/>
                <w:highlight w:val="none"/>
                <w:lang w:val="en-US" w:eastAsia="zh-CN"/>
              </w:rPr>
              <w:t>是</w:t>
            </w:r>
          </w:p>
        </w:tc>
        <w:tc>
          <w:tcPr>
            <w:tcW w:w="400" w:type="pct"/>
            <w:noWrap w:val="0"/>
            <w:vAlign w:val="center"/>
          </w:tcPr>
          <w:p w14:paraId="2C9A8481">
            <w:pPr>
              <w:jc w:val="center"/>
              <w:rPr>
                <w:rFonts w:hint="eastAsia" w:ascii="Times New Roman" w:hAnsi="Times New Roman" w:cs="Times New Roman" w:eastAsiaTheme="minorEastAsia"/>
                <w:color w:val="000000"/>
                <w:szCs w:val="21"/>
                <w:highlight w:val="none"/>
                <w:lang w:val="en-US" w:eastAsia="zh-CN"/>
              </w:rPr>
            </w:pPr>
            <w:r>
              <w:rPr>
                <w:rFonts w:hint="eastAsia" w:ascii="Times New Roman" w:hAnsi="Times New Roman" w:cs="Times New Roman"/>
                <w:color w:val="000000"/>
                <w:szCs w:val="21"/>
                <w:highlight w:val="none"/>
                <w:lang w:val="en-US" w:eastAsia="zh-CN"/>
              </w:rPr>
              <w:t>否</w:t>
            </w:r>
          </w:p>
        </w:tc>
        <w:tc>
          <w:tcPr>
            <w:tcW w:w="1362" w:type="pct"/>
            <w:vMerge w:val="continue"/>
            <w:noWrap w:val="0"/>
            <w:vAlign w:val="center"/>
          </w:tcPr>
          <w:p w14:paraId="426EB4B3">
            <w:pPr>
              <w:jc w:val="center"/>
              <w:rPr>
                <w:rFonts w:hint="default" w:ascii="Times New Roman" w:hAnsi="Times New Roman" w:cs="Times New Roman"/>
                <w:color w:val="000000"/>
                <w:szCs w:val="21"/>
                <w:highlight w:val="none"/>
              </w:rPr>
            </w:pPr>
          </w:p>
        </w:tc>
      </w:tr>
      <w:tr w14:paraId="1DB15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75" w:type="pct"/>
            <w:gridSpan w:val="2"/>
            <w:vMerge w:val="restart"/>
            <w:tcBorders>
              <w:top w:val="single" w:color="auto" w:sz="4" w:space="0"/>
            </w:tcBorders>
            <w:noWrap w:val="0"/>
            <w:vAlign w:val="center"/>
          </w:tcPr>
          <w:p w14:paraId="49287B8A">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开挖面土层性质及稳定性状况</w:t>
            </w:r>
          </w:p>
        </w:tc>
        <w:tc>
          <w:tcPr>
            <w:tcW w:w="1760" w:type="pct"/>
            <w:noWrap w:val="0"/>
            <w:vAlign w:val="center"/>
          </w:tcPr>
          <w:p w14:paraId="11AF8B1F">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工作面未按设计要求临时封闭</w:t>
            </w:r>
          </w:p>
        </w:tc>
        <w:tc>
          <w:tcPr>
            <w:tcW w:w="400" w:type="pct"/>
            <w:noWrap w:val="0"/>
            <w:vAlign w:val="center"/>
          </w:tcPr>
          <w:p w14:paraId="2EB7C6AE">
            <w:pPr>
              <w:jc w:val="center"/>
              <w:rPr>
                <w:rFonts w:hint="default" w:ascii="Times New Roman" w:hAnsi="Times New Roman" w:cs="Times New Roman"/>
                <w:color w:val="000000"/>
                <w:szCs w:val="21"/>
                <w:highlight w:val="none"/>
              </w:rPr>
            </w:pPr>
          </w:p>
        </w:tc>
        <w:tc>
          <w:tcPr>
            <w:tcW w:w="400" w:type="pct"/>
            <w:noWrap w:val="0"/>
            <w:vAlign w:val="center"/>
          </w:tcPr>
          <w:p w14:paraId="2F9B47EB">
            <w:pPr>
              <w:jc w:val="center"/>
              <w:rPr>
                <w:rFonts w:hint="eastAsia" w:ascii="Times New Roman" w:hAnsi="Times New Roman" w:cs="Times New Roman" w:eastAsiaTheme="minorEastAsia"/>
                <w:color w:val="000000"/>
                <w:szCs w:val="21"/>
                <w:highlight w:val="none"/>
                <w:lang w:val="en-US" w:eastAsia="zh-CN"/>
              </w:rPr>
            </w:pPr>
            <w:r>
              <w:rPr>
                <w:rFonts w:hint="eastAsia" w:ascii="Times New Roman" w:hAnsi="Times New Roman" w:cs="Times New Roman"/>
                <w:color w:val="000000"/>
                <w:szCs w:val="21"/>
                <w:highlight w:val="none"/>
                <w:lang w:val="en-US" w:eastAsia="zh-CN"/>
              </w:rPr>
              <w:t>✔</w:t>
            </w:r>
          </w:p>
        </w:tc>
        <w:tc>
          <w:tcPr>
            <w:tcW w:w="1362" w:type="pct"/>
            <w:noWrap w:val="0"/>
            <w:vAlign w:val="center"/>
          </w:tcPr>
          <w:p w14:paraId="60C9ECBA">
            <w:pPr>
              <w:jc w:val="center"/>
              <w:rPr>
                <w:rFonts w:hint="default" w:ascii="Times New Roman" w:hAnsi="Times New Roman" w:cs="Times New Roman"/>
                <w:color w:val="000000"/>
                <w:szCs w:val="21"/>
                <w:highlight w:val="none"/>
              </w:rPr>
            </w:pPr>
          </w:p>
        </w:tc>
      </w:tr>
      <w:tr w14:paraId="0D4B4A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75" w:type="pct"/>
            <w:gridSpan w:val="2"/>
            <w:vMerge w:val="continue"/>
            <w:noWrap w:val="0"/>
            <w:vAlign w:val="center"/>
          </w:tcPr>
          <w:p w14:paraId="3E158469">
            <w:pPr>
              <w:jc w:val="center"/>
              <w:rPr>
                <w:rFonts w:hint="default" w:ascii="Times New Roman" w:hAnsi="Times New Roman" w:cs="Times New Roman"/>
                <w:color w:val="000000"/>
                <w:szCs w:val="21"/>
                <w:highlight w:val="none"/>
              </w:rPr>
            </w:pPr>
          </w:p>
        </w:tc>
        <w:tc>
          <w:tcPr>
            <w:tcW w:w="1760" w:type="pct"/>
            <w:noWrap w:val="0"/>
            <w:vAlign w:val="center"/>
          </w:tcPr>
          <w:p w14:paraId="5E249C29">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工作面掉块、开裂；支护结构漏砂</w:t>
            </w:r>
          </w:p>
        </w:tc>
        <w:tc>
          <w:tcPr>
            <w:tcW w:w="400" w:type="pct"/>
            <w:noWrap w:val="0"/>
            <w:vAlign w:val="center"/>
          </w:tcPr>
          <w:p w14:paraId="172056C3">
            <w:pPr>
              <w:jc w:val="center"/>
              <w:rPr>
                <w:rFonts w:hint="eastAsia" w:ascii="Times New Roman" w:hAnsi="Times New Roman" w:cs="Times New Roman" w:eastAsiaTheme="minorEastAsia"/>
                <w:color w:val="000000"/>
                <w:szCs w:val="21"/>
                <w:highlight w:val="none"/>
                <w:lang w:val="en-US" w:eastAsia="zh-CN"/>
              </w:rPr>
            </w:pPr>
            <w:r>
              <w:rPr>
                <w:rFonts w:hint="eastAsia" w:ascii="Times New Roman" w:hAnsi="Times New Roman" w:cs="Times New Roman"/>
                <w:color w:val="000000"/>
                <w:szCs w:val="21"/>
                <w:highlight w:val="none"/>
                <w:lang w:val="en-US" w:eastAsia="zh-CN"/>
              </w:rPr>
              <w:t>✔</w:t>
            </w:r>
          </w:p>
        </w:tc>
        <w:tc>
          <w:tcPr>
            <w:tcW w:w="400" w:type="pct"/>
            <w:noWrap w:val="0"/>
            <w:vAlign w:val="center"/>
          </w:tcPr>
          <w:p w14:paraId="76226422">
            <w:pPr>
              <w:jc w:val="center"/>
              <w:rPr>
                <w:rFonts w:hint="default" w:ascii="Times New Roman" w:hAnsi="Times New Roman" w:cs="Times New Roman"/>
                <w:color w:val="000000"/>
                <w:szCs w:val="21"/>
                <w:highlight w:val="none"/>
              </w:rPr>
            </w:pPr>
          </w:p>
        </w:tc>
        <w:tc>
          <w:tcPr>
            <w:tcW w:w="1362" w:type="pct"/>
            <w:noWrap w:val="0"/>
            <w:vAlign w:val="center"/>
          </w:tcPr>
          <w:p w14:paraId="4D627157">
            <w:pPr>
              <w:jc w:val="center"/>
              <w:rPr>
                <w:rFonts w:hint="default" w:ascii="Times New Roman" w:hAnsi="Times New Roman" w:cs="Times New Roman" w:eastAsiaTheme="minorEastAsia"/>
                <w:color w:val="000000"/>
                <w:szCs w:val="21"/>
                <w:highlight w:val="none"/>
                <w:lang w:val="en-US" w:eastAsia="zh-CN"/>
              </w:rPr>
            </w:pPr>
            <w:r>
              <w:rPr>
                <w:rFonts w:hint="eastAsia" w:ascii="Times New Roman" w:hAnsi="Times New Roman" w:cs="Times New Roman"/>
                <w:color w:val="000000"/>
                <w:szCs w:val="21"/>
                <w:highlight w:val="none"/>
                <w:lang w:val="en-US" w:eastAsia="zh-CN"/>
              </w:rPr>
              <w:t>在xxxx段有石块掉落，影响到了xxxx。</w:t>
            </w:r>
          </w:p>
        </w:tc>
      </w:tr>
      <w:tr w14:paraId="5772E2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75" w:type="pct"/>
            <w:gridSpan w:val="2"/>
            <w:vMerge w:val="continue"/>
            <w:tcBorders>
              <w:bottom w:val="single" w:color="auto" w:sz="4" w:space="0"/>
            </w:tcBorders>
            <w:noWrap w:val="0"/>
            <w:vAlign w:val="center"/>
          </w:tcPr>
          <w:p w14:paraId="10DE52C8">
            <w:pPr>
              <w:jc w:val="center"/>
              <w:rPr>
                <w:rFonts w:hint="default" w:ascii="Times New Roman" w:hAnsi="Times New Roman" w:cs="Times New Roman"/>
                <w:color w:val="000000"/>
                <w:szCs w:val="21"/>
                <w:highlight w:val="none"/>
              </w:rPr>
            </w:pPr>
          </w:p>
        </w:tc>
        <w:tc>
          <w:tcPr>
            <w:tcW w:w="1760" w:type="pct"/>
            <w:noWrap w:val="0"/>
            <w:vAlign w:val="center"/>
          </w:tcPr>
          <w:p w14:paraId="18B49B62">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坍塌</w:t>
            </w:r>
          </w:p>
        </w:tc>
        <w:tc>
          <w:tcPr>
            <w:tcW w:w="400" w:type="pct"/>
            <w:noWrap w:val="0"/>
            <w:vAlign w:val="center"/>
          </w:tcPr>
          <w:p w14:paraId="7E6CA8BA">
            <w:pPr>
              <w:jc w:val="center"/>
              <w:rPr>
                <w:rFonts w:hint="default" w:ascii="Times New Roman" w:hAnsi="Times New Roman" w:cs="Times New Roman"/>
                <w:color w:val="000000"/>
                <w:szCs w:val="21"/>
                <w:highlight w:val="none"/>
              </w:rPr>
            </w:pPr>
          </w:p>
        </w:tc>
        <w:tc>
          <w:tcPr>
            <w:tcW w:w="400" w:type="pct"/>
            <w:noWrap w:val="0"/>
            <w:vAlign w:val="center"/>
          </w:tcPr>
          <w:p w14:paraId="3B7CA988">
            <w:pPr>
              <w:jc w:val="center"/>
              <w:rPr>
                <w:rFonts w:hint="default" w:ascii="Times New Roman" w:hAnsi="Times New Roman" w:cs="Times New Roman"/>
                <w:color w:val="000000"/>
                <w:szCs w:val="21"/>
                <w:highlight w:val="none"/>
              </w:rPr>
            </w:pPr>
          </w:p>
        </w:tc>
        <w:tc>
          <w:tcPr>
            <w:tcW w:w="1362" w:type="pct"/>
            <w:noWrap w:val="0"/>
            <w:vAlign w:val="center"/>
          </w:tcPr>
          <w:p w14:paraId="6DC52F62">
            <w:pPr>
              <w:jc w:val="center"/>
              <w:rPr>
                <w:rFonts w:hint="default" w:ascii="Times New Roman" w:hAnsi="Times New Roman" w:cs="Times New Roman"/>
                <w:color w:val="000000"/>
                <w:szCs w:val="21"/>
                <w:highlight w:val="none"/>
              </w:rPr>
            </w:pPr>
          </w:p>
        </w:tc>
      </w:tr>
      <w:tr w14:paraId="0B9695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1" w:hRule="atLeast"/>
          <w:jc w:val="center"/>
        </w:trPr>
        <w:tc>
          <w:tcPr>
            <w:tcW w:w="1075" w:type="pct"/>
            <w:gridSpan w:val="2"/>
            <w:tcBorders>
              <w:top w:val="single" w:color="auto" w:sz="4" w:space="0"/>
            </w:tcBorders>
            <w:noWrap w:val="0"/>
            <w:vAlign w:val="center"/>
          </w:tcPr>
          <w:p w14:paraId="661B7ACF">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渗漏水情况</w:t>
            </w:r>
          </w:p>
        </w:tc>
        <w:tc>
          <w:tcPr>
            <w:tcW w:w="1760" w:type="pct"/>
            <w:noWrap w:val="0"/>
            <w:vAlign w:val="center"/>
          </w:tcPr>
          <w:p w14:paraId="5BC5F5AC">
            <w:pPr>
              <w:jc w:val="left"/>
              <w:rPr>
                <w:rFonts w:hint="default"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坡</w:t>
            </w:r>
            <w:r>
              <w:rPr>
                <w:rFonts w:hint="default" w:ascii="Times New Roman" w:hAnsi="Times New Roman" w:cs="Times New Roman"/>
                <w:color w:val="000000"/>
                <w:szCs w:val="21"/>
                <w:highlight w:val="none"/>
              </w:rPr>
              <w:t>面大股涌水，含砂</w:t>
            </w:r>
          </w:p>
        </w:tc>
        <w:tc>
          <w:tcPr>
            <w:tcW w:w="400" w:type="pct"/>
            <w:noWrap w:val="0"/>
            <w:vAlign w:val="center"/>
          </w:tcPr>
          <w:p w14:paraId="4F434296">
            <w:pPr>
              <w:jc w:val="center"/>
              <w:rPr>
                <w:rFonts w:hint="default" w:ascii="Times New Roman" w:hAnsi="Times New Roman" w:cs="Times New Roman"/>
                <w:color w:val="000000"/>
                <w:szCs w:val="21"/>
                <w:highlight w:val="none"/>
              </w:rPr>
            </w:pPr>
          </w:p>
        </w:tc>
        <w:tc>
          <w:tcPr>
            <w:tcW w:w="400" w:type="pct"/>
            <w:noWrap w:val="0"/>
            <w:vAlign w:val="center"/>
          </w:tcPr>
          <w:p w14:paraId="1BDAE669">
            <w:pPr>
              <w:jc w:val="center"/>
              <w:rPr>
                <w:rFonts w:hint="default" w:ascii="Times New Roman" w:hAnsi="Times New Roman" w:cs="Times New Roman"/>
                <w:color w:val="000000"/>
                <w:szCs w:val="21"/>
                <w:highlight w:val="none"/>
              </w:rPr>
            </w:pPr>
          </w:p>
        </w:tc>
        <w:tc>
          <w:tcPr>
            <w:tcW w:w="1362" w:type="pct"/>
            <w:noWrap w:val="0"/>
            <w:vAlign w:val="center"/>
          </w:tcPr>
          <w:p w14:paraId="2A19C29D">
            <w:pPr>
              <w:jc w:val="center"/>
              <w:rPr>
                <w:rFonts w:hint="default" w:ascii="Times New Roman" w:hAnsi="Times New Roman" w:cs="Times New Roman"/>
                <w:color w:val="000000"/>
                <w:szCs w:val="21"/>
                <w:highlight w:val="none"/>
              </w:rPr>
            </w:pPr>
          </w:p>
        </w:tc>
      </w:tr>
      <w:tr w14:paraId="135AAF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restart"/>
            <w:noWrap w:val="0"/>
            <w:vAlign w:val="center"/>
          </w:tcPr>
          <w:p w14:paraId="6AB740BC">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土方开挖</w:t>
            </w:r>
          </w:p>
        </w:tc>
        <w:tc>
          <w:tcPr>
            <w:tcW w:w="736" w:type="pct"/>
            <w:vMerge w:val="restart"/>
            <w:noWrap w:val="0"/>
            <w:vAlign w:val="center"/>
          </w:tcPr>
          <w:p w14:paraId="26DB778B">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施工台阶坡度</w:t>
            </w:r>
          </w:p>
        </w:tc>
        <w:tc>
          <w:tcPr>
            <w:tcW w:w="1760" w:type="pct"/>
            <w:noWrap w:val="0"/>
            <w:vAlign w:val="center"/>
          </w:tcPr>
          <w:p w14:paraId="07C00FC7">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垂直</w:t>
            </w:r>
          </w:p>
        </w:tc>
        <w:tc>
          <w:tcPr>
            <w:tcW w:w="400" w:type="pct"/>
            <w:noWrap w:val="0"/>
            <w:vAlign w:val="center"/>
          </w:tcPr>
          <w:p w14:paraId="3434980D">
            <w:pPr>
              <w:jc w:val="center"/>
              <w:rPr>
                <w:rFonts w:hint="default" w:ascii="Times New Roman" w:hAnsi="Times New Roman" w:cs="Times New Roman"/>
                <w:color w:val="000000"/>
                <w:szCs w:val="21"/>
                <w:highlight w:val="none"/>
              </w:rPr>
            </w:pPr>
          </w:p>
        </w:tc>
        <w:tc>
          <w:tcPr>
            <w:tcW w:w="400" w:type="pct"/>
            <w:noWrap w:val="0"/>
            <w:vAlign w:val="center"/>
          </w:tcPr>
          <w:p w14:paraId="0DF911FB">
            <w:pPr>
              <w:jc w:val="center"/>
              <w:rPr>
                <w:rFonts w:hint="default" w:ascii="Times New Roman" w:hAnsi="Times New Roman" w:cs="Times New Roman"/>
                <w:color w:val="000000"/>
                <w:szCs w:val="21"/>
                <w:highlight w:val="none"/>
              </w:rPr>
            </w:pPr>
          </w:p>
        </w:tc>
        <w:tc>
          <w:tcPr>
            <w:tcW w:w="1362" w:type="pct"/>
            <w:noWrap w:val="0"/>
            <w:vAlign w:val="center"/>
          </w:tcPr>
          <w:p w14:paraId="310C8E68">
            <w:pPr>
              <w:jc w:val="center"/>
              <w:rPr>
                <w:rFonts w:hint="default" w:ascii="Times New Roman" w:hAnsi="Times New Roman" w:cs="Times New Roman"/>
                <w:color w:val="000000"/>
                <w:szCs w:val="21"/>
                <w:highlight w:val="none"/>
              </w:rPr>
            </w:pPr>
          </w:p>
        </w:tc>
      </w:tr>
      <w:tr w14:paraId="4C847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continue"/>
            <w:noWrap w:val="0"/>
            <w:vAlign w:val="center"/>
          </w:tcPr>
          <w:p w14:paraId="5B902A78">
            <w:pPr>
              <w:jc w:val="center"/>
              <w:rPr>
                <w:rFonts w:hint="default" w:ascii="Times New Roman" w:hAnsi="Times New Roman" w:cs="Times New Roman"/>
                <w:color w:val="000000"/>
                <w:szCs w:val="21"/>
                <w:highlight w:val="none"/>
              </w:rPr>
            </w:pPr>
          </w:p>
        </w:tc>
        <w:tc>
          <w:tcPr>
            <w:tcW w:w="736" w:type="pct"/>
            <w:vMerge w:val="continue"/>
            <w:noWrap w:val="0"/>
            <w:vAlign w:val="center"/>
          </w:tcPr>
          <w:p w14:paraId="6E5C3572">
            <w:pPr>
              <w:jc w:val="center"/>
              <w:rPr>
                <w:rFonts w:hint="default" w:ascii="Times New Roman" w:hAnsi="Times New Roman" w:cs="Times New Roman"/>
                <w:color w:val="000000"/>
                <w:szCs w:val="21"/>
                <w:highlight w:val="none"/>
              </w:rPr>
            </w:pPr>
          </w:p>
        </w:tc>
        <w:tc>
          <w:tcPr>
            <w:tcW w:w="1760" w:type="pct"/>
            <w:noWrap w:val="0"/>
            <w:vAlign w:val="center"/>
          </w:tcPr>
          <w:p w14:paraId="252156BE">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反坡（或开挖时反坡开挖）</w:t>
            </w:r>
          </w:p>
        </w:tc>
        <w:tc>
          <w:tcPr>
            <w:tcW w:w="400" w:type="pct"/>
            <w:noWrap w:val="0"/>
            <w:vAlign w:val="center"/>
          </w:tcPr>
          <w:p w14:paraId="24515D16">
            <w:pPr>
              <w:jc w:val="center"/>
              <w:rPr>
                <w:rFonts w:hint="default" w:ascii="Times New Roman" w:hAnsi="Times New Roman" w:cs="Times New Roman"/>
                <w:color w:val="000000"/>
                <w:szCs w:val="21"/>
                <w:highlight w:val="none"/>
              </w:rPr>
            </w:pPr>
          </w:p>
        </w:tc>
        <w:tc>
          <w:tcPr>
            <w:tcW w:w="400" w:type="pct"/>
            <w:noWrap w:val="0"/>
            <w:vAlign w:val="center"/>
          </w:tcPr>
          <w:p w14:paraId="172FBA9E">
            <w:pPr>
              <w:jc w:val="center"/>
              <w:rPr>
                <w:rFonts w:hint="default" w:ascii="Times New Roman" w:hAnsi="Times New Roman" w:cs="Times New Roman"/>
                <w:color w:val="000000"/>
                <w:szCs w:val="21"/>
                <w:highlight w:val="none"/>
              </w:rPr>
            </w:pPr>
          </w:p>
        </w:tc>
        <w:tc>
          <w:tcPr>
            <w:tcW w:w="1362" w:type="pct"/>
            <w:noWrap w:val="0"/>
            <w:vAlign w:val="center"/>
          </w:tcPr>
          <w:p w14:paraId="30C67A0C">
            <w:pPr>
              <w:jc w:val="center"/>
              <w:rPr>
                <w:rFonts w:hint="default" w:ascii="Times New Roman" w:hAnsi="Times New Roman" w:cs="Times New Roman"/>
                <w:color w:val="000000"/>
                <w:szCs w:val="21"/>
                <w:highlight w:val="none"/>
              </w:rPr>
            </w:pPr>
          </w:p>
        </w:tc>
      </w:tr>
      <w:tr w14:paraId="2FFC82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continue"/>
            <w:noWrap w:val="0"/>
            <w:vAlign w:val="center"/>
          </w:tcPr>
          <w:p w14:paraId="51E81A3B">
            <w:pPr>
              <w:jc w:val="center"/>
              <w:rPr>
                <w:rFonts w:hint="default" w:ascii="Times New Roman" w:hAnsi="Times New Roman" w:cs="Times New Roman"/>
                <w:color w:val="000000"/>
                <w:szCs w:val="21"/>
                <w:highlight w:val="none"/>
              </w:rPr>
            </w:pPr>
          </w:p>
        </w:tc>
        <w:tc>
          <w:tcPr>
            <w:tcW w:w="736" w:type="pct"/>
            <w:noWrap w:val="0"/>
            <w:vAlign w:val="center"/>
          </w:tcPr>
          <w:p w14:paraId="49BB240D">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超挖</w:t>
            </w:r>
          </w:p>
        </w:tc>
        <w:tc>
          <w:tcPr>
            <w:tcW w:w="1760" w:type="pct"/>
            <w:noWrap w:val="0"/>
            <w:vAlign w:val="center"/>
          </w:tcPr>
          <w:p w14:paraId="5F0646E0">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未按规定回填处理</w:t>
            </w:r>
          </w:p>
        </w:tc>
        <w:tc>
          <w:tcPr>
            <w:tcW w:w="400" w:type="pct"/>
            <w:noWrap w:val="0"/>
            <w:vAlign w:val="center"/>
          </w:tcPr>
          <w:p w14:paraId="6F6B0F74">
            <w:pPr>
              <w:jc w:val="center"/>
              <w:rPr>
                <w:rFonts w:hint="default" w:ascii="Times New Roman" w:hAnsi="Times New Roman" w:cs="Times New Roman"/>
                <w:color w:val="000000"/>
                <w:szCs w:val="21"/>
                <w:highlight w:val="none"/>
              </w:rPr>
            </w:pPr>
          </w:p>
        </w:tc>
        <w:tc>
          <w:tcPr>
            <w:tcW w:w="400" w:type="pct"/>
            <w:noWrap w:val="0"/>
            <w:vAlign w:val="center"/>
          </w:tcPr>
          <w:p w14:paraId="61C891FB">
            <w:pPr>
              <w:jc w:val="center"/>
              <w:rPr>
                <w:rFonts w:hint="default" w:ascii="Times New Roman" w:hAnsi="Times New Roman" w:cs="Times New Roman"/>
                <w:color w:val="000000"/>
                <w:szCs w:val="21"/>
                <w:highlight w:val="none"/>
              </w:rPr>
            </w:pPr>
          </w:p>
        </w:tc>
        <w:tc>
          <w:tcPr>
            <w:tcW w:w="1362" w:type="pct"/>
            <w:noWrap w:val="0"/>
            <w:vAlign w:val="center"/>
          </w:tcPr>
          <w:p w14:paraId="15615403">
            <w:pPr>
              <w:jc w:val="center"/>
              <w:rPr>
                <w:rFonts w:hint="default" w:ascii="Times New Roman" w:hAnsi="Times New Roman" w:cs="Times New Roman"/>
                <w:color w:val="000000"/>
                <w:szCs w:val="21"/>
                <w:highlight w:val="none"/>
              </w:rPr>
            </w:pPr>
          </w:p>
        </w:tc>
      </w:tr>
      <w:tr w14:paraId="391757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restart"/>
            <w:noWrap w:val="0"/>
            <w:vAlign w:val="center"/>
          </w:tcPr>
          <w:p w14:paraId="4B82D94A">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支护结构</w:t>
            </w:r>
          </w:p>
        </w:tc>
        <w:tc>
          <w:tcPr>
            <w:tcW w:w="736" w:type="pct"/>
            <w:vMerge w:val="restart"/>
            <w:tcBorders>
              <w:top w:val="single" w:color="auto" w:sz="4" w:space="0"/>
            </w:tcBorders>
            <w:noWrap w:val="0"/>
            <w:vAlign w:val="center"/>
          </w:tcPr>
          <w:p w14:paraId="551EB102">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变形</w:t>
            </w:r>
          </w:p>
        </w:tc>
        <w:tc>
          <w:tcPr>
            <w:tcW w:w="1760" w:type="pct"/>
            <w:tcBorders>
              <w:top w:val="single" w:color="auto" w:sz="4" w:space="0"/>
            </w:tcBorders>
            <w:noWrap w:val="0"/>
            <w:vAlign w:val="center"/>
          </w:tcPr>
          <w:p w14:paraId="79EC8C38">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出现裂缝</w:t>
            </w:r>
          </w:p>
        </w:tc>
        <w:tc>
          <w:tcPr>
            <w:tcW w:w="400" w:type="pct"/>
            <w:tcBorders>
              <w:top w:val="single" w:color="auto" w:sz="4" w:space="0"/>
            </w:tcBorders>
            <w:noWrap w:val="0"/>
            <w:vAlign w:val="center"/>
          </w:tcPr>
          <w:p w14:paraId="550D938B">
            <w:pPr>
              <w:jc w:val="center"/>
              <w:rPr>
                <w:rFonts w:hint="default" w:ascii="Times New Roman" w:hAnsi="Times New Roman" w:cs="Times New Roman"/>
                <w:color w:val="000000"/>
                <w:szCs w:val="21"/>
                <w:highlight w:val="none"/>
              </w:rPr>
            </w:pPr>
          </w:p>
        </w:tc>
        <w:tc>
          <w:tcPr>
            <w:tcW w:w="400" w:type="pct"/>
            <w:tcBorders>
              <w:top w:val="single" w:color="auto" w:sz="4" w:space="0"/>
            </w:tcBorders>
            <w:noWrap w:val="0"/>
            <w:vAlign w:val="center"/>
          </w:tcPr>
          <w:p w14:paraId="39642D5F">
            <w:pPr>
              <w:jc w:val="center"/>
              <w:rPr>
                <w:rFonts w:hint="default" w:ascii="Times New Roman" w:hAnsi="Times New Roman" w:cs="Times New Roman"/>
                <w:color w:val="000000"/>
                <w:szCs w:val="21"/>
                <w:highlight w:val="none"/>
              </w:rPr>
            </w:pPr>
          </w:p>
        </w:tc>
        <w:tc>
          <w:tcPr>
            <w:tcW w:w="1362" w:type="pct"/>
            <w:tcBorders>
              <w:top w:val="single" w:color="auto" w:sz="4" w:space="0"/>
            </w:tcBorders>
            <w:noWrap w:val="0"/>
            <w:vAlign w:val="center"/>
          </w:tcPr>
          <w:p w14:paraId="58766895">
            <w:pPr>
              <w:jc w:val="center"/>
              <w:rPr>
                <w:rFonts w:hint="default" w:ascii="Times New Roman" w:hAnsi="Times New Roman" w:cs="Times New Roman"/>
                <w:color w:val="000000"/>
                <w:szCs w:val="21"/>
                <w:highlight w:val="none"/>
              </w:rPr>
            </w:pPr>
          </w:p>
        </w:tc>
      </w:tr>
      <w:tr w14:paraId="1BFBC2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continue"/>
            <w:tcBorders>
              <w:top w:val="single" w:color="auto" w:sz="4" w:space="0"/>
            </w:tcBorders>
            <w:noWrap w:val="0"/>
            <w:vAlign w:val="center"/>
          </w:tcPr>
          <w:p w14:paraId="7524B80A">
            <w:pPr>
              <w:jc w:val="center"/>
              <w:rPr>
                <w:rFonts w:hint="default" w:ascii="Times New Roman" w:hAnsi="Times New Roman" w:cs="Times New Roman"/>
                <w:color w:val="000000"/>
                <w:szCs w:val="21"/>
                <w:highlight w:val="none"/>
              </w:rPr>
            </w:pPr>
          </w:p>
        </w:tc>
        <w:tc>
          <w:tcPr>
            <w:tcW w:w="736" w:type="pct"/>
            <w:vMerge w:val="continue"/>
            <w:tcBorders>
              <w:top w:val="single" w:color="auto" w:sz="4" w:space="0"/>
            </w:tcBorders>
            <w:noWrap w:val="0"/>
            <w:vAlign w:val="center"/>
          </w:tcPr>
          <w:p w14:paraId="0B4823EC">
            <w:pPr>
              <w:jc w:val="center"/>
              <w:rPr>
                <w:rFonts w:hint="default" w:ascii="Times New Roman" w:hAnsi="Times New Roman" w:cs="Times New Roman"/>
                <w:color w:val="000000"/>
                <w:szCs w:val="21"/>
                <w:highlight w:val="none"/>
              </w:rPr>
            </w:pPr>
          </w:p>
        </w:tc>
        <w:tc>
          <w:tcPr>
            <w:tcW w:w="1760" w:type="pct"/>
            <w:tcBorders>
              <w:top w:val="single" w:color="auto" w:sz="4" w:space="0"/>
            </w:tcBorders>
            <w:noWrap w:val="0"/>
            <w:vAlign w:val="center"/>
          </w:tcPr>
          <w:p w14:paraId="1CB0E85C">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剥离掉块</w:t>
            </w:r>
          </w:p>
        </w:tc>
        <w:tc>
          <w:tcPr>
            <w:tcW w:w="400" w:type="pct"/>
            <w:noWrap w:val="0"/>
            <w:vAlign w:val="center"/>
          </w:tcPr>
          <w:p w14:paraId="4DB56A32">
            <w:pPr>
              <w:jc w:val="center"/>
              <w:rPr>
                <w:rFonts w:hint="default" w:ascii="Times New Roman" w:hAnsi="Times New Roman" w:cs="Times New Roman"/>
                <w:color w:val="000000"/>
                <w:szCs w:val="21"/>
                <w:highlight w:val="none"/>
              </w:rPr>
            </w:pPr>
          </w:p>
        </w:tc>
        <w:tc>
          <w:tcPr>
            <w:tcW w:w="400" w:type="pct"/>
            <w:noWrap w:val="0"/>
            <w:vAlign w:val="center"/>
          </w:tcPr>
          <w:p w14:paraId="330D28EC">
            <w:pPr>
              <w:jc w:val="center"/>
              <w:rPr>
                <w:rFonts w:hint="default" w:ascii="Times New Roman" w:hAnsi="Times New Roman" w:cs="Times New Roman"/>
                <w:color w:val="000000"/>
                <w:szCs w:val="21"/>
                <w:highlight w:val="none"/>
              </w:rPr>
            </w:pPr>
          </w:p>
        </w:tc>
        <w:tc>
          <w:tcPr>
            <w:tcW w:w="1362" w:type="pct"/>
            <w:noWrap w:val="0"/>
            <w:vAlign w:val="center"/>
          </w:tcPr>
          <w:p w14:paraId="70CA75AB">
            <w:pPr>
              <w:jc w:val="center"/>
              <w:rPr>
                <w:rFonts w:hint="default" w:ascii="Times New Roman" w:hAnsi="Times New Roman" w:cs="Times New Roman"/>
                <w:color w:val="000000"/>
                <w:szCs w:val="21"/>
                <w:highlight w:val="none"/>
              </w:rPr>
            </w:pPr>
          </w:p>
        </w:tc>
      </w:tr>
      <w:tr w14:paraId="21E87C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continue"/>
            <w:noWrap w:val="0"/>
            <w:vAlign w:val="center"/>
          </w:tcPr>
          <w:p w14:paraId="28058B7E">
            <w:pPr>
              <w:jc w:val="center"/>
              <w:rPr>
                <w:rFonts w:hint="default" w:ascii="Times New Roman" w:hAnsi="Times New Roman" w:cs="Times New Roman"/>
                <w:color w:val="000000"/>
                <w:szCs w:val="21"/>
                <w:highlight w:val="none"/>
              </w:rPr>
            </w:pPr>
          </w:p>
        </w:tc>
        <w:tc>
          <w:tcPr>
            <w:tcW w:w="736" w:type="pct"/>
            <w:vMerge w:val="continue"/>
            <w:noWrap w:val="0"/>
            <w:vAlign w:val="center"/>
          </w:tcPr>
          <w:p w14:paraId="7EDD0EE8">
            <w:pPr>
              <w:jc w:val="center"/>
              <w:rPr>
                <w:rFonts w:hint="default" w:ascii="Times New Roman" w:hAnsi="Times New Roman" w:cs="Times New Roman"/>
                <w:color w:val="000000"/>
                <w:szCs w:val="21"/>
                <w:highlight w:val="none"/>
              </w:rPr>
            </w:pPr>
          </w:p>
        </w:tc>
        <w:tc>
          <w:tcPr>
            <w:tcW w:w="1760" w:type="pct"/>
            <w:noWrap w:val="0"/>
            <w:vAlign w:val="center"/>
          </w:tcPr>
          <w:p w14:paraId="4A40DABB">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支护结构出现扭曲变形</w:t>
            </w:r>
          </w:p>
        </w:tc>
        <w:tc>
          <w:tcPr>
            <w:tcW w:w="400" w:type="pct"/>
            <w:noWrap w:val="0"/>
            <w:vAlign w:val="center"/>
          </w:tcPr>
          <w:p w14:paraId="5AC68D6D">
            <w:pPr>
              <w:jc w:val="center"/>
              <w:rPr>
                <w:rFonts w:hint="default" w:ascii="Times New Roman" w:hAnsi="Times New Roman" w:cs="Times New Roman"/>
                <w:color w:val="000000"/>
                <w:szCs w:val="21"/>
                <w:highlight w:val="none"/>
              </w:rPr>
            </w:pPr>
          </w:p>
        </w:tc>
        <w:tc>
          <w:tcPr>
            <w:tcW w:w="400" w:type="pct"/>
            <w:noWrap w:val="0"/>
            <w:vAlign w:val="center"/>
          </w:tcPr>
          <w:p w14:paraId="7BFFDF43">
            <w:pPr>
              <w:jc w:val="center"/>
              <w:rPr>
                <w:rFonts w:hint="default" w:ascii="Times New Roman" w:hAnsi="Times New Roman" w:cs="Times New Roman"/>
                <w:color w:val="000000"/>
                <w:szCs w:val="21"/>
                <w:highlight w:val="none"/>
              </w:rPr>
            </w:pPr>
          </w:p>
        </w:tc>
        <w:tc>
          <w:tcPr>
            <w:tcW w:w="1362" w:type="pct"/>
            <w:noWrap w:val="0"/>
            <w:vAlign w:val="center"/>
          </w:tcPr>
          <w:p w14:paraId="17061A56">
            <w:pPr>
              <w:jc w:val="center"/>
              <w:rPr>
                <w:rFonts w:hint="default" w:ascii="Times New Roman" w:hAnsi="Times New Roman" w:cs="Times New Roman"/>
                <w:color w:val="000000"/>
                <w:szCs w:val="21"/>
                <w:highlight w:val="none"/>
              </w:rPr>
            </w:pPr>
          </w:p>
        </w:tc>
      </w:tr>
      <w:tr w14:paraId="5C24FC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continue"/>
            <w:noWrap w:val="0"/>
            <w:vAlign w:val="center"/>
          </w:tcPr>
          <w:p w14:paraId="504B8B50">
            <w:pPr>
              <w:jc w:val="center"/>
              <w:rPr>
                <w:rFonts w:hint="default" w:ascii="Times New Roman" w:hAnsi="Times New Roman" w:cs="Times New Roman"/>
                <w:color w:val="000000"/>
                <w:szCs w:val="21"/>
                <w:highlight w:val="none"/>
              </w:rPr>
            </w:pPr>
          </w:p>
        </w:tc>
        <w:tc>
          <w:tcPr>
            <w:tcW w:w="736" w:type="pct"/>
            <w:vMerge w:val="restart"/>
            <w:noWrap w:val="0"/>
            <w:vAlign w:val="center"/>
          </w:tcPr>
          <w:p w14:paraId="025E69E8">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喷射混凝土</w:t>
            </w:r>
          </w:p>
        </w:tc>
        <w:tc>
          <w:tcPr>
            <w:tcW w:w="1760" w:type="pct"/>
            <w:noWrap w:val="0"/>
            <w:vAlign w:val="center"/>
          </w:tcPr>
          <w:p w14:paraId="208B6A86">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厚度未满足设计和施工方案要求</w:t>
            </w:r>
          </w:p>
        </w:tc>
        <w:tc>
          <w:tcPr>
            <w:tcW w:w="400" w:type="pct"/>
            <w:noWrap w:val="0"/>
            <w:vAlign w:val="center"/>
          </w:tcPr>
          <w:p w14:paraId="176D3798">
            <w:pPr>
              <w:jc w:val="center"/>
              <w:rPr>
                <w:rFonts w:hint="default" w:ascii="Times New Roman" w:hAnsi="Times New Roman" w:cs="Times New Roman"/>
                <w:color w:val="000000"/>
                <w:szCs w:val="21"/>
                <w:highlight w:val="none"/>
              </w:rPr>
            </w:pPr>
          </w:p>
        </w:tc>
        <w:tc>
          <w:tcPr>
            <w:tcW w:w="400" w:type="pct"/>
            <w:noWrap w:val="0"/>
            <w:vAlign w:val="center"/>
          </w:tcPr>
          <w:p w14:paraId="78F37316">
            <w:pPr>
              <w:jc w:val="center"/>
              <w:rPr>
                <w:rFonts w:hint="default" w:ascii="Times New Roman" w:hAnsi="Times New Roman" w:cs="Times New Roman"/>
                <w:color w:val="000000"/>
                <w:szCs w:val="21"/>
                <w:highlight w:val="none"/>
              </w:rPr>
            </w:pPr>
          </w:p>
        </w:tc>
        <w:tc>
          <w:tcPr>
            <w:tcW w:w="1362" w:type="pct"/>
            <w:noWrap w:val="0"/>
            <w:vAlign w:val="center"/>
          </w:tcPr>
          <w:p w14:paraId="707AEA9D">
            <w:pPr>
              <w:jc w:val="center"/>
              <w:rPr>
                <w:rFonts w:hint="default" w:ascii="Times New Roman" w:hAnsi="Times New Roman" w:cs="Times New Roman"/>
                <w:color w:val="000000"/>
                <w:szCs w:val="21"/>
                <w:highlight w:val="none"/>
              </w:rPr>
            </w:pPr>
          </w:p>
        </w:tc>
      </w:tr>
      <w:tr w14:paraId="203E1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continue"/>
            <w:noWrap w:val="0"/>
            <w:vAlign w:val="center"/>
          </w:tcPr>
          <w:p w14:paraId="02F37F7E">
            <w:pPr>
              <w:jc w:val="center"/>
              <w:rPr>
                <w:rFonts w:hint="default" w:ascii="Times New Roman" w:hAnsi="Times New Roman" w:cs="Times New Roman"/>
                <w:color w:val="000000"/>
                <w:szCs w:val="21"/>
                <w:highlight w:val="none"/>
              </w:rPr>
            </w:pPr>
          </w:p>
        </w:tc>
        <w:tc>
          <w:tcPr>
            <w:tcW w:w="736" w:type="pct"/>
            <w:vMerge w:val="continue"/>
            <w:noWrap w:val="0"/>
            <w:vAlign w:val="center"/>
          </w:tcPr>
          <w:p w14:paraId="6AD8713E">
            <w:pPr>
              <w:jc w:val="center"/>
              <w:rPr>
                <w:rFonts w:hint="default" w:ascii="Times New Roman" w:hAnsi="Times New Roman" w:cs="Times New Roman"/>
                <w:color w:val="000000"/>
                <w:szCs w:val="21"/>
                <w:highlight w:val="none"/>
              </w:rPr>
            </w:pPr>
          </w:p>
        </w:tc>
        <w:tc>
          <w:tcPr>
            <w:tcW w:w="1760" w:type="pct"/>
            <w:noWrap w:val="0"/>
            <w:vAlign w:val="center"/>
          </w:tcPr>
          <w:p w14:paraId="0789062B">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存在漏喷、离鼓现象</w:t>
            </w:r>
          </w:p>
        </w:tc>
        <w:tc>
          <w:tcPr>
            <w:tcW w:w="400" w:type="pct"/>
            <w:noWrap w:val="0"/>
            <w:vAlign w:val="center"/>
          </w:tcPr>
          <w:p w14:paraId="18F44927">
            <w:pPr>
              <w:jc w:val="center"/>
              <w:rPr>
                <w:rFonts w:hint="default" w:ascii="Times New Roman" w:hAnsi="Times New Roman" w:cs="Times New Roman"/>
                <w:color w:val="000000"/>
                <w:szCs w:val="21"/>
                <w:highlight w:val="none"/>
              </w:rPr>
            </w:pPr>
          </w:p>
        </w:tc>
        <w:tc>
          <w:tcPr>
            <w:tcW w:w="400" w:type="pct"/>
            <w:noWrap w:val="0"/>
            <w:vAlign w:val="center"/>
          </w:tcPr>
          <w:p w14:paraId="7F91ACFD">
            <w:pPr>
              <w:jc w:val="center"/>
              <w:rPr>
                <w:rFonts w:hint="default" w:ascii="Times New Roman" w:hAnsi="Times New Roman" w:cs="Times New Roman"/>
                <w:color w:val="000000"/>
                <w:szCs w:val="21"/>
                <w:highlight w:val="none"/>
              </w:rPr>
            </w:pPr>
          </w:p>
        </w:tc>
        <w:tc>
          <w:tcPr>
            <w:tcW w:w="1362" w:type="pct"/>
            <w:noWrap w:val="0"/>
            <w:vAlign w:val="center"/>
          </w:tcPr>
          <w:p w14:paraId="429224AA">
            <w:pPr>
              <w:jc w:val="center"/>
              <w:rPr>
                <w:rFonts w:hint="default" w:ascii="Times New Roman" w:hAnsi="Times New Roman" w:cs="Times New Roman"/>
                <w:color w:val="000000"/>
                <w:szCs w:val="21"/>
                <w:highlight w:val="none"/>
              </w:rPr>
            </w:pPr>
          </w:p>
        </w:tc>
      </w:tr>
      <w:tr w14:paraId="1AA8E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continue"/>
            <w:noWrap w:val="0"/>
            <w:vAlign w:val="center"/>
          </w:tcPr>
          <w:p w14:paraId="206EAE55">
            <w:pPr>
              <w:jc w:val="center"/>
              <w:rPr>
                <w:rFonts w:hint="default" w:ascii="Times New Roman" w:hAnsi="Times New Roman" w:cs="Times New Roman"/>
                <w:color w:val="000000"/>
                <w:szCs w:val="21"/>
                <w:highlight w:val="none"/>
              </w:rPr>
            </w:pPr>
          </w:p>
        </w:tc>
        <w:tc>
          <w:tcPr>
            <w:tcW w:w="736" w:type="pct"/>
            <w:vMerge w:val="continue"/>
            <w:noWrap w:val="0"/>
            <w:vAlign w:val="center"/>
          </w:tcPr>
          <w:p w14:paraId="5BE5E498">
            <w:pPr>
              <w:jc w:val="center"/>
              <w:rPr>
                <w:rFonts w:hint="default" w:ascii="Times New Roman" w:hAnsi="Times New Roman" w:cs="Times New Roman"/>
                <w:color w:val="000000"/>
                <w:szCs w:val="21"/>
                <w:highlight w:val="none"/>
              </w:rPr>
            </w:pPr>
          </w:p>
        </w:tc>
        <w:tc>
          <w:tcPr>
            <w:tcW w:w="1760" w:type="pct"/>
            <w:noWrap w:val="0"/>
            <w:vAlign w:val="center"/>
          </w:tcPr>
          <w:p w14:paraId="7336F0BD">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初支格栅或钢筋网外露</w:t>
            </w:r>
          </w:p>
        </w:tc>
        <w:tc>
          <w:tcPr>
            <w:tcW w:w="400" w:type="pct"/>
            <w:noWrap w:val="0"/>
            <w:vAlign w:val="center"/>
          </w:tcPr>
          <w:p w14:paraId="6F680F6B">
            <w:pPr>
              <w:jc w:val="center"/>
              <w:rPr>
                <w:rFonts w:hint="default" w:ascii="Times New Roman" w:hAnsi="Times New Roman" w:cs="Times New Roman"/>
                <w:color w:val="000000"/>
                <w:szCs w:val="21"/>
                <w:highlight w:val="none"/>
              </w:rPr>
            </w:pPr>
          </w:p>
        </w:tc>
        <w:tc>
          <w:tcPr>
            <w:tcW w:w="400" w:type="pct"/>
            <w:noWrap w:val="0"/>
            <w:vAlign w:val="center"/>
          </w:tcPr>
          <w:p w14:paraId="006E0C74">
            <w:pPr>
              <w:jc w:val="center"/>
              <w:rPr>
                <w:rFonts w:hint="default" w:ascii="Times New Roman" w:hAnsi="Times New Roman" w:cs="Times New Roman"/>
                <w:color w:val="000000"/>
                <w:szCs w:val="21"/>
                <w:highlight w:val="none"/>
              </w:rPr>
            </w:pPr>
          </w:p>
        </w:tc>
        <w:tc>
          <w:tcPr>
            <w:tcW w:w="1362" w:type="pct"/>
            <w:noWrap w:val="0"/>
            <w:vAlign w:val="center"/>
          </w:tcPr>
          <w:p w14:paraId="16718B13">
            <w:pPr>
              <w:jc w:val="center"/>
              <w:rPr>
                <w:rFonts w:hint="default" w:ascii="Times New Roman" w:hAnsi="Times New Roman" w:cs="Times New Roman"/>
                <w:color w:val="000000"/>
                <w:szCs w:val="21"/>
                <w:highlight w:val="none"/>
              </w:rPr>
            </w:pPr>
          </w:p>
        </w:tc>
      </w:tr>
    </w:tbl>
    <w:p w14:paraId="066932A7">
      <w:pPr>
        <w:spacing w:line="312" w:lineRule="auto"/>
        <w:jc w:val="center"/>
        <w:rPr>
          <w:rFonts w:hint="default" w:ascii="Times New Roman" w:hAnsi="Times New Roman" w:cs="Times New Roman"/>
          <w:color w:val="000000"/>
          <w:sz w:val="24"/>
          <w:highlight w:val="none"/>
        </w:rPr>
      </w:pPr>
    </w:p>
    <w:p w14:paraId="08CC199F">
      <w:pPr>
        <w:spacing w:line="312" w:lineRule="auto"/>
        <w:jc w:val="center"/>
        <w:rPr>
          <w:rFonts w:hint="default" w:ascii="Times New Roman" w:hAnsi="Times New Roman" w:cs="Times New Roman"/>
          <w:color w:val="000000"/>
          <w:szCs w:val="21"/>
          <w:highlight w:val="none"/>
        </w:rPr>
      </w:pPr>
      <w:r>
        <w:rPr>
          <w:rFonts w:hint="default" w:ascii="Times New Roman" w:hAnsi="Times New Roman" w:cs="Times New Roman"/>
          <w:color w:val="000000"/>
          <w:sz w:val="24"/>
          <w:highlight w:val="none"/>
        </w:rPr>
        <w:br w:type="page"/>
      </w:r>
      <w:r>
        <w:rPr>
          <w:rFonts w:hint="default" w:ascii="Times New Roman" w:hAnsi="Times New Roman" w:cs="Times New Roman"/>
          <w:color w:val="000000"/>
          <w:szCs w:val="21"/>
          <w:highlight w:val="none"/>
        </w:rPr>
        <w:t>续表</w:t>
      </w:r>
      <w:r>
        <w:rPr>
          <w:rFonts w:hint="eastAsia" w:ascii="Times New Roman" w:hAnsi="Times New Roman" w:cs="Times New Roman"/>
          <w:color w:val="000000"/>
          <w:szCs w:val="21"/>
          <w:highlight w:val="none"/>
          <w:lang w:val="en-US" w:eastAsia="zh-CN"/>
        </w:rPr>
        <w:t>J</w:t>
      </w:r>
      <w:r>
        <w:rPr>
          <w:rFonts w:hint="default" w:ascii="Times New Roman" w:hAnsi="Times New Roman" w:cs="Times New Roman"/>
          <w:color w:val="000000"/>
          <w:szCs w:val="21"/>
          <w:highlight w:val="none"/>
        </w:rPr>
        <w:t>.0.1</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96"/>
        <w:gridCol w:w="2984"/>
        <w:gridCol w:w="697"/>
        <w:gridCol w:w="176"/>
        <w:gridCol w:w="522"/>
        <w:gridCol w:w="2308"/>
      </w:tblGrid>
      <w:tr w14:paraId="30B9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blHeader/>
          <w:jc w:val="center"/>
        </w:trPr>
        <w:tc>
          <w:tcPr>
            <w:tcW w:w="1075" w:type="pct"/>
            <w:gridSpan w:val="2"/>
            <w:vMerge w:val="restart"/>
            <w:noWrap w:val="0"/>
            <w:vAlign w:val="center"/>
          </w:tcPr>
          <w:p w14:paraId="46F759DC">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巡查内容</w:t>
            </w:r>
          </w:p>
        </w:tc>
        <w:tc>
          <w:tcPr>
            <w:tcW w:w="1751" w:type="pct"/>
            <w:vMerge w:val="restart"/>
            <w:noWrap w:val="0"/>
            <w:vAlign w:val="center"/>
          </w:tcPr>
          <w:p w14:paraId="1A55AD33">
            <w:pPr>
              <w:jc w:val="center"/>
              <w:rPr>
                <w:rFonts w:hint="default" w:ascii="Times New Roman" w:hAnsi="Times New Roman" w:cs="Times New Roman"/>
                <w:color w:val="000000"/>
                <w:szCs w:val="21"/>
                <w:highlight w:val="none"/>
                <w:lang w:eastAsia="zh-TW"/>
              </w:rPr>
            </w:pPr>
            <w:r>
              <w:rPr>
                <w:rFonts w:hint="default" w:ascii="Times New Roman" w:hAnsi="Times New Roman" w:cs="Times New Roman"/>
                <w:color w:val="000000"/>
                <w:szCs w:val="21"/>
                <w:highlight w:val="none"/>
              </w:rPr>
              <w:t>巡查状况描述</w:t>
            </w:r>
          </w:p>
        </w:tc>
        <w:tc>
          <w:tcPr>
            <w:tcW w:w="818" w:type="pct"/>
            <w:gridSpan w:val="3"/>
            <w:noWrap w:val="0"/>
            <w:vAlign w:val="center"/>
          </w:tcPr>
          <w:p w14:paraId="1954E4B2">
            <w:pPr>
              <w:jc w:val="center"/>
              <w:rPr>
                <w:rFonts w:hint="eastAsia" w:ascii="Times New Roman" w:hAnsi="Times New Roman" w:eastAsia="宋体" w:cs="Times New Roman"/>
                <w:color w:val="000000"/>
                <w:szCs w:val="21"/>
                <w:highlight w:val="none"/>
                <w:lang w:eastAsia="zh-CN"/>
              </w:rPr>
            </w:pPr>
            <w:r>
              <w:rPr>
                <w:rFonts w:hint="eastAsia" w:ascii="Times New Roman" w:hAnsi="Times New Roman" w:cs="Times New Roman"/>
                <w:color w:val="0000FF"/>
                <w:szCs w:val="21"/>
                <w:highlight w:val="none"/>
                <w:lang w:val="en-US" w:eastAsia="zh-CN"/>
              </w:rPr>
              <w:t>巡查结果</w:t>
            </w:r>
          </w:p>
        </w:tc>
        <w:tc>
          <w:tcPr>
            <w:tcW w:w="1354" w:type="pct"/>
            <w:vMerge w:val="restart"/>
            <w:noWrap w:val="0"/>
            <w:vAlign w:val="center"/>
          </w:tcPr>
          <w:p w14:paraId="79DA8635">
            <w:pPr>
              <w:jc w:val="center"/>
              <w:rPr>
                <w:rFonts w:hint="eastAsia" w:ascii="Times New Roman" w:hAnsi="Times New Roman" w:cs="Times New Roman"/>
                <w:color w:val="0000FF"/>
                <w:szCs w:val="21"/>
                <w:highlight w:val="none"/>
                <w:lang w:val="en-US" w:eastAsia="zh-CN"/>
              </w:rPr>
            </w:pPr>
            <w:r>
              <w:rPr>
                <w:rFonts w:hint="eastAsia" w:ascii="Times New Roman" w:hAnsi="Times New Roman" w:cs="Times New Roman"/>
                <w:color w:val="0000FF"/>
                <w:szCs w:val="21"/>
                <w:highlight w:val="none"/>
                <w:lang w:val="en-US" w:eastAsia="zh-CN"/>
              </w:rPr>
              <w:t>详细描述</w:t>
            </w:r>
          </w:p>
        </w:tc>
      </w:tr>
      <w:tr w14:paraId="3886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blHeader/>
          <w:jc w:val="center"/>
        </w:trPr>
        <w:tc>
          <w:tcPr>
            <w:tcW w:w="1075" w:type="pct"/>
            <w:gridSpan w:val="2"/>
            <w:vMerge w:val="continue"/>
            <w:noWrap w:val="0"/>
            <w:vAlign w:val="center"/>
          </w:tcPr>
          <w:p w14:paraId="3244BEA0">
            <w:pPr>
              <w:jc w:val="center"/>
              <w:rPr>
                <w:rFonts w:hint="default" w:ascii="Times New Roman" w:hAnsi="Times New Roman" w:cs="Times New Roman"/>
                <w:color w:val="000000"/>
                <w:szCs w:val="21"/>
                <w:highlight w:val="none"/>
              </w:rPr>
            </w:pPr>
          </w:p>
        </w:tc>
        <w:tc>
          <w:tcPr>
            <w:tcW w:w="1751" w:type="pct"/>
            <w:vMerge w:val="continue"/>
            <w:noWrap w:val="0"/>
            <w:vAlign w:val="center"/>
          </w:tcPr>
          <w:p w14:paraId="012AD490">
            <w:pPr>
              <w:jc w:val="center"/>
              <w:rPr>
                <w:rFonts w:hint="default" w:ascii="Times New Roman" w:hAnsi="Times New Roman" w:cs="Times New Roman"/>
                <w:color w:val="000000"/>
                <w:szCs w:val="21"/>
                <w:highlight w:val="none"/>
              </w:rPr>
            </w:pPr>
          </w:p>
        </w:tc>
        <w:tc>
          <w:tcPr>
            <w:tcW w:w="512" w:type="pct"/>
            <w:gridSpan w:val="2"/>
            <w:noWrap w:val="0"/>
            <w:vAlign w:val="center"/>
          </w:tcPr>
          <w:p w14:paraId="183FE595">
            <w:pPr>
              <w:jc w:val="center"/>
              <w:rPr>
                <w:rFonts w:hint="eastAsia" w:ascii="Times New Roman" w:hAnsi="Times New Roman" w:cs="Times New Roman"/>
                <w:color w:val="0000FF"/>
                <w:szCs w:val="21"/>
                <w:highlight w:val="none"/>
                <w:lang w:val="en-US" w:eastAsia="zh-CN"/>
              </w:rPr>
            </w:pPr>
            <w:r>
              <w:rPr>
                <w:rFonts w:hint="eastAsia" w:ascii="Times New Roman" w:hAnsi="Times New Roman" w:cs="Times New Roman"/>
                <w:color w:val="000000"/>
                <w:szCs w:val="21"/>
                <w:highlight w:val="none"/>
                <w:lang w:val="en-US" w:eastAsia="zh-CN"/>
              </w:rPr>
              <w:t>是</w:t>
            </w:r>
          </w:p>
        </w:tc>
        <w:tc>
          <w:tcPr>
            <w:tcW w:w="306" w:type="pct"/>
            <w:noWrap w:val="0"/>
            <w:vAlign w:val="center"/>
          </w:tcPr>
          <w:p w14:paraId="0D768A50">
            <w:pPr>
              <w:jc w:val="center"/>
              <w:rPr>
                <w:rFonts w:hint="eastAsia" w:ascii="Times New Roman" w:hAnsi="Times New Roman" w:cs="Times New Roman"/>
                <w:color w:val="0000FF"/>
                <w:szCs w:val="21"/>
                <w:highlight w:val="none"/>
                <w:lang w:val="en-US" w:eastAsia="zh-CN"/>
              </w:rPr>
            </w:pPr>
            <w:r>
              <w:rPr>
                <w:rFonts w:hint="eastAsia" w:ascii="Times New Roman" w:hAnsi="Times New Roman" w:cs="Times New Roman"/>
                <w:color w:val="000000"/>
                <w:szCs w:val="21"/>
                <w:highlight w:val="none"/>
                <w:lang w:val="en-US" w:eastAsia="zh-CN"/>
              </w:rPr>
              <w:t>否</w:t>
            </w:r>
          </w:p>
        </w:tc>
        <w:tc>
          <w:tcPr>
            <w:tcW w:w="1354" w:type="pct"/>
            <w:vMerge w:val="continue"/>
            <w:noWrap w:val="0"/>
            <w:vAlign w:val="center"/>
          </w:tcPr>
          <w:p w14:paraId="1438FEF1">
            <w:pPr>
              <w:jc w:val="center"/>
              <w:rPr>
                <w:rFonts w:hint="eastAsia" w:ascii="Times New Roman" w:hAnsi="Times New Roman" w:cs="Times New Roman"/>
                <w:color w:val="0000FF"/>
                <w:szCs w:val="21"/>
                <w:highlight w:val="none"/>
                <w:lang w:val="en-US" w:eastAsia="zh-CN"/>
              </w:rPr>
            </w:pPr>
          </w:p>
        </w:tc>
      </w:tr>
      <w:tr w14:paraId="049C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549" w:type="pct"/>
            <w:vMerge w:val="restart"/>
            <w:noWrap w:val="0"/>
            <w:vAlign w:val="center"/>
          </w:tcPr>
          <w:p w14:paraId="24A4BDBB">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建（构）筑物</w:t>
            </w:r>
          </w:p>
        </w:tc>
        <w:tc>
          <w:tcPr>
            <w:tcW w:w="525" w:type="pct"/>
            <w:noWrap w:val="0"/>
            <w:vAlign w:val="center"/>
          </w:tcPr>
          <w:p w14:paraId="6DD3F2C3">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建构筑物开裂、剥落</w:t>
            </w:r>
          </w:p>
        </w:tc>
        <w:tc>
          <w:tcPr>
            <w:tcW w:w="1751" w:type="pct"/>
            <w:noWrap w:val="0"/>
            <w:vAlign w:val="center"/>
          </w:tcPr>
          <w:p w14:paraId="5A7DE0C1">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建构筑物承重墙体、柱或梁出现开裂、剥落</w:t>
            </w:r>
          </w:p>
        </w:tc>
        <w:tc>
          <w:tcPr>
            <w:tcW w:w="409" w:type="pct"/>
            <w:noWrap w:val="0"/>
            <w:vAlign w:val="center"/>
          </w:tcPr>
          <w:p w14:paraId="769FD2E3">
            <w:pPr>
              <w:jc w:val="center"/>
              <w:rPr>
                <w:rFonts w:hint="default" w:ascii="Times New Roman" w:hAnsi="Times New Roman" w:cs="Times New Roman"/>
                <w:color w:val="000000"/>
                <w:szCs w:val="21"/>
                <w:highlight w:val="none"/>
                <w:lang w:eastAsia="zh-TW"/>
              </w:rPr>
            </w:pPr>
          </w:p>
        </w:tc>
        <w:tc>
          <w:tcPr>
            <w:tcW w:w="409" w:type="pct"/>
            <w:gridSpan w:val="2"/>
            <w:noWrap w:val="0"/>
            <w:vAlign w:val="center"/>
          </w:tcPr>
          <w:p w14:paraId="2CE0CD84">
            <w:pPr>
              <w:jc w:val="center"/>
              <w:rPr>
                <w:rFonts w:hint="default" w:ascii="Times New Roman" w:hAnsi="Times New Roman" w:cs="Times New Roman"/>
                <w:color w:val="000000"/>
                <w:szCs w:val="21"/>
                <w:highlight w:val="none"/>
                <w:lang w:eastAsia="zh-TW"/>
              </w:rPr>
            </w:pPr>
          </w:p>
        </w:tc>
        <w:tc>
          <w:tcPr>
            <w:tcW w:w="1354" w:type="pct"/>
            <w:noWrap w:val="0"/>
            <w:vAlign w:val="center"/>
          </w:tcPr>
          <w:p w14:paraId="3C4CA91A">
            <w:pPr>
              <w:jc w:val="center"/>
              <w:rPr>
                <w:rFonts w:hint="default" w:ascii="Times New Roman" w:hAnsi="Times New Roman" w:cs="Times New Roman"/>
                <w:color w:val="000000"/>
                <w:szCs w:val="21"/>
                <w:highlight w:val="none"/>
                <w:lang w:eastAsia="zh-TW"/>
              </w:rPr>
            </w:pPr>
          </w:p>
        </w:tc>
      </w:tr>
      <w:tr w14:paraId="3E69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9" w:type="pct"/>
            <w:vMerge w:val="continue"/>
            <w:noWrap w:val="0"/>
            <w:vAlign w:val="center"/>
          </w:tcPr>
          <w:p w14:paraId="52AD65F5">
            <w:pPr>
              <w:jc w:val="center"/>
              <w:rPr>
                <w:rFonts w:hint="default" w:ascii="Times New Roman" w:hAnsi="Times New Roman" w:cs="Times New Roman"/>
                <w:color w:val="000000"/>
                <w:szCs w:val="21"/>
                <w:highlight w:val="none"/>
              </w:rPr>
            </w:pPr>
          </w:p>
        </w:tc>
        <w:tc>
          <w:tcPr>
            <w:tcW w:w="525" w:type="pct"/>
            <w:vMerge w:val="restart"/>
            <w:noWrap w:val="0"/>
            <w:vAlign w:val="center"/>
          </w:tcPr>
          <w:p w14:paraId="4A10A0FA">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地下室渗水</w:t>
            </w:r>
          </w:p>
        </w:tc>
        <w:tc>
          <w:tcPr>
            <w:tcW w:w="1751" w:type="pct"/>
            <w:noWrap w:val="0"/>
            <w:vAlign w:val="center"/>
          </w:tcPr>
          <w:p w14:paraId="00E13EC6">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墙面或顶板渗水、滴水</w:t>
            </w:r>
          </w:p>
        </w:tc>
        <w:tc>
          <w:tcPr>
            <w:tcW w:w="409" w:type="pct"/>
            <w:noWrap w:val="0"/>
            <w:vAlign w:val="center"/>
          </w:tcPr>
          <w:p w14:paraId="471578B8">
            <w:pPr>
              <w:jc w:val="center"/>
              <w:rPr>
                <w:rFonts w:hint="default" w:ascii="Times New Roman" w:hAnsi="Times New Roman" w:cs="Times New Roman"/>
                <w:color w:val="000000"/>
                <w:szCs w:val="21"/>
                <w:highlight w:val="none"/>
                <w:lang w:eastAsia="zh-TW"/>
              </w:rPr>
            </w:pPr>
          </w:p>
        </w:tc>
        <w:tc>
          <w:tcPr>
            <w:tcW w:w="409" w:type="pct"/>
            <w:gridSpan w:val="2"/>
            <w:noWrap w:val="0"/>
            <w:vAlign w:val="center"/>
          </w:tcPr>
          <w:p w14:paraId="723D0016">
            <w:pPr>
              <w:jc w:val="center"/>
              <w:rPr>
                <w:rFonts w:hint="default" w:ascii="Times New Roman" w:hAnsi="Times New Roman" w:cs="Times New Roman"/>
                <w:color w:val="000000"/>
                <w:szCs w:val="21"/>
                <w:highlight w:val="none"/>
              </w:rPr>
            </w:pPr>
          </w:p>
        </w:tc>
        <w:tc>
          <w:tcPr>
            <w:tcW w:w="1354" w:type="pct"/>
            <w:noWrap w:val="0"/>
            <w:vAlign w:val="center"/>
          </w:tcPr>
          <w:p w14:paraId="41587745">
            <w:pPr>
              <w:jc w:val="center"/>
              <w:rPr>
                <w:rFonts w:hint="default" w:ascii="Times New Roman" w:hAnsi="Times New Roman" w:cs="Times New Roman"/>
                <w:color w:val="000000"/>
                <w:szCs w:val="21"/>
                <w:highlight w:val="none"/>
              </w:rPr>
            </w:pPr>
          </w:p>
        </w:tc>
      </w:tr>
      <w:tr w14:paraId="7ED5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9" w:type="pct"/>
            <w:vMerge w:val="continue"/>
            <w:noWrap w:val="0"/>
            <w:vAlign w:val="center"/>
          </w:tcPr>
          <w:p w14:paraId="02A0BA03">
            <w:pPr>
              <w:jc w:val="center"/>
              <w:rPr>
                <w:rFonts w:hint="default" w:ascii="Times New Roman" w:hAnsi="Times New Roman" w:cs="Times New Roman"/>
                <w:color w:val="000000"/>
                <w:szCs w:val="21"/>
                <w:highlight w:val="none"/>
              </w:rPr>
            </w:pPr>
          </w:p>
        </w:tc>
        <w:tc>
          <w:tcPr>
            <w:tcW w:w="525" w:type="pct"/>
            <w:vMerge w:val="continue"/>
            <w:noWrap w:val="0"/>
            <w:vAlign w:val="center"/>
          </w:tcPr>
          <w:p w14:paraId="09D6374A">
            <w:pPr>
              <w:jc w:val="center"/>
              <w:rPr>
                <w:rFonts w:hint="default" w:ascii="Times New Roman" w:hAnsi="Times New Roman" w:cs="Times New Roman"/>
                <w:color w:val="000000"/>
                <w:szCs w:val="21"/>
                <w:highlight w:val="none"/>
              </w:rPr>
            </w:pPr>
          </w:p>
        </w:tc>
        <w:tc>
          <w:tcPr>
            <w:tcW w:w="1751" w:type="pct"/>
            <w:noWrap w:val="0"/>
            <w:vAlign w:val="center"/>
          </w:tcPr>
          <w:p w14:paraId="07144604">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墙面或顶板涌水</w:t>
            </w:r>
          </w:p>
        </w:tc>
        <w:tc>
          <w:tcPr>
            <w:tcW w:w="409" w:type="pct"/>
            <w:noWrap w:val="0"/>
            <w:vAlign w:val="center"/>
          </w:tcPr>
          <w:p w14:paraId="60D480BC">
            <w:pPr>
              <w:jc w:val="center"/>
              <w:rPr>
                <w:rFonts w:hint="default" w:ascii="Times New Roman" w:hAnsi="Times New Roman" w:cs="Times New Roman"/>
                <w:color w:val="000000"/>
                <w:szCs w:val="21"/>
                <w:highlight w:val="none"/>
              </w:rPr>
            </w:pPr>
          </w:p>
        </w:tc>
        <w:tc>
          <w:tcPr>
            <w:tcW w:w="409" w:type="pct"/>
            <w:gridSpan w:val="2"/>
            <w:noWrap w:val="0"/>
            <w:vAlign w:val="center"/>
          </w:tcPr>
          <w:p w14:paraId="736B1EEC">
            <w:pPr>
              <w:jc w:val="center"/>
              <w:rPr>
                <w:rFonts w:hint="default" w:ascii="Times New Roman" w:hAnsi="Times New Roman" w:cs="Times New Roman"/>
                <w:color w:val="000000"/>
                <w:szCs w:val="21"/>
                <w:highlight w:val="none"/>
              </w:rPr>
            </w:pPr>
          </w:p>
        </w:tc>
        <w:tc>
          <w:tcPr>
            <w:tcW w:w="1354" w:type="pct"/>
            <w:noWrap w:val="0"/>
            <w:vAlign w:val="center"/>
          </w:tcPr>
          <w:p w14:paraId="5DDEA386">
            <w:pPr>
              <w:jc w:val="center"/>
              <w:rPr>
                <w:rFonts w:hint="default" w:ascii="Times New Roman" w:hAnsi="Times New Roman" w:cs="Times New Roman"/>
                <w:color w:val="000000"/>
                <w:szCs w:val="21"/>
                <w:highlight w:val="none"/>
              </w:rPr>
            </w:pPr>
          </w:p>
        </w:tc>
      </w:tr>
      <w:tr w14:paraId="23F9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1075" w:type="pct"/>
            <w:gridSpan w:val="2"/>
            <w:vMerge w:val="restart"/>
            <w:noWrap w:val="0"/>
            <w:vAlign w:val="center"/>
          </w:tcPr>
          <w:p w14:paraId="3C186C06">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道路、地表、地面</w:t>
            </w:r>
          </w:p>
        </w:tc>
        <w:tc>
          <w:tcPr>
            <w:tcW w:w="1751" w:type="pct"/>
            <w:noWrap w:val="0"/>
            <w:vAlign w:val="center"/>
          </w:tcPr>
          <w:p w14:paraId="7F544F1C">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主、次要地面开裂，裂缝宽度、深度或数量有发展</w:t>
            </w:r>
          </w:p>
        </w:tc>
        <w:tc>
          <w:tcPr>
            <w:tcW w:w="409" w:type="pct"/>
            <w:noWrap w:val="0"/>
            <w:vAlign w:val="center"/>
          </w:tcPr>
          <w:p w14:paraId="55719807">
            <w:pPr>
              <w:jc w:val="center"/>
              <w:rPr>
                <w:rFonts w:hint="default" w:ascii="Times New Roman" w:hAnsi="Times New Roman" w:cs="Times New Roman"/>
                <w:color w:val="000000"/>
                <w:szCs w:val="21"/>
                <w:highlight w:val="none"/>
              </w:rPr>
            </w:pPr>
          </w:p>
        </w:tc>
        <w:tc>
          <w:tcPr>
            <w:tcW w:w="409" w:type="pct"/>
            <w:gridSpan w:val="2"/>
            <w:noWrap w:val="0"/>
            <w:vAlign w:val="center"/>
          </w:tcPr>
          <w:p w14:paraId="23AE5CC2">
            <w:pPr>
              <w:jc w:val="center"/>
              <w:rPr>
                <w:rFonts w:hint="default" w:ascii="Times New Roman" w:hAnsi="Times New Roman" w:cs="Times New Roman"/>
                <w:color w:val="000000"/>
                <w:szCs w:val="21"/>
                <w:highlight w:val="none"/>
              </w:rPr>
            </w:pPr>
          </w:p>
        </w:tc>
        <w:tc>
          <w:tcPr>
            <w:tcW w:w="1354" w:type="pct"/>
            <w:noWrap w:val="0"/>
            <w:vAlign w:val="center"/>
          </w:tcPr>
          <w:p w14:paraId="212C20AC">
            <w:pPr>
              <w:jc w:val="center"/>
              <w:rPr>
                <w:rFonts w:hint="default" w:ascii="Times New Roman" w:hAnsi="Times New Roman" w:cs="Times New Roman"/>
                <w:color w:val="000000"/>
                <w:szCs w:val="21"/>
                <w:highlight w:val="none"/>
              </w:rPr>
            </w:pPr>
          </w:p>
        </w:tc>
      </w:tr>
      <w:tr w14:paraId="7535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075" w:type="pct"/>
            <w:gridSpan w:val="2"/>
            <w:vMerge w:val="continue"/>
            <w:noWrap w:val="0"/>
            <w:vAlign w:val="center"/>
          </w:tcPr>
          <w:p w14:paraId="7A5E7036">
            <w:pPr>
              <w:jc w:val="center"/>
              <w:rPr>
                <w:rFonts w:hint="default" w:ascii="Times New Roman" w:hAnsi="Times New Roman" w:cs="Times New Roman"/>
                <w:color w:val="000000"/>
                <w:szCs w:val="21"/>
                <w:highlight w:val="none"/>
              </w:rPr>
            </w:pPr>
          </w:p>
        </w:tc>
        <w:tc>
          <w:tcPr>
            <w:tcW w:w="1751" w:type="pct"/>
            <w:noWrap w:val="0"/>
            <w:vAlign w:val="center"/>
          </w:tcPr>
          <w:p w14:paraId="5DC7EA5D">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地表土体塌方</w:t>
            </w:r>
          </w:p>
        </w:tc>
        <w:tc>
          <w:tcPr>
            <w:tcW w:w="409" w:type="pct"/>
            <w:noWrap w:val="0"/>
            <w:vAlign w:val="center"/>
          </w:tcPr>
          <w:p w14:paraId="695C5D65">
            <w:pPr>
              <w:jc w:val="center"/>
              <w:rPr>
                <w:rFonts w:hint="default" w:ascii="Times New Roman" w:hAnsi="Times New Roman" w:cs="Times New Roman"/>
                <w:color w:val="000000"/>
                <w:szCs w:val="21"/>
                <w:highlight w:val="none"/>
              </w:rPr>
            </w:pPr>
          </w:p>
        </w:tc>
        <w:tc>
          <w:tcPr>
            <w:tcW w:w="409" w:type="pct"/>
            <w:gridSpan w:val="2"/>
            <w:noWrap w:val="0"/>
            <w:vAlign w:val="center"/>
          </w:tcPr>
          <w:p w14:paraId="6F366A2A">
            <w:pPr>
              <w:jc w:val="center"/>
              <w:rPr>
                <w:rFonts w:hint="default" w:ascii="Times New Roman" w:hAnsi="Times New Roman" w:cs="Times New Roman"/>
                <w:color w:val="000000"/>
                <w:szCs w:val="21"/>
                <w:highlight w:val="none"/>
              </w:rPr>
            </w:pPr>
          </w:p>
        </w:tc>
        <w:tc>
          <w:tcPr>
            <w:tcW w:w="1354" w:type="pct"/>
            <w:noWrap w:val="0"/>
            <w:vAlign w:val="center"/>
          </w:tcPr>
          <w:p w14:paraId="021C7531">
            <w:pPr>
              <w:jc w:val="center"/>
              <w:rPr>
                <w:rFonts w:hint="default" w:ascii="Times New Roman" w:hAnsi="Times New Roman" w:cs="Times New Roman"/>
                <w:color w:val="000000"/>
                <w:szCs w:val="21"/>
                <w:highlight w:val="none"/>
              </w:rPr>
            </w:pPr>
          </w:p>
        </w:tc>
      </w:tr>
      <w:tr w14:paraId="4A5F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5" w:type="pct"/>
            <w:gridSpan w:val="2"/>
            <w:vMerge w:val="continue"/>
            <w:noWrap w:val="0"/>
            <w:vAlign w:val="center"/>
          </w:tcPr>
          <w:p w14:paraId="27B3DA1B">
            <w:pPr>
              <w:jc w:val="center"/>
              <w:rPr>
                <w:rFonts w:hint="default" w:ascii="Times New Roman" w:hAnsi="Times New Roman" w:cs="Times New Roman"/>
                <w:color w:val="000000"/>
                <w:szCs w:val="21"/>
                <w:highlight w:val="none"/>
              </w:rPr>
            </w:pPr>
          </w:p>
        </w:tc>
        <w:tc>
          <w:tcPr>
            <w:tcW w:w="1751" w:type="pct"/>
            <w:noWrap w:val="0"/>
            <w:vAlign w:val="center"/>
          </w:tcPr>
          <w:p w14:paraId="53386FC3">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地面明显沉陷或隆起，影响交通</w:t>
            </w:r>
          </w:p>
        </w:tc>
        <w:tc>
          <w:tcPr>
            <w:tcW w:w="409" w:type="pct"/>
            <w:noWrap w:val="0"/>
            <w:vAlign w:val="center"/>
          </w:tcPr>
          <w:p w14:paraId="016FE252">
            <w:pPr>
              <w:jc w:val="center"/>
              <w:rPr>
                <w:rFonts w:hint="default" w:ascii="Times New Roman" w:hAnsi="Times New Roman" w:cs="Times New Roman"/>
                <w:color w:val="000000"/>
                <w:szCs w:val="21"/>
                <w:highlight w:val="none"/>
              </w:rPr>
            </w:pPr>
          </w:p>
        </w:tc>
        <w:tc>
          <w:tcPr>
            <w:tcW w:w="409" w:type="pct"/>
            <w:gridSpan w:val="2"/>
            <w:noWrap w:val="0"/>
            <w:vAlign w:val="center"/>
          </w:tcPr>
          <w:p w14:paraId="04817024">
            <w:pPr>
              <w:jc w:val="center"/>
              <w:rPr>
                <w:rFonts w:hint="default" w:ascii="Times New Roman" w:hAnsi="Times New Roman" w:cs="Times New Roman"/>
                <w:color w:val="000000"/>
                <w:szCs w:val="21"/>
                <w:highlight w:val="none"/>
              </w:rPr>
            </w:pPr>
          </w:p>
        </w:tc>
        <w:tc>
          <w:tcPr>
            <w:tcW w:w="1354" w:type="pct"/>
            <w:noWrap w:val="0"/>
            <w:vAlign w:val="center"/>
          </w:tcPr>
          <w:p w14:paraId="7DF62576">
            <w:pPr>
              <w:jc w:val="center"/>
              <w:rPr>
                <w:rFonts w:hint="default" w:ascii="Times New Roman" w:hAnsi="Times New Roman" w:cs="Times New Roman"/>
                <w:color w:val="000000"/>
                <w:szCs w:val="21"/>
                <w:highlight w:val="none"/>
              </w:rPr>
            </w:pPr>
          </w:p>
        </w:tc>
      </w:tr>
      <w:tr w14:paraId="6955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549" w:type="pct"/>
            <w:vMerge w:val="restart"/>
            <w:noWrap w:val="0"/>
            <w:vAlign w:val="center"/>
          </w:tcPr>
          <w:p w14:paraId="345CE77B">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地下</w:t>
            </w:r>
          </w:p>
          <w:p w14:paraId="20001D14">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管线</w:t>
            </w:r>
          </w:p>
        </w:tc>
        <w:tc>
          <w:tcPr>
            <w:tcW w:w="525" w:type="pct"/>
            <w:vMerge w:val="restart"/>
            <w:noWrap w:val="0"/>
            <w:vAlign w:val="center"/>
          </w:tcPr>
          <w:p w14:paraId="37637ED4">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管体</w:t>
            </w:r>
          </w:p>
        </w:tc>
        <w:tc>
          <w:tcPr>
            <w:tcW w:w="1751" w:type="pct"/>
            <w:noWrap w:val="0"/>
            <w:vAlign w:val="center"/>
          </w:tcPr>
          <w:p w14:paraId="543E1E65">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地下管线持续漏水（气）</w:t>
            </w:r>
          </w:p>
        </w:tc>
        <w:tc>
          <w:tcPr>
            <w:tcW w:w="409" w:type="pct"/>
            <w:noWrap w:val="0"/>
            <w:vAlign w:val="center"/>
          </w:tcPr>
          <w:p w14:paraId="093F73E0">
            <w:pPr>
              <w:jc w:val="center"/>
              <w:rPr>
                <w:rFonts w:hint="default" w:ascii="Times New Roman" w:hAnsi="Times New Roman" w:cs="Times New Roman"/>
                <w:color w:val="000000"/>
                <w:szCs w:val="21"/>
                <w:highlight w:val="none"/>
              </w:rPr>
            </w:pPr>
          </w:p>
        </w:tc>
        <w:tc>
          <w:tcPr>
            <w:tcW w:w="409" w:type="pct"/>
            <w:gridSpan w:val="2"/>
            <w:noWrap w:val="0"/>
            <w:vAlign w:val="center"/>
          </w:tcPr>
          <w:p w14:paraId="20929076">
            <w:pPr>
              <w:jc w:val="center"/>
              <w:rPr>
                <w:rFonts w:hint="default" w:ascii="Times New Roman" w:hAnsi="Times New Roman" w:cs="Times New Roman"/>
                <w:color w:val="000000"/>
                <w:szCs w:val="21"/>
                <w:highlight w:val="none"/>
              </w:rPr>
            </w:pPr>
          </w:p>
        </w:tc>
        <w:tc>
          <w:tcPr>
            <w:tcW w:w="1354" w:type="pct"/>
            <w:noWrap w:val="0"/>
            <w:vAlign w:val="center"/>
          </w:tcPr>
          <w:p w14:paraId="0192B287">
            <w:pPr>
              <w:jc w:val="center"/>
              <w:rPr>
                <w:rFonts w:hint="default" w:ascii="Times New Roman" w:hAnsi="Times New Roman" w:cs="Times New Roman"/>
                <w:color w:val="000000"/>
                <w:szCs w:val="21"/>
                <w:highlight w:val="none"/>
              </w:rPr>
            </w:pPr>
          </w:p>
        </w:tc>
      </w:tr>
      <w:tr w14:paraId="6CC5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9" w:type="pct"/>
            <w:vMerge w:val="continue"/>
            <w:noWrap w:val="0"/>
            <w:vAlign w:val="center"/>
          </w:tcPr>
          <w:p w14:paraId="5C275C43">
            <w:pPr>
              <w:jc w:val="center"/>
              <w:rPr>
                <w:rFonts w:hint="default" w:ascii="Times New Roman" w:hAnsi="Times New Roman" w:cs="Times New Roman"/>
                <w:color w:val="000000"/>
                <w:szCs w:val="21"/>
                <w:highlight w:val="none"/>
              </w:rPr>
            </w:pPr>
          </w:p>
        </w:tc>
        <w:tc>
          <w:tcPr>
            <w:tcW w:w="525" w:type="pct"/>
            <w:vMerge w:val="continue"/>
            <w:noWrap w:val="0"/>
            <w:vAlign w:val="center"/>
          </w:tcPr>
          <w:p w14:paraId="0F12DE35">
            <w:pPr>
              <w:jc w:val="center"/>
              <w:rPr>
                <w:rFonts w:hint="default" w:ascii="Times New Roman" w:hAnsi="Times New Roman" w:cs="Times New Roman"/>
                <w:color w:val="000000"/>
                <w:szCs w:val="21"/>
                <w:highlight w:val="none"/>
              </w:rPr>
            </w:pPr>
          </w:p>
        </w:tc>
        <w:tc>
          <w:tcPr>
            <w:tcW w:w="1751" w:type="pct"/>
            <w:noWrap w:val="0"/>
            <w:vAlign w:val="center"/>
          </w:tcPr>
          <w:p w14:paraId="72746B42">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地下通讯电缆被切断</w:t>
            </w:r>
          </w:p>
        </w:tc>
        <w:tc>
          <w:tcPr>
            <w:tcW w:w="409" w:type="pct"/>
            <w:noWrap w:val="0"/>
            <w:vAlign w:val="center"/>
          </w:tcPr>
          <w:p w14:paraId="203E01C8">
            <w:pPr>
              <w:jc w:val="center"/>
              <w:rPr>
                <w:rFonts w:hint="default" w:ascii="Times New Roman" w:hAnsi="Times New Roman" w:cs="Times New Roman"/>
                <w:color w:val="000000"/>
                <w:szCs w:val="21"/>
                <w:highlight w:val="none"/>
              </w:rPr>
            </w:pPr>
          </w:p>
        </w:tc>
        <w:tc>
          <w:tcPr>
            <w:tcW w:w="409" w:type="pct"/>
            <w:gridSpan w:val="2"/>
            <w:noWrap w:val="0"/>
            <w:vAlign w:val="center"/>
          </w:tcPr>
          <w:p w14:paraId="575BBA17">
            <w:pPr>
              <w:jc w:val="center"/>
              <w:rPr>
                <w:rFonts w:hint="default" w:ascii="Times New Roman" w:hAnsi="Times New Roman" w:cs="Times New Roman"/>
                <w:color w:val="000000"/>
                <w:szCs w:val="21"/>
                <w:highlight w:val="none"/>
              </w:rPr>
            </w:pPr>
          </w:p>
        </w:tc>
        <w:tc>
          <w:tcPr>
            <w:tcW w:w="1354" w:type="pct"/>
            <w:noWrap w:val="0"/>
            <w:vAlign w:val="center"/>
          </w:tcPr>
          <w:p w14:paraId="615A4CE7">
            <w:pPr>
              <w:jc w:val="center"/>
              <w:rPr>
                <w:rFonts w:hint="default" w:ascii="Times New Roman" w:hAnsi="Times New Roman" w:cs="Times New Roman"/>
                <w:color w:val="000000"/>
                <w:szCs w:val="21"/>
                <w:highlight w:val="none"/>
              </w:rPr>
            </w:pPr>
          </w:p>
        </w:tc>
      </w:tr>
      <w:tr w14:paraId="3F86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9" w:type="pct"/>
            <w:vMerge w:val="continue"/>
            <w:noWrap w:val="0"/>
            <w:vAlign w:val="center"/>
          </w:tcPr>
          <w:p w14:paraId="481A1ED2">
            <w:pPr>
              <w:jc w:val="center"/>
              <w:rPr>
                <w:rFonts w:hint="default" w:ascii="Times New Roman" w:hAnsi="Times New Roman" w:cs="Times New Roman"/>
                <w:color w:val="000000"/>
                <w:szCs w:val="21"/>
                <w:highlight w:val="none"/>
              </w:rPr>
            </w:pPr>
          </w:p>
        </w:tc>
        <w:tc>
          <w:tcPr>
            <w:tcW w:w="525" w:type="pct"/>
            <w:vMerge w:val="continue"/>
            <w:noWrap w:val="0"/>
            <w:vAlign w:val="center"/>
          </w:tcPr>
          <w:p w14:paraId="0A95F934">
            <w:pPr>
              <w:jc w:val="center"/>
              <w:rPr>
                <w:rFonts w:hint="default" w:ascii="Times New Roman" w:hAnsi="Times New Roman" w:cs="Times New Roman"/>
                <w:color w:val="000000"/>
                <w:szCs w:val="21"/>
                <w:highlight w:val="none"/>
              </w:rPr>
            </w:pPr>
          </w:p>
        </w:tc>
        <w:tc>
          <w:tcPr>
            <w:tcW w:w="1751" w:type="pct"/>
            <w:noWrap w:val="0"/>
            <w:vAlign w:val="center"/>
          </w:tcPr>
          <w:p w14:paraId="0DEEFAAD">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地下输变电管线破坏</w:t>
            </w:r>
          </w:p>
        </w:tc>
        <w:tc>
          <w:tcPr>
            <w:tcW w:w="409" w:type="pct"/>
            <w:noWrap w:val="0"/>
            <w:vAlign w:val="center"/>
          </w:tcPr>
          <w:p w14:paraId="3B00901A">
            <w:pPr>
              <w:jc w:val="center"/>
              <w:rPr>
                <w:rFonts w:hint="default" w:ascii="Times New Roman" w:hAnsi="Times New Roman" w:cs="Times New Roman"/>
                <w:color w:val="000000"/>
                <w:szCs w:val="21"/>
                <w:highlight w:val="none"/>
              </w:rPr>
            </w:pPr>
          </w:p>
        </w:tc>
        <w:tc>
          <w:tcPr>
            <w:tcW w:w="409" w:type="pct"/>
            <w:gridSpan w:val="2"/>
            <w:noWrap w:val="0"/>
            <w:vAlign w:val="center"/>
          </w:tcPr>
          <w:p w14:paraId="280344A2">
            <w:pPr>
              <w:jc w:val="center"/>
              <w:rPr>
                <w:rFonts w:hint="default" w:ascii="Times New Roman" w:hAnsi="Times New Roman" w:cs="Times New Roman"/>
                <w:color w:val="000000"/>
                <w:szCs w:val="21"/>
                <w:highlight w:val="none"/>
              </w:rPr>
            </w:pPr>
          </w:p>
        </w:tc>
        <w:tc>
          <w:tcPr>
            <w:tcW w:w="1354" w:type="pct"/>
            <w:noWrap w:val="0"/>
            <w:vAlign w:val="center"/>
          </w:tcPr>
          <w:p w14:paraId="56F7B411">
            <w:pPr>
              <w:jc w:val="center"/>
              <w:rPr>
                <w:rFonts w:hint="default" w:ascii="Times New Roman" w:hAnsi="Times New Roman" w:cs="Times New Roman"/>
                <w:color w:val="000000"/>
                <w:szCs w:val="21"/>
                <w:highlight w:val="none"/>
              </w:rPr>
            </w:pPr>
          </w:p>
        </w:tc>
      </w:tr>
      <w:tr w14:paraId="2A53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9" w:type="pct"/>
            <w:vMerge w:val="continue"/>
            <w:noWrap w:val="0"/>
            <w:vAlign w:val="center"/>
          </w:tcPr>
          <w:p w14:paraId="5FBA0BC9">
            <w:pPr>
              <w:jc w:val="center"/>
              <w:rPr>
                <w:rFonts w:hint="default" w:ascii="Times New Roman" w:hAnsi="Times New Roman" w:cs="Times New Roman"/>
                <w:color w:val="000000"/>
                <w:szCs w:val="21"/>
                <w:highlight w:val="none"/>
              </w:rPr>
            </w:pPr>
          </w:p>
        </w:tc>
        <w:tc>
          <w:tcPr>
            <w:tcW w:w="525" w:type="pct"/>
            <w:vMerge w:val="continue"/>
            <w:noWrap w:val="0"/>
            <w:vAlign w:val="center"/>
          </w:tcPr>
          <w:p w14:paraId="0ED944BC">
            <w:pPr>
              <w:jc w:val="center"/>
              <w:rPr>
                <w:rFonts w:hint="default" w:ascii="Times New Roman" w:hAnsi="Times New Roman" w:cs="Times New Roman"/>
                <w:color w:val="000000"/>
                <w:szCs w:val="21"/>
                <w:highlight w:val="none"/>
              </w:rPr>
            </w:pPr>
          </w:p>
        </w:tc>
        <w:tc>
          <w:tcPr>
            <w:tcW w:w="1751" w:type="pct"/>
            <w:noWrap w:val="0"/>
            <w:vAlign w:val="center"/>
          </w:tcPr>
          <w:p w14:paraId="47991BB2">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地下燃气管线破坏</w:t>
            </w:r>
          </w:p>
        </w:tc>
        <w:tc>
          <w:tcPr>
            <w:tcW w:w="409" w:type="pct"/>
            <w:noWrap w:val="0"/>
            <w:vAlign w:val="center"/>
          </w:tcPr>
          <w:p w14:paraId="47C9AC3F">
            <w:pPr>
              <w:jc w:val="center"/>
              <w:rPr>
                <w:rFonts w:hint="default" w:ascii="Times New Roman" w:hAnsi="Times New Roman" w:cs="Times New Roman"/>
                <w:color w:val="000000"/>
                <w:szCs w:val="21"/>
                <w:highlight w:val="none"/>
              </w:rPr>
            </w:pPr>
          </w:p>
        </w:tc>
        <w:tc>
          <w:tcPr>
            <w:tcW w:w="409" w:type="pct"/>
            <w:gridSpan w:val="2"/>
            <w:noWrap w:val="0"/>
            <w:vAlign w:val="center"/>
          </w:tcPr>
          <w:p w14:paraId="30A33D1B">
            <w:pPr>
              <w:jc w:val="center"/>
              <w:rPr>
                <w:rFonts w:hint="default" w:ascii="Times New Roman" w:hAnsi="Times New Roman" w:cs="Times New Roman"/>
                <w:color w:val="000000"/>
                <w:szCs w:val="21"/>
                <w:highlight w:val="none"/>
              </w:rPr>
            </w:pPr>
          </w:p>
        </w:tc>
        <w:tc>
          <w:tcPr>
            <w:tcW w:w="1354" w:type="pct"/>
            <w:noWrap w:val="0"/>
            <w:vAlign w:val="center"/>
          </w:tcPr>
          <w:p w14:paraId="1EDE5095">
            <w:pPr>
              <w:jc w:val="center"/>
              <w:rPr>
                <w:rFonts w:hint="default" w:ascii="Times New Roman" w:hAnsi="Times New Roman" w:cs="Times New Roman"/>
                <w:color w:val="000000"/>
                <w:szCs w:val="21"/>
                <w:highlight w:val="none"/>
              </w:rPr>
            </w:pPr>
          </w:p>
        </w:tc>
      </w:tr>
      <w:tr w14:paraId="4B35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9" w:type="pct"/>
            <w:vMerge w:val="continue"/>
            <w:noWrap w:val="0"/>
            <w:vAlign w:val="center"/>
          </w:tcPr>
          <w:p w14:paraId="58C149E1">
            <w:pPr>
              <w:jc w:val="center"/>
              <w:rPr>
                <w:rFonts w:hint="default" w:ascii="Times New Roman" w:hAnsi="Times New Roman" w:cs="Times New Roman"/>
                <w:color w:val="000000"/>
                <w:szCs w:val="21"/>
                <w:highlight w:val="none"/>
              </w:rPr>
            </w:pPr>
          </w:p>
        </w:tc>
        <w:tc>
          <w:tcPr>
            <w:tcW w:w="525" w:type="pct"/>
            <w:noWrap w:val="0"/>
            <w:vAlign w:val="center"/>
          </w:tcPr>
          <w:p w14:paraId="256D0863">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管井</w:t>
            </w:r>
          </w:p>
        </w:tc>
        <w:tc>
          <w:tcPr>
            <w:tcW w:w="1751" w:type="pct"/>
            <w:noWrap w:val="0"/>
            <w:vAlign w:val="center"/>
          </w:tcPr>
          <w:p w14:paraId="04DD0F42">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主、次要影响范围内管井等附属设施出现开裂或进水</w:t>
            </w:r>
          </w:p>
        </w:tc>
        <w:tc>
          <w:tcPr>
            <w:tcW w:w="409" w:type="pct"/>
            <w:noWrap w:val="0"/>
            <w:vAlign w:val="center"/>
          </w:tcPr>
          <w:p w14:paraId="1BA276BE">
            <w:pPr>
              <w:jc w:val="center"/>
              <w:rPr>
                <w:rFonts w:hint="default" w:ascii="Times New Roman" w:hAnsi="Times New Roman" w:cs="Times New Roman"/>
                <w:color w:val="000000"/>
                <w:szCs w:val="21"/>
                <w:highlight w:val="none"/>
              </w:rPr>
            </w:pPr>
          </w:p>
        </w:tc>
        <w:tc>
          <w:tcPr>
            <w:tcW w:w="409" w:type="pct"/>
            <w:gridSpan w:val="2"/>
            <w:noWrap w:val="0"/>
            <w:vAlign w:val="center"/>
          </w:tcPr>
          <w:p w14:paraId="46AB6E0F">
            <w:pPr>
              <w:jc w:val="center"/>
              <w:rPr>
                <w:rFonts w:hint="default" w:ascii="Times New Roman" w:hAnsi="Times New Roman" w:cs="Times New Roman"/>
                <w:color w:val="000000"/>
                <w:szCs w:val="21"/>
                <w:highlight w:val="none"/>
              </w:rPr>
            </w:pPr>
          </w:p>
        </w:tc>
        <w:tc>
          <w:tcPr>
            <w:tcW w:w="1354" w:type="pct"/>
            <w:noWrap w:val="0"/>
            <w:vAlign w:val="center"/>
          </w:tcPr>
          <w:p w14:paraId="1D26697E">
            <w:pPr>
              <w:jc w:val="center"/>
              <w:rPr>
                <w:rFonts w:hint="default" w:ascii="Times New Roman" w:hAnsi="Times New Roman" w:cs="Times New Roman"/>
                <w:color w:val="000000"/>
                <w:szCs w:val="21"/>
                <w:highlight w:val="none"/>
              </w:rPr>
            </w:pPr>
          </w:p>
        </w:tc>
      </w:tr>
      <w:tr w14:paraId="539D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5" w:type="pct"/>
            <w:gridSpan w:val="2"/>
            <w:vMerge w:val="restart"/>
            <w:noWrap w:val="0"/>
            <w:vAlign w:val="center"/>
          </w:tcPr>
          <w:p w14:paraId="2FEC345F">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邻近施工</w:t>
            </w:r>
          </w:p>
        </w:tc>
        <w:tc>
          <w:tcPr>
            <w:tcW w:w="1751" w:type="pct"/>
            <w:noWrap w:val="0"/>
            <w:vAlign w:val="center"/>
          </w:tcPr>
          <w:p w14:paraId="1C77698D">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扰动工程周边地质，支护结构受力变化较大，对支护体系产生不利影响</w:t>
            </w:r>
          </w:p>
        </w:tc>
        <w:tc>
          <w:tcPr>
            <w:tcW w:w="409" w:type="pct"/>
            <w:noWrap w:val="0"/>
            <w:vAlign w:val="center"/>
          </w:tcPr>
          <w:p w14:paraId="12BD5293">
            <w:pPr>
              <w:jc w:val="center"/>
              <w:rPr>
                <w:rFonts w:hint="default" w:ascii="Times New Roman" w:hAnsi="Times New Roman" w:cs="Times New Roman"/>
                <w:color w:val="000000"/>
                <w:szCs w:val="21"/>
                <w:highlight w:val="none"/>
              </w:rPr>
            </w:pPr>
          </w:p>
        </w:tc>
        <w:tc>
          <w:tcPr>
            <w:tcW w:w="409" w:type="pct"/>
            <w:gridSpan w:val="2"/>
            <w:noWrap w:val="0"/>
            <w:vAlign w:val="center"/>
          </w:tcPr>
          <w:p w14:paraId="7AA3741A">
            <w:pPr>
              <w:jc w:val="center"/>
              <w:rPr>
                <w:rFonts w:hint="default" w:ascii="Times New Roman" w:hAnsi="Times New Roman" w:cs="Times New Roman"/>
                <w:color w:val="000000"/>
                <w:szCs w:val="21"/>
                <w:highlight w:val="none"/>
              </w:rPr>
            </w:pPr>
          </w:p>
        </w:tc>
        <w:tc>
          <w:tcPr>
            <w:tcW w:w="1354" w:type="pct"/>
            <w:noWrap w:val="0"/>
            <w:vAlign w:val="center"/>
          </w:tcPr>
          <w:p w14:paraId="6809295B">
            <w:pPr>
              <w:jc w:val="center"/>
              <w:rPr>
                <w:rFonts w:hint="default" w:ascii="Times New Roman" w:hAnsi="Times New Roman" w:cs="Times New Roman"/>
                <w:color w:val="000000"/>
                <w:szCs w:val="21"/>
                <w:highlight w:val="none"/>
              </w:rPr>
            </w:pPr>
          </w:p>
        </w:tc>
      </w:tr>
      <w:tr w14:paraId="2DB7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5" w:type="pct"/>
            <w:gridSpan w:val="2"/>
            <w:vMerge w:val="continue"/>
            <w:noWrap w:val="0"/>
            <w:vAlign w:val="center"/>
          </w:tcPr>
          <w:p w14:paraId="5D68EB33">
            <w:pPr>
              <w:jc w:val="center"/>
              <w:rPr>
                <w:rFonts w:hint="default" w:ascii="Times New Roman" w:hAnsi="Times New Roman" w:cs="Times New Roman"/>
                <w:color w:val="000000"/>
                <w:szCs w:val="21"/>
                <w:highlight w:val="none"/>
              </w:rPr>
            </w:pPr>
          </w:p>
        </w:tc>
        <w:tc>
          <w:tcPr>
            <w:tcW w:w="1751" w:type="pct"/>
            <w:noWrap w:val="0"/>
            <w:vAlign w:val="center"/>
          </w:tcPr>
          <w:p w14:paraId="65C4647F">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严重扰动工程周边地质，支护结构受力变化大，对支护体系产生不利影响</w:t>
            </w:r>
          </w:p>
        </w:tc>
        <w:tc>
          <w:tcPr>
            <w:tcW w:w="409" w:type="pct"/>
            <w:noWrap w:val="0"/>
            <w:vAlign w:val="center"/>
          </w:tcPr>
          <w:p w14:paraId="314C9D43">
            <w:pPr>
              <w:jc w:val="center"/>
              <w:rPr>
                <w:rFonts w:hint="default" w:ascii="Times New Roman" w:hAnsi="Times New Roman" w:cs="Times New Roman"/>
                <w:color w:val="000000"/>
                <w:szCs w:val="21"/>
                <w:highlight w:val="none"/>
              </w:rPr>
            </w:pPr>
          </w:p>
        </w:tc>
        <w:tc>
          <w:tcPr>
            <w:tcW w:w="409" w:type="pct"/>
            <w:gridSpan w:val="2"/>
            <w:noWrap w:val="0"/>
            <w:vAlign w:val="center"/>
          </w:tcPr>
          <w:p w14:paraId="3ADCED37">
            <w:pPr>
              <w:jc w:val="center"/>
              <w:rPr>
                <w:rFonts w:hint="default" w:ascii="Times New Roman" w:hAnsi="Times New Roman" w:cs="Times New Roman"/>
                <w:color w:val="000000"/>
                <w:szCs w:val="21"/>
                <w:highlight w:val="none"/>
              </w:rPr>
            </w:pPr>
          </w:p>
        </w:tc>
        <w:tc>
          <w:tcPr>
            <w:tcW w:w="1354" w:type="pct"/>
            <w:noWrap w:val="0"/>
            <w:vAlign w:val="center"/>
          </w:tcPr>
          <w:p w14:paraId="0C298958">
            <w:pPr>
              <w:jc w:val="center"/>
              <w:rPr>
                <w:rFonts w:hint="default" w:ascii="Times New Roman" w:hAnsi="Times New Roman" w:cs="Times New Roman"/>
                <w:color w:val="000000"/>
                <w:szCs w:val="21"/>
                <w:highlight w:val="none"/>
              </w:rPr>
            </w:pPr>
          </w:p>
        </w:tc>
      </w:tr>
    </w:tbl>
    <w:p w14:paraId="578F9F40">
      <w:pPr>
        <w:rPr>
          <w:rFonts w:ascii="Times New Roman" w:hAnsi="Times New Roman" w:cs="Times New Roman"/>
          <w:highlight w:val="none"/>
        </w:rPr>
        <w:sectPr>
          <w:pgSz w:w="11906" w:h="16838"/>
          <w:pgMar w:top="1440" w:right="1800" w:bottom="1440" w:left="1800" w:header="851" w:footer="992" w:gutter="0"/>
          <w:pgNumType w:fmt="decimal"/>
          <w:cols w:space="425" w:num="1"/>
          <w:docGrid w:type="lines" w:linePitch="312" w:charSpace="0"/>
        </w:sectPr>
      </w:pPr>
    </w:p>
    <w:p w14:paraId="03251973">
      <w:pPr>
        <w:pStyle w:val="2"/>
        <w:rPr>
          <w:rFonts w:ascii="Times New Roman" w:hAnsi="Times New Roman" w:cs="Times New Roman"/>
          <w:highlight w:val="none"/>
        </w:rPr>
      </w:pPr>
      <w:bookmarkStart w:id="242" w:name="_Toc16442"/>
      <w:bookmarkStart w:id="243" w:name="_Toc16020"/>
      <w:bookmarkStart w:id="244" w:name="_Toc30808"/>
      <w:bookmarkStart w:id="245" w:name="_Toc30625"/>
      <w:bookmarkStart w:id="246" w:name="_Toc14595"/>
      <w:bookmarkStart w:id="247" w:name="_Toc16636"/>
      <w:bookmarkStart w:id="248" w:name="_Toc7136"/>
      <w:r>
        <w:rPr>
          <w:rFonts w:hint="eastAsia" w:ascii="Times New Roman" w:hAnsi="Times New Roman" w:cs="Times New Roman"/>
          <w:highlight w:val="none"/>
          <w:lang w:eastAsia="zh-CN"/>
        </w:rPr>
        <w:t>本标准</w:t>
      </w:r>
      <w:r>
        <w:rPr>
          <w:rFonts w:ascii="Times New Roman" w:hAnsi="Times New Roman" w:cs="Times New Roman"/>
          <w:highlight w:val="none"/>
        </w:rPr>
        <w:t>用词说明</w:t>
      </w:r>
      <w:bookmarkEnd w:id="221"/>
      <w:bookmarkEnd w:id="242"/>
      <w:bookmarkEnd w:id="243"/>
      <w:bookmarkEnd w:id="244"/>
      <w:bookmarkEnd w:id="245"/>
      <w:bookmarkEnd w:id="246"/>
      <w:bookmarkEnd w:id="247"/>
      <w:bookmarkEnd w:id="248"/>
    </w:p>
    <w:p w14:paraId="690C7C64">
      <w:pPr>
        <w:rPr>
          <w:rFonts w:ascii="Times New Roman" w:hAnsi="Times New Roman" w:cs="Times New Roman"/>
          <w:highlight w:val="none"/>
        </w:rPr>
      </w:pPr>
    </w:p>
    <w:p w14:paraId="378DDCDE">
      <w:pPr>
        <w:spacing w:line="360" w:lineRule="auto"/>
        <w:ind w:firstLine="482" w:firstLineChars="200"/>
        <w:rPr>
          <w:rFonts w:hint="default" w:ascii="Times New Roman" w:hAnsi="Times New Roman" w:cs="Times New Roman"/>
          <w:color w:val="000000"/>
          <w:sz w:val="24"/>
          <w:highlight w:val="none"/>
        </w:rPr>
      </w:pPr>
      <w:r>
        <w:rPr>
          <w:rFonts w:hint="default" w:ascii="Times New Roman" w:hAnsi="Times New Roman" w:cs="Times New Roman"/>
          <w:b/>
          <w:bCs/>
          <w:color w:val="000000"/>
          <w:sz w:val="24"/>
          <w:highlight w:val="none"/>
        </w:rPr>
        <w:t>1</w:t>
      </w:r>
      <w:r>
        <w:rPr>
          <w:rFonts w:hint="default" w:ascii="Times New Roman" w:hAnsi="Times New Roman" w:cs="Times New Roman"/>
          <w:color w:val="000000"/>
          <w:sz w:val="24"/>
          <w:highlight w:val="none"/>
        </w:rPr>
        <w:t xml:space="preserve">  为便于在执行</w:t>
      </w:r>
      <w:r>
        <w:rPr>
          <w:rFonts w:hint="eastAsia" w:ascii="Times New Roman" w:hAnsi="Times New Roman" w:cs="Times New Roman"/>
          <w:color w:val="000000"/>
          <w:sz w:val="24"/>
          <w:highlight w:val="none"/>
          <w:lang w:eastAsia="zh-CN"/>
        </w:rPr>
        <w:t>本</w:t>
      </w:r>
      <w:r>
        <w:rPr>
          <w:rFonts w:hint="eastAsia" w:cs="Times New Roman"/>
          <w:color w:val="000000"/>
          <w:sz w:val="24"/>
          <w:highlight w:val="none"/>
          <w:lang w:eastAsia="zh-CN"/>
        </w:rPr>
        <w:t>标准</w:t>
      </w:r>
      <w:r>
        <w:rPr>
          <w:rFonts w:hint="default" w:ascii="Times New Roman" w:hAnsi="Times New Roman" w:cs="Times New Roman"/>
          <w:color w:val="000000"/>
          <w:sz w:val="24"/>
          <w:highlight w:val="none"/>
        </w:rPr>
        <w:t>条文时区别对待，对于要求严格程度不同的用词说明如下：</w:t>
      </w:r>
    </w:p>
    <w:p w14:paraId="2CE01F14">
      <w:pPr>
        <w:spacing w:line="360" w:lineRule="auto"/>
        <w:ind w:left="480" w:leftChars="200" w:firstLine="482" w:firstLineChars="200"/>
        <w:rPr>
          <w:rFonts w:hint="default" w:ascii="Times New Roman" w:hAnsi="Times New Roman" w:cs="Times New Roman"/>
          <w:color w:val="000000"/>
          <w:sz w:val="24"/>
          <w:highlight w:val="none"/>
        </w:rPr>
      </w:pPr>
      <w:bookmarkStart w:id="249" w:name="_Toc6516"/>
      <w:r>
        <w:rPr>
          <w:rFonts w:hint="default" w:ascii="Times New Roman" w:hAnsi="Times New Roman" w:cs="Times New Roman"/>
          <w:b/>
          <w:color w:val="000000"/>
          <w:sz w:val="24"/>
          <w:highlight w:val="none"/>
        </w:rPr>
        <w:t>1</w:t>
      </w:r>
      <w:r>
        <w:rPr>
          <w:rFonts w:ascii="Times New Roman" w:hAnsi="Times New Roman" w:cs="Times New Roman"/>
          <w:bCs/>
          <w:color w:val="000000"/>
          <w:sz w:val="24"/>
          <w:highlight w:val="none"/>
        </w:rPr>
        <w:t>)</w:t>
      </w:r>
      <w:r>
        <w:rPr>
          <w:rFonts w:hint="default" w:ascii="Times New Roman" w:hAnsi="Times New Roman" w:cs="Times New Roman"/>
          <w:bCs/>
          <w:color w:val="000000"/>
          <w:sz w:val="24"/>
          <w:highlight w:val="none"/>
        </w:rPr>
        <w:t xml:space="preserve">  </w:t>
      </w:r>
      <w:r>
        <w:rPr>
          <w:rFonts w:hint="default" w:ascii="Times New Roman" w:hAnsi="Times New Roman" w:cs="Times New Roman"/>
          <w:color w:val="000000"/>
          <w:sz w:val="24"/>
          <w:highlight w:val="none"/>
        </w:rPr>
        <w:t>表示很严格，非这样做不可的：</w:t>
      </w:r>
      <w:bookmarkEnd w:id="249"/>
    </w:p>
    <w:p w14:paraId="21218198">
      <w:pPr>
        <w:spacing w:line="360" w:lineRule="auto"/>
        <w:ind w:left="960" w:leftChars="400"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正面词采用“必须”，反面词采用“严禁”；</w:t>
      </w:r>
    </w:p>
    <w:p w14:paraId="2FD77C11">
      <w:pPr>
        <w:spacing w:line="360" w:lineRule="auto"/>
        <w:ind w:left="480" w:leftChars="200" w:firstLine="482" w:firstLineChars="200"/>
        <w:rPr>
          <w:rFonts w:hint="default" w:ascii="Times New Roman" w:hAnsi="Times New Roman" w:cs="Times New Roman"/>
          <w:color w:val="000000"/>
          <w:sz w:val="24"/>
          <w:highlight w:val="none"/>
        </w:rPr>
      </w:pPr>
      <w:bookmarkStart w:id="250" w:name="_Toc16514"/>
      <w:r>
        <w:rPr>
          <w:rFonts w:hint="default" w:ascii="Times New Roman" w:hAnsi="Times New Roman" w:cs="Times New Roman"/>
          <w:b/>
          <w:color w:val="000000"/>
          <w:sz w:val="24"/>
          <w:highlight w:val="none"/>
        </w:rPr>
        <w:t>2</w:t>
      </w:r>
      <w:r>
        <w:rPr>
          <w:rFonts w:ascii="Times New Roman" w:hAnsi="Times New Roman" w:cs="Times New Roman"/>
          <w:bCs/>
          <w:color w:val="000000"/>
          <w:sz w:val="24"/>
          <w:highlight w:val="none"/>
        </w:rPr>
        <w:t>)</w:t>
      </w:r>
      <w:r>
        <w:rPr>
          <w:rFonts w:hint="default" w:ascii="Times New Roman" w:hAnsi="Times New Roman" w:cs="Times New Roman"/>
          <w:bCs/>
          <w:color w:val="000000"/>
          <w:sz w:val="24"/>
          <w:highlight w:val="none"/>
        </w:rPr>
        <w:t xml:space="preserve">  </w:t>
      </w:r>
      <w:r>
        <w:rPr>
          <w:rFonts w:hint="default" w:ascii="Times New Roman" w:hAnsi="Times New Roman" w:cs="Times New Roman"/>
          <w:color w:val="000000"/>
          <w:sz w:val="24"/>
          <w:highlight w:val="none"/>
        </w:rPr>
        <w:t>表示严格，在正常情况下均应这样做的：</w:t>
      </w:r>
      <w:bookmarkEnd w:id="250"/>
    </w:p>
    <w:p w14:paraId="2453BB94">
      <w:pPr>
        <w:spacing w:line="360" w:lineRule="auto"/>
        <w:ind w:left="960" w:leftChars="400"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正面词采用“应”，反面词采用“不应”或“不得”；</w:t>
      </w:r>
    </w:p>
    <w:p w14:paraId="03EE8FBD">
      <w:pPr>
        <w:spacing w:line="360" w:lineRule="auto"/>
        <w:ind w:left="480" w:leftChars="200" w:firstLine="482" w:firstLineChars="200"/>
        <w:rPr>
          <w:rFonts w:hint="default" w:ascii="Times New Roman" w:hAnsi="Times New Roman" w:cs="Times New Roman"/>
          <w:color w:val="000000"/>
          <w:sz w:val="24"/>
          <w:highlight w:val="none"/>
        </w:rPr>
      </w:pPr>
      <w:bookmarkStart w:id="251" w:name="_Toc20585"/>
      <w:r>
        <w:rPr>
          <w:rFonts w:hint="default" w:ascii="Times New Roman" w:hAnsi="Times New Roman" w:cs="Times New Roman"/>
          <w:b/>
          <w:color w:val="000000"/>
          <w:sz w:val="24"/>
          <w:highlight w:val="none"/>
        </w:rPr>
        <w:t>3</w:t>
      </w:r>
      <w:r>
        <w:rPr>
          <w:rFonts w:ascii="Times New Roman" w:hAnsi="Times New Roman" w:cs="Times New Roman"/>
          <w:bCs/>
          <w:color w:val="000000"/>
          <w:sz w:val="24"/>
          <w:highlight w:val="none"/>
        </w:rPr>
        <w:t>)</w:t>
      </w:r>
      <w:r>
        <w:rPr>
          <w:rFonts w:hint="default" w:ascii="Times New Roman" w:hAnsi="Times New Roman" w:cs="Times New Roman"/>
          <w:bCs/>
          <w:color w:val="000000"/>
          <w:sz w:val="24"/>
          <w:highlight w:val="none"/>
        </w:rPr>
        <w:t xml:space="preserve">  </w:t>
      </w:r>
      <w:r>
        <w:rPr>
          <w:rFonts w:hint="default" w:ascii="Times New Roman" w:hAnsi="Times New Roman" w:cs="Times New Roman"/>
          <w:color w:val="000000"/>
          <w:sz w:val="24"/>
          <w:highlight w:val="none"/>
        </w:rPr>
        <w:t>表示允许稍有选择，在条件许可时，首先应这样做的：</w:t>
      </w:r>
      <w:bookmarkEnd w:id="251"/>
    </w:p>
    <w:p w14:paraId="32C86D51">
      <w:pPr>
        <w:spacing w:line="360" w:lineRule="auto"/>
        <w:ind w:left="960" w:leftChars="400"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正面词采用“宜”，反面词采用“不宜”；</w:t>
      </w:r>
    </w:p>
    <w:p w14:paraId="1FDB555A">
      <w:pPr>
        <w:spacing w:line="360" w:lineRule="auto"/>
        <w:ind w:left="480" w:leftChars="200" w:firstLine="482" w:firstLineChars="200"/>
        <w:rPr>
          <w:rFonts w:hint="default" w:ascii="Times New Roman" w:hAnsi="Times New Roman" w:cs="Times New Roman"/>
          <w:color w:val="000000"/>
          <w:sz w:val="24"/>
          <w:highlight w:val="none"/>
        </w:rPr>
      </w:pPr>
      <w:bookmarkStart w:id="252" w:name="_Toc5546"/>
      <w:r>
        <w:rPr>
          <w:rFonts w:hint="default" w:ascii="Times New Roman" w:hAnsi="Times New Roman" w:cs="Times New Roman"/>
          <w:b/>
          <w:color w:val="000000"/>
          <w:sz w:val="24"/>
          <w:highlight w:val="none"/>
        </w:rPr>
        <w:t>4</w:t>
      </w:r>
      <w:r>
        <w:rPr>
          <w:rFonts w:hint="default" w:ascii="Times New Roman" w:hAnsi="Times New Roman" w:cs="Times New Roman"/>
          <w:bCs/>
          <w:color w:val="000000"/>
          <w:sz w:val="24"/>
          <w:highlight w:val="none"/>
        </w:rPr>
        <w:t xml:space="preserve">)  </w:t>
      </w:r>
      <w:r>
        <w:rPr>
          <w:rFonts w:hint="default" w:ascii="Times New Roman" w:hAnsi="Times New Roman" w:cs="Times New Roman"/>
          <w:color w:val="000000"/>
          <w:sz w:val="24"/>
          <w:highlight w:val="none"/>
        </w:rPr>
        <w:t>表示有选择，在一定条件下可以这样做的，采用“可”。</w:t>
      </w:r>
      <w:bookmarkEnd w:id="252"/>
    </w:p>
    <w:p w14:paraId="17492F71">
      <w:pPr>
        <w:spacing w:line="360" w:lineRule="auto"/>
        <w:ind w:firstLine="482" w:firstLineChars="200"/>
        <w:rPr>
          <w:rFonts w:hint="default" w:ascii="Times New Roman" w:hAnsi="Times New Roman" w:cs="Times New Roman"/>
          <w:color w:val="000000"/>
          <w:sz w:val="24"/>
          <w:highlight w:val="none"/>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cs="Times New Roman"/>
          <w:b/>
          <w:bCs/>
          <w:color w:val="000000"/>
          <w:sz w:val="24"/>
          <w:highlight w:val="none"/>
        </w:rPr>
        <w:t>2</w:t>
      </w:r>
      <w:r>
        <w:rPr>
          <w:rFonts w:hint="default" w:ascii="Times New Roman" w:hAnsi="Times New Roman" w:cs="Times New Roman"/>
          <w:color w:val="000000"/>
          <w:sz w:val="24"/>
          <w:highlight w:val="none"/>
        </w:rPr>
        <w:t xml:space="preserve">  </w:t>
      </w:r>
      <w:r>
        <w:rPr>
          <w:rFonts w:hint="eastAsia" w:ascii="Times New Roman" w:hAnsi="Times New Roman" w:cs="Times New Roman"/>
          <w:color w:val="000000"/>
          <w:sz w:val="24"/>
          <w:highlight w:val="none"/>
          <w:lang w:eastAsia="zh-CN"/>
        </w:rPr>
        <w:t>本</w:t>
      </w:r>
      <w:r>
        <w:rPr>
          <w:rFonts w:hint="eastAsia" w:cs="Times New Roman"/>
          <w:color w:val="000000"/>
          <w:sz w:val="24"/>
          <w:highlight w:val="none"/>
          <w:lang w:eastAsia="zh-CN"/>
        </w:rPr>
        <w:t>标准</w:t>
      </w:r>
      <w:r>
        <w:rPr>
          <w:rFonts w:hint="default" w:ascii="Times New Roman" w:hAnsi="Times New Roman" w:cs="Times New Roman"/>
          <w:color w:val="000000"/>
          <w:sz w:val="24"/>
          <w:highlight w:val="none"/>
        </w:rPr>
        <w:t>中指明应按其他有关标准、规范执行的写法为“应符合……要求或规定”或“应按……执行”。</w:t>
      </w:r>
    </w:p>
    <w:p w14:paraId="760AEAE6">
      <w:pPr>
        <w:pStyle w:val="2"/>
        <w:rPr>
          <w:rFonts w:ascii="Times New Roman" w:hAnsi="Times New Roman"/>
        </w:rPr>
      </w:pPr>
      <w:bookmarkStart w:id="253" w:name="_Toc119049757"/>
      <w:bookmarkStart w:id="254" w:name="_Toc18589"/>
      <w:bookmarkStart w:id="255" w:name="_Toc119050667"/>
      <w:bookmarkStart w:id="256" w:name="_Toc30821"/>
      <w:bookmarkStart w:id="257" w:name="_Toc118794878"/>
      <w:bookmarkStart w:id="258" w:name="_Toc3056"/>
      <w:r>
        <w:rPr>
          <w:rFonts w:ascii="Times New Roman" w:hAnsi="Times New Roman"/>
        </w:rPr>
        <w:t>引用标准名录</w:t>
      </w:r>
      <w:bookmarkEnd w:id="253"/>
      <w:bookmarkEnd w:id="254"/>
      <w:bookmarkEnd w:id="255"/>
      <w:bookmarkEnd w:id="256"/>
      <w:bookmarkEnd w:id="257"/>
      <w:bookmarkEnd w:id="258"/>
    </w:p>
    <w:p w14:paraId="522629C5">
      <w:pPr>
        <w:ind w:firstLine="480" w:firstLineChars="200"/>
        <w:rPr>
          <w:rFonts w:hint="default" w:cs="Times New Roman"/>
          <w:color w:val="000000"/>
          <w:highlight w:val="none"/>
        </w:rPr>
      </w:pPr>
      <w:bookmarkStart w:id="259" w:name="_Toc20788"/>
      <w:r>
        <w:rPr>
          <w:rFonts w:hint="default" w:cs="Times New Roman"/>
          <w:color w:val="000000"/>
          <w:highlight w:val="none"/>
        </w:rPr>
        <w:t>《工程测量标准》 GB 50026</w:t>
      </w:r>
    </w:p>
    <w:p w14:paraId="2848793A">
      <w:pPr>
        <w:ind w:firstLine="480" w:firstLineChars="200"/>
        <w:rPr>
          <w:rFonts w:hint="default" w:cs="Times New Roman"/>
          <w:color w:val="000000"/>
          <w:highlight w:val="none"/>
        </w:rPr>
      </w:pPr>
      <w:r>
        <w:rPr>
          <w:rFonts w:hint="default" w:cs="Times New Roman"/>
          <w:color w:val="000000"/>
          <w:highlight w:val="none"/>
        </w:rPr>
        <w:t>《工程摄影测量规范》 GB 50167</w:t>
      </w:r>
    </w:p>
    <w:p w14:paraId="23BFB782">
      <w:pPr>
        <w:ind w:firstLine="480" w:firstLineChars="200"/>
        <w:rPr>
          <w:rFonts w:hint="default" w:cs="Times New Roman"/>
          <w:color w:val="000000"/>
          <w:highlight w:val="none"/>
        </w:rPr>
      </w:pPr>
      <w:r>
        <w:rPr>
          <w:rFonts w:hint="default" w:cs="Times New Roman"/>
          <w:color w:val="000000"/>
          <w:highlight w:val="none"/>
        </w:rPr>
        <w:t>《民用闭路监视电视系统工程技术规范》 GB50198</w:t>
      </w:r>
    </w:p>
    <w:p w14:paraId="2A5B319F">
      <w:pPr>
        <w:ind w:firstLine="480" w:firstLineChars="200"/>
        <w:rPr>
          <w:rFonts w:hint="default" w:cs="Times New Roman"/>
          <w:color w:val="000000"/>
          <w:highlight w:val="none"/>
        </w:rPr>
      </w:pPr>
      <w:r>
        <w:rPr>
          <w:rFonts w:hint="default" w:cs="Times New Roman"/>
          <w:color w:val="000000"/>
          <w:highlight w:val="none"/>
        </w:rPr>
        <w:t>《混凝土结构工程施工质量验收规范》 GB 50204</w:t>
      </w:r>
    </w:p>
    <w:p w14:paraId="692679E6">
      <w:pPr>
        <w:ind w:firstLine="480" w:firstLineChars="200"/>
        <w:rPr>
          <w:rFonts w:hint="default" w:cs="Times New Roman"/>
          <w:color w:val="000000"/>
          <w:highlight w:val="none"/>
        </w:rPr>
      </w:pPr>
      <w:r>
        <w:rPr>
          <w:rFonts w:hint="default" w:cs="Times New Roman"/>
          <w:color w:val="000000"/>
          <w:highlight w:val="none"/>
        </w:rPr>
        <w:t>《建筑边坡工程技术规范》GB 50330</w:t>
      </w:r>
    </w:p>
    <w:p w14:paraId="7BFC8095">
      <w:pPr>
        <w:ind w:firstLine="480" w:firstLineChars="200"/>
        <w:rPr>
          <w:rFonts w:hint="default" w:cs="Times New Roman"/>
          <w:color w:val="000000"/>
          <w:highlight w:val="none"/>
        </w:rPr>
      </w:pPr>
      <w:r>
        <w:rPr>
          <w:rFonts w:hint="default" w:cs="Times New Roman"/>
          <w:color w:val="000000"/>
          <w:highlight w:val="none"/>
        </w:rPr>
        <w:t>《建筑基坑工程监测技术标准》 GB 50497</w:t>
      </w:r>
    </w:p>
    <w:p w14:paraId="28095B2E">
      <w:pPr>
        <w:ind w:firstLine="480" w:firstLineChars="200"/>
        <w:rPr>
          <w:rFonts w:hint="default" w:cs="Times New Roman"/>
          <w:color w:val="000000"/>
          <w:highlight w:val="none"/>
        </w:rPr>
      </w:pPr>
      <w:r>
        <w:rPr>
          <w:rFonts w:hint="default" w:cs="Times New Roman"/>
          <w:color w:val="000000"/>
          <w:highlight w:val="none"/>
        </w:rPr>
        <w:t>《建筑边坡工程鉴定与加固技术规范》 GB 50843</w:t>
      </w:r>
    </w:p>
    <w:p w14:paraId="120A5288">
      <w:pPr>
        <w:ind w:firstLine="480" w:firstLineChars="200"/>
        <w:rPr>
          <w:rStyle w:val="22"/>
          <w:rFonts w:hint="default" w:ascii="Times New Roman" w:hAnsi="Times New Roman"/>
          <w:b w:val="0"/>
          <w:sz w:val="28"/>
          <w:szCs w:val="28"/>
        </w:rPr>
      </w:pPr>
      <w:r>
        <w:rPr>
          <w:rFonts w:hint="default" w:cs="Times New Roman"/>
          <w:color w:val="000000"/>
          <w:highlight w:val="none"/>
        </w:rPr>
        <w:t>《近景摄影测量规范》 GB/T 12979</w:t>
      </w:r>
    </w:p>
    <w:p w14:paraId="121CC27D">
      <w:pPr>
        <w:ind w:firstLine="480" w:firstLineChars="200"/>
        <w:rPr>
          <w:rFonts w:hint="default" w:cs="Times New Roman"/>
          <w:color w:val="000000"/>
          <w:highlight w:val="none"/>
        </w:rPr>
      </w:pPr>
      <w:r>
        <w:rPr>
          <w:rFonts w:hint="default" w:cs="Times New Roman"/>
          <w:color w:val="000000"/>
          <w:highlight w:val="none"/>
        </w:rPr>
        <w:t>《危险房屋鉴定标准》 JGJ 2</w:t>
      </w:r>
    </w:p>
    <w:p w14:paraId="3C619EB3">
      <w:pPr>
        <w:ind w:firstLine="480" w:firstLineChars="200"/>
        <w:rPr>
          <w:rFonts w:hint="default" w:cs="Times New Roman"/>
          <w:color w:val="000000"/>
          <w:highlight w:val="none"/>
        </w:rPr>
      </w:pPr>
      <w:r>
        <w:rPr>
          <w:rFonts w:hint="default" w:cs="Times New Roman"/>
          <w:color w:val="000000"/>
          <w:highlight w:val="none"/>
        </w:rPr>
        <w:t>《建筑变形测量规范》 JGJ 8</w:t>
      </w:r>
    </w:p>
    <w:p w14:paraId="7116CC7D">
      <w:pPr>
        <w:ind w:firstLine="480" w:firstLineChars="200"/>
        <w:rPr>
          <w:rFonts w:hint="default" w:cs="Times New Roman"/>
          <w:color w:val="000000"/>
          <w:highlight w:val="none"/>
        </w:rPr>
      </w:pPr>
      <w:r>
        <w:rPr>
          <w:rFonts w:hint="default" w:cs="Times New Roman"/>
          <w:color w:val="000000"/>
          <w:highlight w:val="none"/>
        </w:rPr>
        <w:t>《建筑施工高处作业安全技术规范》 JGJ 80</w:t>
      </w:r>
    </w:p>
    <w:p w14:paraId="21175097">
      <w:pPr>
        <w:ind w:firstLine="480" w:firstLineChars="200"/>
        <w:rPr>
          <w:rFonts w:hint="default" w:cs="Times New Roman"/>
          <w:color w:val="000000"/>
          <w:highlight w:val="none"/>
        </w:rPr>
      </w:pPr>
    </w:p>
    <w:p w14:paraId="2C9E93B6">
      <w:pPr>
        <w:ind w:firstLine="480" w:firstLineChars="200"/>
        <w:rPr>
          <w:rFonts w:hint="default" w:cs="Times New Roman"/>
          <w:color w:val="000000"/>
          <w:highlight w:val="none"/>
        </w:rPr>
      </w:pPr>
    </w:p>
    <w:p w14:paraId="1EB365BB">
      <w:pPr>
        <w:ind w:firstLine="480" w:firstLineChars="200"/>
        <w:rPr>
          <w:rFonts w:hint="default" w:cs="Times New Roman"/>
          <w:color w:val="000000"/>
          <w:highlight w:val="none"/>
        </w:rPr>
      </w:pPr>
    </w:p>
    <w:bookmarkEnd w:id="259"/>
    <w:p w14:paraId="71E27B68">
      <w:pPr>
        <w:spacing w:line="360" w:lineRule="auto"/>
        <w:ind w:firstLine="480" w:firstLineChars="200"/>
        <w:rPr>
          <w:rFonts w:hint="default" w:ascii="Times New Roman" w:hAnsi="Times New Roman" w:cs="Times New Roman"/>
          <w:color w:val="000000"/>
          <w:sz w:val="24"/>
          <w:highlight w:val="none"/>
        </w:rPr>
      </w:pPr>
    </w:p>
    <w:p w14:paraId="3DA6E973">
      <w:pPr>
        <w:rPr>
          <w:rFonts w:ascii="Times New Roman" w:hAnsi="Times New Roman" w:cs="Times New Roman"/>
          <w:highlight w:val="none"/>
        </w:rPr>
      </w:pPr>
    </w:p>
    <w:p w14:paraId="3EE5705C">
      <w:pPr>
        <w:rPr>
          <w:rFonts w:ascii="Times New Roman" w:hAnsi="Times New Roman" w:cs="Times New Roman"/>
          <w:highlight w:val="none"/>
        </w:rPr>
        <w:sectPr>
          <w:pgSz w:w="11906" w:h="16838"/>
          <w:pgMar w:top="1440" w:right="1800" w:bottom="1440" w:left="1800" w:header="851" w:footer="992" w:gutter="0"/>
          <w:pgNumType w:fmt="decimal"/>
          <w:cols w:space="425" w:num="1"/>
          <w:docGrid w:type="lines" w:linePitch="312" w:charSpace="0"/>
        </w:sectPr>
      </w:pPr>
    </w:p>
    <w:p w14:paraId="08000413">
      <w:pPr>
        <w:jc w:val="center"/>
        <w:rPr>
          <w:rFonts w:hint="default" w:ascii="Times New Roman" w:hAnsi="Times New Roman" w:eastAsia="黑体"/>
          <w:bCs/>
          <w:color w:val="000000"/>
          <w:spacing w:val="-5"/>
          <w:sz w:val="32"/>
          <w:szCs w:val="28"/>
        </w:rPr>
      </w:pPr>
      <w:bookmarkStart w:id="260" w:name="_Toc24487022"/>
      <w:r>
        <w:rPr>
          <w:rFonts w:hint="default" w:ascii="Times New Roman" w:hAnsi="Times New Roman" w:eastAsia="黑体"/>
          <w:bCs/>
          <w:color w:val="000000"/>
          <w:spacing w:val="-5"/>
          <w:sz w:val="32"/>
          <w:szCs w:val="28"/>
        </w:rPr>
        <w:t>广东省标准</w:t>
      </w:r>
      <w:bookmarkEnd w:id="260"/>
    </w:p>
    <w:p w14:paraId="74202270">
      <w:pPr>
        <w:pStyle w:val="5"/>
        <w:tabs>
          <w:tab w:val="left" w:pos="981"/>
        </w:tabs>
        <w:spacing w:before="23" w:line="360" w:lineRule="auto"/>
        <w:ind w:left="773" w:leftChars="322" w:right="-58"/>
        <w:jc w:val="center"/>
        <w:rPr>
          <w:rFonts w:hint="default" w:ascii="Times New Roman" w:hAnsi="Times New Roman"/>
          <w:bCs/>
          <w:color w:val="000000"/>
          <w:spacing w:val="-5"/>
          <w:sz w:val="28"/>
          <w:szCs w:val="28"/>
        </w:rPr>
      </w:pPr>
    </w:p>
    <w:p w14:paraId="168E37C0">
      <w:pPr>
        <w:pStyle w:val="5"/>
        <w:tabs>
          <w:tab w:val="left" w:pos="981"/>
        </w:tabs>
        <w:spacing w:before="23" w:line="360" w:lineRule="auto"/>
        <w:ind w:left="773" w:leftChars="322" w:right="-58"/>
        <w:jc w:val="center"/>
        <w:rPr>
          <w:rFonts w:hint="default" w:ascii="Times New Roman" w:hAnsi="Times New Roman"/>
          <w:color w:val="000000"/>
          <w:spacing w:val="-5"/>
          <w:sz w:val="40"/>
          <w:szCs w:val="28"/>
        </w:rPr>
      </w:pPr>
      <w:r>
        <w:rPr>
          <w:rFonts w:hint="default"/>
          <w:color w:val="000000"/>
          <w:spacing w:val="-5"/>
          <w:sz w:val="40"/>
          <w:szCs w:val="28"/>
        </w:rPr>
        <w:t>建筑边坡工程监测技术标准</w:t>
      </w:r>
    </w:p>
    <w:p w14:paraId="1A233862">
      <w:pPr>
        <w:pStyle w:val="5"/>
        <w:tabs>
          <w:tab w:val="left" w:pos="981"/>
        </w:tabs>
        <w:spacing w:before="23" w:line="360" w:lineRule="auto"/>
        <w:ind w:left="773" w:leftChars="322" w:right="-58"/>
        <w:jc w:val="center"/>
        <w:rPr>
          <w:rFonts w:hint="default" w:ascii="Times New Roman" w:hAnsi="Times New Roman"/>
          <w:color w:val="000000"/>
          <w:spacing w:val="-5"/>
          <w:sz w:val="40"/>
          <w:szCs w:val="28"/>
        </w:rPr>
      </w:pPr>
    </w:p>
    <w:p w14:paraId="3679ABA0">
      <w:pPr>
        <w:pStyle w:val="5"/>
        <w:tabs>
          <w:tab w:val="left" w:pos="981"/>
        </w:tabs>
        <w:spacing w:before="23" w:line="360" w:lineRule="auto"/>
        <w:ind w:right="-58"/>
        <w:jc w:val="center"/>
        <w:rPr>
          <w:rFonts w:hint="default" w:ascii="Times New Roman" w:hAnsi="Times New Roman"/>
          <w:b/>
          <w:bCs/>
          <w:color w:val="000000"/>
          <w:spacing w:val="-5"/>
          <w:sz w:val="28"/>
          <w:szCs w:val="28"/>
        </w:rPr>
      </w:pPr>
      <w:r>
        <w:rPr>
          <w:rFonts w:hint="default" w:ascii="Times New Roman" w:hAnsi="Times New Roman"/>
          <w:b/>
          <w:bCs/>
          <w:color w:val="000000"/>
          <w:spacing w:val="-5"/>
          <w:sz w:val="28"/>
          <w:szCs w:val="28"/>
        </w:rPr>
        <w:t>DBJ/T 15- XXX-XX</w:t>
      </w:r>
    </w:p>
    <w:p w14:paraId="7A4921FA">
      <w:pPr>
        <w:pStyle w:val="5"/>
        <w:tabs>
          <w:tab w:val="left" w:pos="981"/>
        </w:tabs>
        <w:spacing w:before="23" w:line="360" w:lineRule="auto"/>
        <w:ind w:left="773" w:leftChars="322" w:right="-58"/>
        <w:jc w:val="center"/>
        <w:rPr>
          <w:rStyle w:val="22"/>
          <w:rFonts w:hint="default" w:ascii="Times New Roman" w:hAnsi="Times New Roman"/>
          <w:sz w:val="36"/>
          <w:szCs w:val="36"/>
        </w:rPr>
      </w:pPr>
    </w:p>
    <w:p w14:paraId="402794AA">
      <w:pPr>
        <w:spacing w:line="360" w:lineRule="auto"/>
        <w:jc w:val="center"/>
        <w:outlineLvl w:val="0"/>
        <w:rPr>
          <w:rStyle w:val="22"/>
          <w:rFonts w:hint="default" w:ascii="Times New Roman" w:hAnsi="Times New Roman"/>
          <w:b w:val="0"/>
          <w:bCs w:val="0"/>
          <w:sz w:val="28"/>
          <w:szCs w:val="28"/>
        </w:rPr>
      </w:pPr>
      <w:bookmarkStart w:id="261" w:name="_Toc119050679"/>
      <w:bookmarkStart w:id="262" w:name="_Toc15070"/>
      <w:bookmarkStart w:id="263" w:name="_Toc12119"/>
      <w:bookmarkStart w:id="264" w:name="_Toc24050"/>
      <w:bookmarkStart w:id="265" w:name="_Toc13337"/>
      <w:bookmarkStart w:id="266" w:name="_Toc11097"/>
      <w:bookmarkStart w:id="267" w:name="_Toc14793"/>
      <w:bookmarkStart w:id="268" w:name="_Toc12416"/>
      <w:bookmarkStart w:id="269" w:name="_Toc23820"/>
      <w:bookmarkStart w:id="270" w:name="_Toc24619"/>
      <w:bookmarkStart w:id="271" w:name="_Toc16001"/>
      <w:bookmarkStart w:id="272" w:name="_Toc118794890"/>
      <w:bookmarkStart w:id="273" w:name="_Toc24710747"/>
      <w:bookmarkStart w:id="274" w:name="_Toc13151"/>
      <w:bookmarkStart w:id="275" w:name="_Toc30637"/>
      <w:r>
        <w:rPr>
          <w:rStyle w:val="22"/>
          <w:rFonts w:hint="default" w:ascii="Times New Roman" w:hAnsi="Times New Roman"/>
          <w:b w:val="0"/>
          <w:bCs w:val="0"/>
          <w:sz w:val="28"/>
          <w:szCs w:val="28"/>
        </w:rPr>
        <w:t>条文说明</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72BB8770">
      <w:pPr>
        <w:pStyle w:val="3"/>
        <w:spacing w:before="62" w:beforeLines="20" w:after="124" w:afterLines="40" w:line="312" w:lineRule="auto"/>
        <w:jc w:val="center"/>
        <w:rPr>
          <w:rFonts w:hint="default" w:ascii="Times New Roman" w:hAnsi="Times New Roman"/>
          <w:color w:val="000000"/>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609B376">
      <w:pPr>
        <w:pStyle w:val="3"/>
        <w:spacing w:before="62" w:beforeLines="20" w:after="124" w:afterLines="40" w:line="312" w:lineRule="auto"/>
        <w:jc w:val="center"/>
        <w:rPr>
          <w:rFonts w:hint="default" w:ascii="Times New Roman" w:hAnsi="Times New Roman"/>
          <w:color w:val="000000"/>
        </w:rPr>
      </w:pPr>
      <w:bookmarkStart w:id="276" w:name="_Toc119050680"/>
      <w:bookmarkStart w:id="277" w:name="_Toc119049770"/>
      <w:bookmarkStart w:id="278" w:name="_Toc118794891"/>
      <w:bookmarkStart w:id="279" w:name="_Toc14873"/>
      <w:r>
        <w:rPr>
          <w:rFonts w:hint="default" w:ascii="Times New Roman" w:hAnsi="Times New Roman"/>
          <w:color w:val="000000"/>
        </w:rPr>
        <w:t>制订说明</w:t>
      </w:r>
      <w:bookmarkEnd w:id="276"/>
      <w:bookmarkEnd w:id="277"/>
      <w:bookmarkEnd w:id="278"/>
      <w:bookmarkEnd w:id="279"/>
    </w:p>
    <w:p w14:paraId="33D8AAFE">
      <w:pPr>
        <w:rPr>
          <w:rFonts w:hint="default" w:ascii="Times New Roman" w:hAnsi="Times New Roman"/>
          <w:color w:val="000000"/>
        </w:rPr>
      </w:pPr>
    </w:p>
    <w:p w14:paraId="5D70440D">
      <w:pPr>
        <w:spacing w:line="312" w:lineRule="auto"/>
        <w:ind w:firstLine="480" w:firstLineChars="200"/>
        <w:rPr>
          <w:rFonts w:hint="default" w:ascii="Times New Roman" w:hAnsi="Times New Roman"/>
          <w:color w:val="000000"/>
        </w:rPr>
      </w:pPr>
      <w:bookmarkStart w:id="280" w:name="_Toc118794892"/>
      <w:r>
        <w:rPr>
          <w:rFonts w:ascii="Times New Roman" w:hAnsi="Times New Roman"/>
          <w:color w:val="000000"/>
        </w:rPr>
        <w:t>《</w:t>
      </w:r>
      <w:r>
        <w:rPr>
          <w:rFonts w:hint="eastAsia"/>
          <w:color w:val="000000"/>
        </w:rPr>
        <w:t>建筑边坡工程监测技术标准</w:t>
      </w:r>
      <w:r>
        <w:rPr>
          <w:rFonts w:ascii="Times New Roman" w:hAnsi="Times New Roman"/>
          <w:color w:val="000000"/>
        </w:rPr>
        <w:t>》D</w:t>
      </w:r>
      <w:r>
        <w:rPr>
          <w:rFonts w:hint="default" w:ascii="Times New Roman" w:hAnsi="Times New Roman"/>
          <w:color w:val="000000"/>
        </w:rPr>
        <w:t>BJ/T 15-XXX-XXXX</w:t>
      </w:r>
      <w:r>
        <w:rPr>
          <w:rFonts w:ascii="Times New Roman" w:hAnsi="Times New Roman"/>
          <w:color w:val="000000"/>
        </w:rPr>
        <w:t>，经广东省住房和城乡建设厅2</w:t>
      </w:r>
      <w:r>
        <w:rPr>
          <w:rFonts w:hint="default" w:ascii="Times New Roman" w:hAnsi="Times New Roman"/>
          <w:color w:val="000000"/>
        </w:rPr>
        <w:t>02X</w:t>
      </w:r>
      <w:r>
        <w:rPr>
          <w:rFonts w:ascii="Times New Roman" w:hAnsi="Times New Roman"/>
          <w:color w:val="000000"/>
        </w:rPr>
        <w:t>年</w:t>
      </w:r>
      <w:r>
        <w:rPr>
          <w:rFonts w:hint="default" w:ascii="Times New Roman" w:hAnsi="Times New Roman"/>
          <w:color w:val="000000"/>
        </w:rPr>
        <w:t>XX</w:t>
      </w:r>
      <w:r>
        <w:rPr>
          <w:rFonts w:ascii="Times New Roman" w:hAnsi="Times New Roman"/>
          <w:color w:val="000000"/>
        </w:rPr>
        <w:t>月</w:t>
      </w:r>
      <w:r>
        <w:rPr>
          <w:rFonts w:hint="default" w:ascii="Times New Roman" w:hAnsi="Times New Roman"/>
          <w:color w:val="000000"/>
        </w:rPr>
        <w:t>XX</w:t>
      </w:r>
      <w:r>
        <w:rPr>
          <w:rFonts w:ascii="Times New Roman" w:hAnsi="Times New Roman"/>
          <w:color w:val="000000"/>
        </w:rPr>
        <w:t>日以粤建公告〔</w:t>
      </w:r>
      <w:r>
        <w:rPr>
          <w:rFonts w:hint="default" w:ascii="Times New Roman" w:hAnsi="Times New Roman"/>
          <w:color w:val="000000"/>
        </w:rPr>
        <w:t>XXXX</w:t>
      </w:r>
      <w:r>
        <w:rPr>
          <w:rFonts w:ascii="Times New Roman" w:hAnsi="Times New Roman"/>
          <w:color w:val="000000"/>
        </w:rPr>
        <w:t>〕</w:t>
      </w:r>
      <w:r>
        <w:rPr>
          <w:rFonts w:hint="default" w:ascii="Times New Roman" w:hAnsi="Times New Roman"/>
          <w:color w:val="000000"/>
        </w:rPr>
        <w:t>XX</w:t>
      </w:r>
      <w:r>
        <w:rPr>
          <w:rFonts w:ascii="Times New Roman" w:hAnsi="Times New Roman"/>
          <w:color w:val="000000"/>
        </w:rPr>
        <w:t>号批准发布。</w:t>
      </w:r>
    </w:p>
    <w:p w14:paraId="30173E71">
      <w:pPr>
        <w:spacing w:line="312" w:lineRule="auto"/>
        <w:ind w:firstLine="480" w:firstLineChars="200"/>
        <w:rPr>
          <w:rFonts w:hint="default" w:ascii="Times New Roman" w:hAnsi="Times New Roman"/>
          <w:color w:val="000000"/>
        </w:rPr>
      </w:pPr>
      <w:r>
        <w:rPr>
          <w:rFonts w:hint="default" w:ascii="Times New Roman" w:hAnsi="Times New Roman"/>
          <w:color w:val="000000"/>
        </w:rPr>
        <w:t>本规范编制过程中，编制组对广东省</w:t>
      </w:r>
      <w:r>
        <w:rPr>
          <w:rFonts w:hint="eastAsia" w:ascii="Times New Roman" w:hAnsi="Times New Roman"/>
          <w:color w:val="000000"/>
          <w:lang w:val="en-US" w:eastAsia="zh-CN"/>
        </w:rPr>
        <w:t>建筑边坡</w:t>
      </w:r>
      <w:r>
        <w:rPr>
          <w:rFonts w:hint="default" w:ascii="Times New Roman" w:hAnsi="Times New Roman"/>
          <w:color w:val="000000"/>
        </w:rPr>
        <w:t>监测现状进行了广泛的调查研究，总结了广东省</w:t>
      </w:r>
      <w:r>
        <w:rPr>
          <w:rFonts w:hint="eastAsia" w:ascii="Times New Roman" w:hAnsi="Times New Roman"/>
          <w:color w:val="000000"/>
          <w:lang w:val="en-US" w:eastAsia="zh-CN"/>
        </w:rPr>
        <w:t>建筑边坡</w:t>
      </w:r>
      <w:r>
        <w:rPr>
          <w:rFonts w:hint="default" w:ascii="Times New Roman" w:hAnsi="Times New Roman"/>
          <w:color w:val="000000"/>
        </w:rPr>
        <w:t>监测的实践经验，同时参</w:t>
      </w:r>
      <w:r>
        <w:rPr>
          <w:rFonts w:ascii="Times New Roman" w:hAnsi="Times New Roman"/>
          <w:color w:val="000000"/>
        </w:rPr>
        <w:t>考</w:t>
      </w:r>
      <w:r>
        <w:rPr>
          <w:rFonts w:hint="default" w:ascii="Times New Roman" w:hAnsi="Times New Roman"/>
          <w:color w:val="000000"/>
        </w:rPr>
        <w:t>了国内外的先进技术、方法标准，通过调研、征求意见，对编制内容进行反复讨论、分析、论证，开展专题研究和工程实例验证等工作，为本规范制订提供了依据。</w:t>
      </w:r>
      <w:bookmarkEnd w:id="280"/>
    </w:p>
    <w:p w14:paraId="35DC1FA3">
      <w:pPr>
        <w:spacing w:line="312" w:lineRule="auto"/>
        <w:ind w:firstLine="480" w:firstLineChars="200"/>
        <w:rPr>
          <w:rFonts w:hint="default" w:ascii="Times New Roman" w:hAnsi="Times New Roman"/>
          <w:color w:val="000000"/>
        </w:rPr>
      </w:pPr>
      <w:bookmarkStart w:id="281" w:name="_Toc118794893"/>
      <w:r>
        <w:rPr>
          <w:rFonts w:hint="default" w:ascii="Times New Roman" w:hAnsi="Times New Roman"/>
          <w:color w:val="000000"/>
        </w:rPr>
        <w:t>为便于广大监测、设计、施工、监理、科研、学校等单位有关人员在使用本规范时能正确理解和执行条文规定，《</w:t>
      </w:r>
      <w:r>
        <w:rPr>
          <w:rFonts w:hint="default"/>
          <w:color w:val="000000"/>
        </w:rPr>
        <w:t>建筑边坡工程监测技术标准</w:t>
      </w:r>
      <w:r>
        <w:rPr>
          <w:rFonts w:hint="default" w:ascii="Times New Roman" w:hAnsi="Times New Roman"/>
          <w:color w:val="000000"/>
        </w:rPr>
        <w:t>》编制组按章、节、条顺序编制了本规范的条文说明，对条文说明规定的目的、依据以及执行中需注意的有关事项进行了说明。本条文说明不具备与规范正文同等的法律效力，仅供使用者作为理解和把握规范规定的参考。</w:t>
      </w:r>
      <w:bookmarkEnd w:id="281"/>
    </w:p>
    <w:p w14:paraId="2CE3AB16">
      <w:pPr>
        <w:jc w:val="center"/>
        <w:rPr>
          <w:rFonts w:hint="default" w:ascii="Times New Roman" w:hAnsi="Times New Roman"/>
          <w:b/>
          <w:bCs/>
          <w:color w:val="000000"/>
          <w:sz w:val="36"/>
          <w:szCs w:val="36"/>
        </w:rPr>
      </w:pPr>
      <w:r>
        <w:rPr>
          <w:rFonts w:hint="default" w:ascii="Times New Roman" w:hAnsi="Times New Roman"/>
          <w:b/>
          <w:bCs/>
          <w:color w:val="000000"/>
          <w:kern w:val="0"/>
          <w:sz w:val="24"/>
        </w:rPr>
        <w:br w:type="page"/>
      </w:r>
      <w:r>
        <w:rPr>
          <w:rFonts w:hint="default" w:ascii="Times New Roman" w:hAnsi="Times New Roman"/>
          <w:b/>
          <w:bCs/>
          <w:color w:val="000000"/>
          <w:sz w:val="36"/>
          <w:szCs w:val="36"/>
        </w:rPr>
        <w:t>目  次</w:t>
      </w:r>
    </w:p>
    <w:p w14:paraId="2F978183">
      <w:pPr>
        <w:pStyle w:val="8"/>
        <w:tabs>
          <w:tab w:val="right" w:leader="dot" w:pos="8306"/>
        </w:tabs>
      </w:pPr>
      <w:r>
        <w:rPr>
          <w:rFonts w:hint="default" w:ascii="Times New Roman" w:hAnsi="Times New Roman"/>
          <w:color w:val="000000"/>
          <w:sz w:val="24"/>
        </w:rPr>
        <w:fldChar w:fldCharType="begin"/>
      </w:r>
      <w:r>
        <w:rPr>
          <w:rFonts w:hint="default" w:ascii="Times New Roman" w:hAnsi="Times New Roman"/>
          <w:color w:val="000000"/>
          <w:sz w:val="24"/>
        </w:rPr>
        <w:instrText xml:space="preserve">TOC \o "1-2" \h \u </w:instrText>
      </w:r>
      <w:r>
        <w:rPr>
          <w:rFonts w:hint="default" w:ascii="Times New Roman" w:hAnsi="Times New Roman"/>
          <w:color w:val="000000"/>
          <w:sz w:val="24"/>
        </w:rPr>
        <w:fldChar w:fldCharType="separate"/>
      </w:r>
      <w:r>
        <w:rPr>
          <w:rFonts w:hint="default" w:ascii="Times New Roman" w:hAnsi="Times New Roman"/>
          <w:color w:val="000000"/>
        </w:rPr>
        <w:fldChar w:fldCharType="begin"/>
      </w:r>
      <w:r>
        <w:rPr>
          <w:rFonts w:hint="default" w:ascii="Times New Roman" w:hAnsi="Times New Roman"/>
        </w:rPr>
        <w:instrText xml:space="preserve"> HYPERLINK \l _Toc20833 </w:instrText>
      </w:r>
      <w:r>
        <w:rPr>
          <w:rFonts w:hint="default" w:ascii="Times New Roman" w:hAnsi="Times New Roman"/>
        </w:rPr>
        <w:fldChar w:fldCharType="separate"/>
      </w:r>
      <w:r>
        <w:rPr>
          <w:rFonts w:hint="eastAsia" w:ascii="Times New Roman" w:hAnsi="Times New Roman" w:cs="Times New Roman"/>
          <w:bCs w:val="0"/>
          <w:highlight w:val="none"/>
          <w:lang w:val="en-US" w:eastAsia="zh-CN"/>
        </w:rPr>
        <w:t>1 总则</w:t>
      </w:r>
      <w:r>
        <w:tab/>
      </w:r>
      <w:r>
        <w:fldChar w:fldCharType="begin"/>
      </w:r>
      <w:r>
        <w:instrText xml:space="preserve"> PAGEREF _Toc20833 \h </w:instrText>
      </w:r>
      <w:r>
        <w:fldChar w:fldCharType="separate"/>
      </w:r>
      <w:r>
        <w:t>1</w:t>
      </w:r>
      <w:r>
        <w:fldChar w:fldCharType="end"/>
      </w:r>
      <w:r>
        <w:rPr>
          <w:rFonts w:hint="default" w:ascii="Times New Roman" w:hAnsi="Times New Roman"/>
          <w:color w:val="000000"/>
        </w:rPr>
        <w:fldChar w:fldCharType="end"/>
      </w:r>
    </w:p>
    <w:p w14:paraId="6A5AF9C2">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_Toc26300 </w:instrText>
      </w:r>
      <w:r>
        <w:rPr>
          <w:rFonts w:hint="default" w:ascii="Times New Roman" w:hAnsi="Times New Roman"/>
        </w:rPr>
        <w:fldChar w:fldCharType="separate"/>
      </w:r>
      <w:r>
        <w:rPr>
          <w:rFonts w:hint="eastAsia" w:ascii="Times New Roman" w:hAnsi="Times New Roman" w:cs="Times New Roman"/>
          <w:highlight w:val="none"/>
          <w:lang w:val="en-US" w:eastAsia="zh-CN"/>
        </w:rPr>
        <w:t>2 术语</w:t>
      </w:r>
      <w:r>
        <w:tab/>
      </w:r>
      <w:r>
        <w:fldChar w:fldCharType="begin"/>
      </w:r>
      <w:r>
        <w:instrText xml:space="preserve"> PAGEREF _Toc26300 \h </w:instrText>
      </w:r>
      <w:r>
        <w:fldChar w:fldCharType="separate"/>
      </w:r>
      <w:r>
        <w:t>3</w:t>
      </w:r>
      <w:r>
        <w:fldChar w:fldCharType="end"/>
      </w:r>
      <w:r>
        <w:rPr>
          <w:rFonts w:hint="default" w:ascii="Times New Roman" w:hAnsi="Times New Roman"/>
          <w:color w:val="000000"/>
        </w:rPr>
        <w:fldChar w:fldCharType="end"/>
      </w:r>
    </w:p>
    <w:p w14:paraId="5550293F">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_Toc4933 </w:instrText>
      </w:r>
      <w:r>
        <w:rPr>
          <w:rFonts w:hint="default" w:ascii="Times New Roman" w:hAnsi="Times New Roman"/>
        </w:rPr>
        <w:fldChar w:fldCharType="separate"/>
      </w:r>
      <w:r>
        <w:rPr>
          <w:rFonts w:hint="eastAsia" w:ascii="Times New Roman" w:hAnsi="Times New Roman" w:cs="Times New Roman"/>
          <w:highlight w:val="none"/>
          <w:lang w:val="en-US" w:eastAsia="zh-CN"/>
        </w:rPr>
        <w:t>3 基本规定</w:t>
      </w:r>
      <w:r>
        <w:tab/>
      </w:r>
      <w:r>
        <w:fldChar w:fldCharType="begin"/>
      </w:r>
      <w:r>
        <w:instrText xml:space="preserve"> PAGEREF _Toc4933 \h </w:instrText>
      </w:r>
      <w:r>
        <w:fldChar w:fldCharType="separate"/>
      </w:r>
      <w:r>
        <w:t>7</w:t>
      </w:r>
      <w:r>
        <w:fldChar w:fldCharType="end"/>
      </w:r>
      <w:r>
        <w:rPr>
          <w:rFonts w:hint="default" w:ascii="Times New Roman" w:hAnsi="Times New Roman"/>
          <w:color w:val="000000"/>
        </w:rPr>
        <w:fldChar w:fldCharType="end"/>
      </w:r>
    </w:p>
    <w:p w14:paraId="5BF1879D">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_Toc3535 </w:instrText>
      </w:r>
      <w:r>
        <w:rPr>
          <w:rFonts w:hint="default" w:ascii="Times New Roman" w:hAnsi="Times New Roman"/>
        </w:rPr>
        <w:fldChar w:fldCharType="separate"/>
      </w:r>
      <w:r>
        <w:rPr>
          <w:rFonts w:hint="eastAsia" w:ascii="Times New Roman" w:hAnsi="Times New Roman" w:cs="Times New Roman"/>
          <w:highlight w:val="none"/>
          <w:lang w:val="en-US" w:eastAsia="zh-CN"/>
        </w:rPr>
        <w:t>4 监测项目</w:t>
      </w:r>
      <w:r>
        <w:tab/>
      </w:r>
      <w:r>
        <w:fldChar w:fldCharType="begin"/>
      </w:r>
      <w:r>
        <w:instrText xml:space="preserve"> PAGEREF _Toc3535 \h </w:instrText>
      </w:r>
      <w:r>
        <w:fldChar w:fldCharType="separate"/>
      </w:r>
      <w:r>
        <w:t>13</w:t>
      </w:r>
      <w:r>
        <w:fldChar w:fldCharType="end"/>
      </w:r>
      <w:r>
        <w:rPr>
          <w:rFonts w:hint="default" w:ascii="Times New Roman" w:hAnsi="Times New Roman"/>
          <w:color w:val="000000"/>
        </w:rPr>
        <w:fldChar w:fldCharType="end"/>
      </w:r>
    </w:p>
    <w:p w14:paraId="07620F9D">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_Toc15808 </w:instrText>
      </w:r>
      <w:r>
        <w:rPr>
          <w:rFonts w:hint="default" w:ascii="Times New Roman" w:hAnsi="Times New Roman"/>
        </w:rPr>
        <w:fldChar w:fldCharType="separate"/>
      </w:r>
      <w:r>
        <w:rPr>
          <w:rFonts w:hint="eastAsia" w:ascii="Times New Roman" w:hAnsi="Times New Roman" w:cs="Times New Roman"/>
          <w:highlight w:val="none"/>
          <w:lang w:val="en-US" w:eastAsia="zh-CN"/>
        </w:rPr>
        <w:t>4.1 一般规定</w:t>
      </w:r>
      <w:r>
        <w:tab/>
      </w:r>
      <w:r>
        <w:fldChar w:fldCharType="begin"/>
      </w:r>
      <w:r>
        <w:instrText xml:space="preserve"> PAGEREF _Toc15808 \h </w:instrText>
      </w:r>
      <w:r>
        <w:fldChar w:fldCharType="separate"/>
      </w:r>
      <w:r>
        <w:t>13</w:t>
      </w:r>
      <w:r>
        <w:fldChar w:fldCharType="end"/>
      </w:r>
      <w:r>
        <w:rPr>
          <w:rFonts w:hint="default" w:ascii="Times New Roman" w:hAnsi="Times New Roman"/>
          <w:color w:val="000000"/>
        </w:rPr>
        <w:fldChar w:fldCharType="end"/>
      </w:r>
    </w:p>
    <w:p w14:paraId="34D9DFC4">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_Toc867 </w:instrText>
      </w:r>
      <w:r>
        <w:rPr>
          <w:rFonts w:hint="default" w:ascii="Times New Roman" w:hAnsi="Times New Roman"/>
        </w:rPr>
        <w:fldChar w:fldCharType="separate"/>
      </w:r>
      <w:r>
        <w:rPr>
          <w:rFonts w:hint="eastAsia" w:ascii="Times New Roman" w:hAnsi="Times New Roman" w:cs="Times New Roman"/>
          <w:highlight w:val="none"/>
          <w:lang w:val="en-US" w:eastAsia="zh-CN"/>
        </w:rPr>
        <w:t>4.2 仪器监测</w:t>
      </w:r>
      <w:r>
        <w:tab/>
      </w:r>
      <w:r>
        <w:fldChar w:fldCharType="begin"/>
      </w:r>
      <w:r>
        <w:instrText xml:space="preserve"> PAGEREF _Toc867 \h </w:instrText>
      </w:r>
      <w:r>
        <w:fldChar w:fldCharType="separate"/>
      </w:r>
      <w:r>
        <w:t>14</w:t>
      </w:r>
      <w:r>
        <w:fldChar w:fldCharType="end"/>
      </w:r>
      <w:r>
        <w:rPr>
          <w:rFonts w:hint="default" w:ascii="Times New Roman" w:hAnsi="Times New Roman"/>
          <w:color w:val="000000"/>
        </w:rPr>
        <w:fldChar w:fldCharType="end"/>
      </w:r>
    </w:p>
    <w:p w14:paraId="7BAE589F">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_Toc16945 </w:instrText>
      </w:r>
      <w:r>
        <w:rPr>
          <w:rFonts w:hint="default" w:ascii="Times New Roman" w:hAnsi="Times New Roman"/>
        </w:rPr>
        <w:fldChar w:fldCharType="separate"/>
      </w:r>
      <w:r>
        <w:rPr>
          <w:rFonts w:hint="eastAsia" w:ascii="Times New Roman" w:hAnsi="Times New Roman" w:cs="Times New Roman"/>
          <w:highlight w:val="none"/>
          <w:lang w:val="en-US" w:eastAsia="zh-CN"/>
        </w:rPr>
        <w:t>4.3 巡视检查</w:t>
      </w:r>
      <w:r>
        <w:tab/>
      </w:r>
      <w:r>
        <w:fldChar w:fldCharType="begin"/>
      </w:r>
      <w:r>
        <w:instrText xml:space="preserve"> PAGEREF _Toc16945 \h </w:instrText>
      </w:r>
      <w:r>
        <w:fldChar w:fldCharType="separate"/>
      </w:r>
      <w:r>
        <w:t>15</w:t>
      </w:r>
      <w:r>
        <w:fldChar w:fldCharType="end"/>
      </w:r>
      <w:r>
        <w:rPr>
          <w:rFonts w:hint="default" w:ascii="Times New Roman" w:hAnsi="Times New Roman"/>
          <w:color w:val="000000"/>
        </w:rPr>
        <w:fldChar w:fldCharType="end"/>
      </w:r>
    </w:p>
    <w:p w14:paraId="08C960FB">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_Toc13270 </w:instrText>
      </w:r>
      <w:r>
        <w:rPr>
          <w:rFonts w:hint="default" w:ascii="Times New Roman" w:hAnsi="Times New Roman"/>
        </w:rPr>
        <w:fldChar w:fldCharType="separate"/>
      </w:r>
      <w:r>
        <w:rPr>
          <w:rFonts w:hint="eastAsia" w:ascii="Times New Roman" w:hAnsi="Times New Roman" w:cs="Times New Roman"/>
          <w:highlight w:val="none"/>
          <w:lang w:val="en-US" w:eastAsia="zh-CN"/>
        </w:rPr>
        <w:t>5 监测点布置</w:t>
      </w:r>
      <w:r>
        <w:tab/>
      </w:r>
      <w:r>
        <w:fldChar w:fldCharType="begin"/>
      </w:r>
      <w:r>
        <w:instrText xml:space="preserve"> PAGEREF _Toc13270 \h </w:instrText>
      </w:r>
      <w:r>
        <w:fldChar w:fldCharType="separate"/>
      </w:r>
      <w:r>
        <w:t>19</w:t>
      </w:r>
      <w:r>
        <w:fldChar w:fldCharType="end"/>
      </w:r>
      <w:r>
        <w:rPr>
          <w:rFonts w:hint="default" w:ascii="Times New Roman" w:hAnsi="Times New Roman"/>
          <w:color w:val="000000"/>
        </w:rPr>
        <w:fldChar w:fldCharType="end"/>
      </w:r>
    </w:p>
    <w:p w14:paraId="3B37B349">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_Toc32041 </w:instrText>
      </w:r>
      <w:r>
        <w:rPr>
          <w:rFonts w:hint="default" w:ascii="Times New Roman" w:hAnsi="Times New Roman"/>
        </w:rPr>
        <w:fldChar w:fldCharType="separate"/>
      </w:r>
      <w:r>
        <w:rPr>
          <w:rFonts w:hint="eastAsia" w:ascii="Times New Roman" w:hAnsi="Times New Roman" w:cs="Times New Roman"/>
          <w:highlight w:val="none"/>
          <w:lang w:val="en-US" w:eastAsia="zh-CN"/>
        </w:rPr>
        <w:t>5.1 一般规定</w:t>
      </w:r>
      <w:r>
        <w:tab/>
      </w:r>
      <w:r>
        <w:fldChar w:fldCharType="begin"/>
      </w:r>
      <w:r>
        <w:instrText xml:space="preserve"> PAGEREF _Toc32041 \h </w:instrText>
      </w:r>
      <w:r>
        <w:fldChar w:fldCharType="separate"/>
      </w:r>
      <w:r>
        <w:t>19</w:t>
      </w:r>
      <w:r>
        <w:fldChar w:fldCharType="end"/>
      </w:r>
      <w:r>
        <w:rPr>
          <w:rFonts w:hint="default" w:ascii="Times New Roman" w:hAnsi="Times New Roman"/>
          <w:color w:val="000000"/>
        </w:rPr>
        <w:fldChar w:fldCharType="end"/>
      </w:r>
    </w:p>
    <w:p w14:paraId="5AFA6EB6">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_Toc3354 </w:instrText>
      </w:r>
      <w:r>
        <w:rPr>
          <w:rFonts w:hint="default" w:ascii="Times New Roman" w:hAnsi="Times New Roman"/>
        </w:rPr>
        <w:fldChar w:fldCharType="separate"/>
      </w:r>
      <w:r>
        <w:rPr>
          <w:rFonts w:hint="eastAsia" w:ascii="Times New Roman" w:hAnsi="Times New Roman" w:cs="Times New Roman"/>
          <w:highlight w:val="none"/>
          <w:lang w:val="en-US" w:eastAsia="zh-CN"/>
        </w:rPr>
        <w:t>5.2 支护结构</w:t>
      </w:r>
      <w:r>
        <w:tab/>
      </w:r>
      <w:r>
        <w:fldChar w:fldCharType="begin"/>
      </w:r>
      <w:r>
        <w:instrText xml:space="preserve"> PAGEREF _Toc3354 \h </w:instrText>
      </w:r>
      <w:r>
        <w:fldChar w:fldCharType="separate"/>
      </w:r>
      <w:r>
        <w:t>20</w:t>
      </w:r>
      <w:r>
        <w:fldChar w:fldCharType="end"/>
      </w:r>
      <w:r>
        <w:rPr>
          <w:rFonts w:hint="default" w:ascii="Times New Roman" w:hAnsi="Times New Roman"/>
          <w:color w:val="000000"/>
        </w:rPr>
        <w:fldChar w:fldCharType="end"/>
      </w:r>
    </w:p>
    <w:p w14:paraId="2E2863FC">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_Toc1401 </w:instrText>
      </w:r>
      <w:r>
        <w:rPr>
          <w:rFonts w:hint="default" w:ascii="Times New Roman" w:hAnsi="Times New Roman"/>
        </w:rPr>
        <w:fldChar w:fldCharType="separate"/>
      </w:r>
      <w:r>
        <w:rPr>
          <w:rFonts w:hint="eastAsia" w:ascii="Times New Roman" w:hAnsi="Times New Roman" w:cs="Times New Roman"/>
          <w:highlight w:val="none"/>
          <w:lang w:val="en-US" w:eastAsia="zh-CN"/>
        </w:rPr>
        <w:t>5.3 周边环境</w:t>
      </w:r>
      <w:r>
        <w:tab/>
      </w:r>
      <w:r>
        <w:fldChar w:fldCharType="begin"/>
      </w:r>
      <w:r>
        <w:instrText xml:space="preserve"> PAGEREF _Toc1401 \h </w:instrText>
      </w:r>
      <w:r>
        <w:fldChar w:fldCharType="separate"/>
      </w:r>
      <w:r>
        <w:t>23</w:t>
      </w:r>
      <w:r>
        <w:fldChar w:fldCharType="end"/>
      </w:r>
      <w:r>
        <w:rPr>
          <w:rFonts w:hint="default" w:ascii="Times New Roman" w:hAnsi="Times New Roman"/>
          <w:color w:val="000000"/>
        </w:rPr>
        <w:fldChar w:fldCharType="end"/>
      </w:r>
    </w:p>
    <w:p w14:paraId="2F04AC1F">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_Toc8185 </w:instrText>
      </w:r>
      <w:r>
        <w:rPr>
          <w:rFonts w:hint="default" w:ascii="Times New Roman" w:hAnsi="Times New Roman"/>
        </w:rPr>
        <w:fldChar w:fldCharType="separate"/>
      </w:r>
      <w:r>
        <w:rPr>
          <w:rFonts w:hint="eastAsia" w:ascii="Times New Roman" w:hAnsi="Times New Roman" w:cs="Times New Roman"/>
          <w:highlight w:val="none"/>
          <w:lang w:val="en-US" w:eastAsia="zh-CN"/>
        </w:rPr>
        <w:t>5.4 边坡岩土体、水体</w:t>
      </w:r>
      <w:r>
        <w:tab/>
      </w:r>
      <w:r>
        <w:fldChar w:fldCharType="begin"/>
      </w:r>
      <w:r>
        <w:instrText xml:space="preserve"> PAGEREF _Toc8185 \h </w:instrText>
      </w:r>
      <w:r>
        <w:fldChar w:fldCharType="separate"/>
      </w:r>
      <w:r>
        <w:t>25</w:t>
      </w:r>
      <w:r>
        <w:fldChar w:fldCharType="end"/>
      </w:r>
      <w:r>
        <w:rPr>
          <w:rFonts w:hint="default" w:ascii="Times New Roman" w:hAnsi="Times New Roman"/>
          <w:color w:val="000000"/>
        </w:rPr>
        <w:fldChar w:fldCharType="end"/>
      </w:r>
    </w:p>
    <w:p w14:paraId="668C1A41">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_Toc4372 </w:instrText>
      </w:r>
      <w:r>
        <w:rPr>
          <w:rFonts w:hint="default" w:ascii="Times New Roman" w:hAnsi="Times New Roman"/>
        </w:rPr>
        <w:fldChar w:fldCharType="separate"/>
      </w:r>
      <w:r>
        <w:rPr>
          <w:rFonts w:hint="eastAsia" w:ascii="Times New Roman" w:hAnsi="Times New Roman" w:cs="Times New Roman"/>
          <w:highlight w:val="none"/>
          <w:lang w:val="en-US" w:eastAsia="zh-CN"/>
        </w:rPr>
        <w:t xml:space="preserve">5.5 </w:t>
      </w:r>
      <w:r>
        <w:rPr>
          <w:rFonts w:hint="eastAsia" w:ascii="Times New Roman" w:hAnsi="Times New Roman" w:cs="Times New Roman"/>
          <w:highlight w:val="none"/>
        </w:rPr>
        <w:t>其他需要监测的对象</w:t>
      </w:r>
      <w:r>
        <w:tab/>
      </w:r>
      <w:r>
        <w:fldChar w:fldCharType="begin"/>
      </w:r>
      <w:r>
        <w:instrText xml:space="preserve"> PAGEREF _Toc4372 \h </w:instrText>
      </w:r>
      <w:r>
        <w:fldChar w:fldCharType="separate"/>
      </w:r>
      <w:r>
        <w:t>26</w:t>
      </w:r>
      <w:r>
        <w:fldChar w:fldCharType="end"/>
      </w:r>
      <w:r>
        <w:rPr>
          <w:rFonts w:hint="default" w:ascii="Times New Roman" w:hAnsi="Times New Roman"/>
          <w:color w:val="000000"/>
        </w:rPr>
        <w:fldChar w:fldCharType="end"/>
      </w:r>
    </w:p>
    <w:p w14:paraId="51159433">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_Toc22944 </w:instrText>
      </w:r>
      <w:r>
        <w:rPr>
          <w:rFonts w:hint="default" w:ascii="Times New Roman" w:hAnsi="Times New Roman"/>
        </w:rPr>
        <w:fldChar w:fldCharType="separate"/>
      </w:r>
      <w:r>
        <w:rPr>
          <w:rFonts w:hint="eastAsia" w:ascii="Times New Roman" w:hAnsi="Times New Roman" w:cs="Times New Roman"/>
          <w:highlight w:val="none"/>
          <w:lang w:val="en-US" w:eastAsia="zh-CN"/>
        </w:rPr>
        <w:t>6 监测方法及精度要求</w:t>
      </w:r>
      <w:r>
        <w:tab/>
      </w:r>
      <w:r>
        <w:fldChar w:fldCharType="begin"/>
      </w:r>
      <w:r>
        <w:instrText xml:space="preserve"> PAGEREF _Toc22944 \h </w:instrText>
      </w:r>
      <w:r>
        <w:fldChar w:fldCharType="separate"/>
      </w:r>
      <w:r>
        <w:t>30</w:t>
      </w:r>
      <w:r>
        <w:fldChar w:fldCharType="end"/>
      </w:r>
      <w:r>
        <w:rPr>
          <w:rFonts w:hint="default" w:ascii="Times New Roman" w:hAnsi="Times New Roman"/>
          <w:color w:val="000000"/>
        </w:rPr>
        <w:fldChar w:fldCharType="end"/>
      </w:r>
    </w:p>
    <w:p w14:paraId="44E8B6AD">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_Toc21333 </w:instrText>
      </w:r>
      <w:r>
        <w:rPr>
          <w:rFonts w:hint="default" w:ascii="Times New Roman" w:hAnsi="Times New Roman"/>
        </w:rPr>
        <w:fldChar w:fldCharType="separate"/>
      </w:r>
      <w:r>
        <w:rPr>
          <w:rFonts w:hint="eastAsia" w:ascii="Times New Roman" w:hAnsi="Times New Roman" w:cs="Times New Roman"/>
          <w:highlight w:val="none"/>
          <w:lang w:val="en-US" w:eastAsia="zh-CN"/>
        </w:rPr>
        <w:t>6.1 一般规定</w:t>
      </w:r>
      <w:r>
        <w:tab/>
      </w:r>
      <w:r>
        <w:fldChar w:fldCharType="begin"/>
      </w:r>
      <w:r>
        <w:instrText xml:space="preserve"> PAGEREF _Toc21333 \h </w:instrText>
      </w:r>
      <w:r>
        <w:fldChar w:fldCharType="separate"/>
      </w:r>
      <w:r>
        <w:t>30</w:t>
      </w:r>
      <w:r>
        <w:fldChar w:fldCharType="end"/>
      </w:r>
      <w:r>
        <w:rPr>
          <w:rFonts w:hint="default" w:ascii="Times New Roman" w:hAnsi="Times New Roman"/>
          <w:color w:val="000000"/>
        </w:rPr>
        <w:fldChar w:fldCharType="end"/>
      </w:r>
    </w:p>
    <w:p w14:paraId="20A70959">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_Toc14171 </w:instrText>
      </w:r>
      <w:r>
        <w:rPr>
          <w:rFonts w:hint="default" w:ascii="Times New Roman" w:hAnsi="Times New Roman"/>
        </w:rPr>
        <w:fldChar w:fldCharType="separate"/>
      </w:r>
      <w:r>
        <w:rPr>
          <w:rFonts w:hint="eastAsia" w:ascii="Times New Roman" w:hAnsi="Times New Roman" w:cs="Times New Roman"/>
          <w:highlight w:val="none"/>
          <w:lang w:val="en-US" w:eastAsia="zh-CN"/>
        </w:rPr>
        <w:t>6.2 人工监测</w:t>
      </w:r>
      <w:r>
        <w:tab/>
      </w:r>
      <w:r>
        <w:fldChar w:fldCharType="begin"/>
      </w:r>
      <w:r>
        <w:instrText xml:space="preserve"> PAGEREF _Toc14171 \h </w:instrText>
      </w:r>
      <w:r>
        <w:fldChar w:fldCharType="separate"/>
      </w:r>
      <w:r>
        <w:t>34</w:t>
      </w:r>
      <w:r>
        <w:fldChar w:fldCharType="end"/>
      </w:r>
      <w:r>
        <w:rPr>
          <w:rFonts w:hint="default" w:ascii="Times New Roman" w:hAnsi="Times New Roman"/>
          <w:color w:val="000000"/>
        </w:rPr>
        <w:fldChar w:fldCharType="end"/>
      </w:r>
    </w:p>
    <w:p w14:paraId="2F598272">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_Toc30282 </w:instrText>
      </w:r>
      <w:r>
        <w:rPr>
          <w:rFonts w:hint="default" w:ascii="Times New Roman" w:hAnsi="Times New Roman"/>
        </w:rPr>
        <w:fldChar w:fldCharType="separate"/>
      </w:r>
      <w:r>
        <w:rPr>
          <w:rFonts w:hint="eastAsia" w:ascii="Times New Roman" w:hAnsi="Times New Roman" w:cs="Times New Roman"/>
          <w:highlight w:val="none"/>
          <w:lang w:val="en-US" w:eastAsia="zh-CN"/>
        </w:rPr>
        <w:t>6.3 自动化监测</w:t>
      </w:r>
      <w:r>
        <w:tab/>
      </w:r>
      <w:r>
        <w:fldChar w:fldCharType="begin"/>
      </w:r>
      <w:r>
        <w:instrText xml:space="preserve"> PAGEREF _Toc30282 \h </w:instrText>
      </w:r>
      <w:r>
        <w:fldChar w:fldCharType="separate"/>
      </w:r>
      <w:r>
        <w:t>45</w:t>
      </w:r>
      <w:r>
        <w:fldChar w:fldCharType="end"/>
      </w:r>
      <w:r>
        <w:rPr>
          <w:rFonts w:hint="default" w:ascii="Times New Roman" w:hAnsi="Times New Roman"/>
          <w:color w:val="000000"/>
        </w:rPr>
        <w:fldChar w:fldCharType="end"/>
      </w:r>
    </w:p>
    <w:p w14:paraId="3B521EE0">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_Toc7464 </w:instrText>
      </w:r>
      <w:r>
        <w:rPr>
          <w:rFonts w:hint="default" w:ascii="Times New Roman" w:hAnsi="Times New Roman"/>
        </w:rPr>
        <w:fldChar w:fldCharType="separate"/>
      </w:r>
      <w:r>
        <w:rPr>
          <w:rFonts w:hint="eastAsia" w:ascii="Times New Roman" w:hAnsi="Times New Roman" w:cs="Times New Roman"/>
          <w:highlight w:val="none"/>
          <w:lang w:val="en-US" w:eastAsia="zh-CN"/>
        </w:rPr>
        <w:t>7 监测期限及频率</w:t>
      </w:r>
      <w:r>
        <w:tab/>
      </w:r>
      <w:r>
        <w:fldChar w:fldCharType="begin"/>
      </w:r>
      <w:r>
        <w:instrText xml:space="preserve"> PAGEREF _Toc7464 \h </w:instrText>
      </w:r>
      <w:r>
        <w:fldChar w:fldCharType="separate"/>
      </w:r>
      <w:r>
        <w:t>59</w:t>
      </w:r>
      <w:r>
        <w:fldChar w:fldCharType="end"/>
      </w:r>
      <w:r>
        <w:rPr>
          <w:rFonts w:hint="default" w:ascii="Times New Roman" w:hAnsi="Times New Roman"/>
          <w:color w:val="000000"/>
        </w:rPr>
        <w:fldChar w:fldCharType="end"/>
      </w:r>
    </w:p>
    <w:p w14:paraId="0899FE56">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_Toc20346 </w:instrText>
      </w:r>
      <w:r>
        <w:rPr>
          <w:rFonts w:hint="default" w:ascii="Times New Roman" w:hAnsi="Times New Roman"/>
        </w:rPr>
        <w:fldChar w:fldCharType="separate"/>
      </w:r>
      <w:r>
        <w:rPr>
          <w:rFonts w:hint="eastAsia" w:ascii="Times New Roman" w:hAnsi="Times New Roman" w:cs="Times New Roman"/>
          <w:highlight w:val="none"/>
          <w:lang w:val="en-US" w:eastAsia="zh-CN"/>
        </w:rPr>
        <w:t>7.1 一般规定</w:t>
      </w:r>
      <w:r>
        <w:tab/>
      </w:r>
      <w:r>
        <w:fldChar w:fldCharType="begin"/>
      </w:r>
      <w:r>
        <w:instrText xml:space="preserve"> PAGEREF _Toc20346 \h </w:instrText>
      </w:r>
      <w:r>
        <w:fldChar w:fldCharType="separate"/>
      </w:r>
      <w:r>
        <w:t>59</w:t>
      </w:r>
      <w:r>
        <w:fldChar w:fldCharType="end"/>
      </w:r>
      <w:r>
        <w:rPr>
          <w:rFonts w:hint="default" w:ascii="Times New Roman" w:hAnsi="Times New Roman"/>
          <w:color w:val="000000"/>
        </w:rPr>
        <w:fldChar w:fldCharType="end"/>
      </w:r>
    </w:p>
    <w:p w14:paraId="649D2D99">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_Toc3567 </w:instrText>
      </w:r>
      <w:r>
        <w:rPr>
          <w:rFonts w:hint="default" w:ascii="Times New Roman" w:hAnsi="Times New Roman"/>
        </w:rPr>
        <w:fldChar w:fldCharType="separate"/>
      </w:r>
      <w:r>
        <w:rPr>
          <w:rFonts w:hint="eastAsia" w:ascii="Times New Roman" w:hAnsi="Times New Roman" w:cs="Times New Roman"/>
          <w:highlight w:val="none"/>
          <w:shd w:val="clear"/>
          <w:lang w:val="en-US" w:eastAsia="zh-CN"/>
        </w:rPr>
        <w:t>7.2 监测期限</w:t>
      </w:r>
      <w:r>
        <w:tab/>
      </w:r>
      <w:r>
        <w:fldChar w:fldCharType="begin"/>
      </w:r>
      <w:r>
        <w:instrText xml:space="preserve"> PAGEREF _Toc3567 \h </w:instrText>
      </w:r>
      <w:r>
        <w:fldChar w:fldCharType="separate"/>
      </w:r>
      <w:r>
        <w:t>59</w:t>
      </w:r>
      <w:r>
        <w:fldChar w:fldCharType="end"/>
      </w:r>
      <w:r>
        <w:rPr>
          <w:rFonts w:hint="default" w:ascii="Times New Roman" w:hAnsi="Times New Roman"/>
          <w:color w:val="000000"/>
        </w:rPr>
        <w:fldChar w:fldCharType="end"/>
      </w:r>
    </w:p>
    <w:p w14:paraId="1FD1966F">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_Toc13252 </w:instrText>
      </w:r>
      <w:r>
        <w:rPr>
          <w:rFonts w:hint="default" w:ascii="Times New Roman" w:hAnsi="Times New Roman"/>
        </w:rPr>
        <w:fldChar w:fldCharType="separate"/>
      </w:r>
      <w:r>
        <w:rPr>
          <w:rFonts w:hint="eastAsia" w:ascii="Times New Roman" w:hAnsi="Times New Roman" w:cs="Times New Roman"/>
          <w:highlight w:val="none"/>
          <w:lang w:val="en-US" w:eastAsia="zh-CN"/>
        </w:rPr>
        <w:t>7.3 监测频率</w:t>
      </w:r>
      <w:r>
        <w:tab/>
      </w:r>
      <w:r>
        <w:fldChar w:fldCharType="begin"/>
      </w:r>
      <w:r>
        <w:instrText xml:space="preserve"> PAGEREF _Toc13252 \h </w:instrText>
      </w:r>
      <w:r>
        <w:fldChar w:fldCharType="separate"/>
      </w:r>
      <w:r>
        <w:t>59</w:t>
      </w:r>
      <w:r>
        <w:fldChar w:fldCharType="end"/>
      </w:r>
      <w:r>
        <w:rPr>
          <w:rFonts w:hint="default" w:ascii="Times New Roman" w:hAnsi="Times New Roman"/>
          <w:color w:val="000000"/>
        </w:rPr>
        <w:fldChar w:fldCharType="end"/>
      </w:r>
    </w:p>
    <w:p w14:paraId="20A6D2E2">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_Toc14938 </w:instrText>
      </w:r>
      <w:r>
        <w:rPr>
          <w:rFonts w:hint="default" w:ascii="Times New Roman" w:hAnsi="Times New Roman"/>
        </w:rPr>
        <w:fldChar w:fldCharType="separate"/>
      </w:r>
      <w:r>
        <w:rPr>
          <w:rFonts w:hint="eastAsia" w:ascii="Times New Roman" w:hAnsi="Times New Roman" w:cs="Times New Roman"/>
          <w:highlight w:val="none"/>
          <w:lang w:val="en-US" w:eastAsia="zh-CN"/>
        </w:rPr>
        <w:t>8 监测预警值</w:t>
      </w:r>
      <w:r>
        <w:tab/>
      </w:r>
      <w:r>
        <w:fldChar w:fldCharType="begin"/>
      </w:r>
      <w:r>
        <w:instrText xml:space="preserve"> PAGEREF _Toc14938 \h </w:instrText>
      </w:r>
      <w:r>
        <w:fldChar w:fldCharType="separate"/>
      </w:r>
      <w:r>
        <w:t>61</w:t>
      </w:r>
      <w:r>
        <w:fldChar w:fldCharType="end"/>
      </w:r>
      <w:r>
        <w:rPr>
          <w:rFonts w:hint="default" w:ascii="Times New Roman" w:hAnsi="Times New Roman"/>
          <w:color w:val="000000"/>
        </w:rPr>
        <w:fldChar w:fldCharType="end"/>
      </w:r>
    </w:p>
    <w:p w14:paraId="331C6F5D">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_Toc11078 </w:instrText>
      </w:r>
      <w:r>
        <w:rPr>
          <w:rFonts w:hint="default" w:ascii="Times New Roman" w:hAnsi="Times New Roman"/>
        </w:rPr>
        <w:fldChar w:fldCharType="separate"/>
      </w:r>
      <w:r>
        <w:rPr>
          <w:rFonts w:hint="eastAsia" w:ascii="Times New Roman" w:hAnsi="Times New Roman" w:cs="Times New Roman"/>
          <w:highlight w:val="none"/>
          <w:lang w:val="en-US" w:eastAsia="zh-CN"/>
        </w:rPr>
        <w:t>9 数据处理及信息反馈</w:t>
      </w:r>
      <w:r>
        <w:tab/>
      </w:r>
      <w:r>
        <w:fldChar w:fldCharType="begin"/>
      </w:r>
      <w:r>
        <w:instrText xml:space="preserve"> PAGEREF _Toc11078 \h </w:instrText>
      </w:r>
      <w:r>
        <w:fldChar w:fldCharType="separate"/>
      </w:r>
      <w:r>
        <w:t>65</w:t>
      </w:r>
      <w:r>
        <w:fldChar w:fldCharType="end"/>
      </w:r>
      <w:r>
        <w:rPr>
          <w:rFonts w:hint="default" w:ascii="Times New Roman" w:hAnsi="Times New Roman"/>
          <w:color w:val="000000"/>
        </w:rPr>
        <w:fldChar w:fldCharType="end"/>
      </w:r>
    </w:p>
    <w:p w14:paraId="285115D7">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_Toc17323 </w:instrText>
      </w:r>
      <w:r>
        <w:rPr>
          <w:rFonts w:hint="default" w:ascii="Times New Roman" w:hAnsi="Times New Roman"/>
        </w:rPr>
        <w:fldChar w:fldCharType="separate"/>
      </w:r>
      <w:r>
        <w:rPr>
          <w:rFonts w:ascii="Times New Roman" w:hAnsi="Times New Roman" w:cs="Times New Roman"/>
          <w:highlight w:val="none"/>
        </w:rPr>
        <w:t>附录</w:t>
      </w:r>
      <w:r>
        <w:rPr>
          <w:rFonts w:hint="eastAsia" w:ascii="Times New Roman" w:hAnsi="Times New Roman" w:cs="Times New Roman"/>
          <w:highlight w:val="none"/>
          <w:lang w:val="en-US" w:eastAsia="zh-CN"/>
        </w:rPr>
        <w:t>A</w:t>
      </w:r>
      <w:r>
        <w:rPr>
          <w:rFonts w:hint="eastAsia" w:ascii="Times New Roman" w:hAnsi="Times New Roman" w:cs="Times New Roman"/>
          <w:highlight w:val="none"/>
        </w:rPr>
        <w:t xml:space="preserve"> 竖向</w:t>
      </w:r>
      <w:r>
        <w:rPr>
          <w:rFonts w:ascii="Times New Roman" w:hAnsi="Times New Roman" w:cs="Times New Roman"/>
          <w:highlight w:val="none"/>
        </w:rPr>
        <w:t>位移监测日报表</w:t>
      </w:r>
      <w:r>
        <w:tab/>
      </w:r>
      <w:r>
        <w:fldChar w:fldCharType="begin"/>
      </w:r>
      <w:r>
        <w:instrText xml:space="preserve"> PAGEREF _Toc17323 \h </w:instrText>
      </w:r>
      <w:r>
        <w:fldChar w:fldCharType="separate"/>
      </w:r>
      <w:r>
        <w:t>67</w:t>
      </w:r>
      <w:r>
        <w:fldChar w:fldCharType="end"/>
      </w:r>
      <w:r>
        <w:rPr>
          <w:rFonts w:hint="default" w:ascii="Times New Roman" w:hAnsi="Times New Roman"/>
          <w:color w:val="000000"/>
        </w:rPr>
        <w:fldChar w:fldCharType="end"/>
      </w:r>
    </w:p>
    <w:p w14:paraId="022E9E58">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_Toc3439 </w:instrText>
      </w:r>
      <w:r>
        <w:rPr>
          <w:rFonts w:hint="default" w:ascii="Times New Roman" w:hAnsi="Times New Roma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B</w:t>
      </w:r>
      <w:r>
        <w:rPr>
          <w:rFonts w:ascii="Times New Roman" w:hAnsi="Times New Roman" w:cs="Times New Roman"/>
          <w:highlight w:val="none"/>
        </w:rPr>
        <w:t xml:space="preserve"> </w:t>
      </w:r>
      <w:r>
        <w:rPr>
          <w:rFonts w:hint="eastAsia" w:ascii="Times New Roman" w:hAnsi="Times New Roman" w:cs="Times New Roman"/>
          <w:highlight w:val="none"/>
        </w:rPr>
        <w:t>水平位移监测日报表</w:t>
      </w:r>
      <w:r>
        <w:tab/>
      </w:r>
      <w:r>
        <w:fldChar w:fldCharType="begin"/>
      </w:r>
      <w:r>
        <w:instrText xml:space="preserve"> PAGEREF _Toc3439 \h </w:instrText>
      </w:r>
      <w:r>
        <w:fldChar w:fldCharType="separate"/>
      </w:r>
      <w:r>
        <w:t>68</w:t>
      </w:r>
      <w:r>
        <w:fldChar w:fldCharType="end"/>
      </w:r>
      <w:r>
        <w:rPr>
          <w:rFonts w:hint="default" w:ascii="Times New Roman" w:hAnsi="Times New Roman"/>
          <w:color w:val="000000"/>
        </w:rPr>
        <w:fldChar w:fldCharType="end"/>
      </w:r>
    </w:p>
    <w:p w14:paraId="5C91F4DF">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_Toc14848 </w:instrText>
      </w:r>
      <w:r>
        <w:rPr>
          <w:rFonts w:hint="default" w:ascii="Times New Roman" w:hAnsi="Times New Roma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C</w:t>
      </w:r>
      <w:r>
        <w:rPr>
          <w:rFonts w:ascii="Times New Roman" w:hAnsi="Times New Roman" w:cs="Times New Roman"/>
          <w:highlight w:val="none"/>
        </w:rPr>
        <w:t xml:space="preserve"> </w:t>
      </w:r>
      <w:r>
        <w:rPr>
          <w:rFonts w:hint="eastAsia" w:ascii="Times New Roman" w:hAnsi="Times New Roman" w:cs="Times New Roman"/>
          <w:highlight w:val="none"/>
        </w:rPr>
        <w:t>深层水平位移（测斜）监测日报表</w:t>
      </w:r>
      <w:r>
        <w:tab/>
      </w:r>
      <w:r>
        <w:fldChar w:fldCharType="begin"/>
      </w:r>
      <w:r>
        <w:instrText xml:space="preserve"> PAGEREF _Toc14848 \h </w:instrText>
      </w:r>
      <w:r>
        <w:fldChar w:fldCharType="separate"/>
      </w:r>
      <w:r>
        <w:t>69</w:t>
      </w:r>
      <w:r>
        <w:fldChar w:fldCharType="end"/>
      </w:r>
      <w:r>
        <w:rPr>
          <w:rFonts w:hint="default" w:ascii="Times New Roman" w:hAnsi="Times New Roman"/>
          <w:color w:val="000000"/>
        </w:rPr>
        <w:fldChar w:fldCharType="end"/>
      </w:r>
    </w:p>
    <w:p w14:paraId="385DE252">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_Toc3748 </w:instrText>
      </w:r>
      <w:r>
        <w:rPr>
          <w:rFonts w:hint="default" w:ascii="Times New Roman" w:hAnsi="Times New Roma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D</w:t>
      </w:r>
      <w:r>
        <w:rPr>
          <w:rFonts w:ascii="Times New Roman" w:hAnsi="Times New Roman" w:cs="Times New Roman"/>
          <w:highlight w:val="none"/>
        </w:rPr>
        <w:t xml:space="preserve"> </w:t>
      </w:r>
      <w:r>
        <w:rPr>
          <w:rFonts w:hint="eastAsia" w:ascii="Times New Roman" w:hAnsi="Times New Roman" w:cs="Times New Roman"/>
          <w:highlight w:val="none"/>
        </w:rPr>
        <w:t>倾斜监测日报表</w:t>
      </w:r>
      <w:r>
        <w:tab/>
      </w:r>
      <w:r>
        <w:fldChar w:fldCharType="begin"/>
      </w:r>
      <w:r>
        <w:instrText xml:space="preserve"> PAGEREF _Toc3748 \h </w:instrText>
      </w:r>
      <w:r>
        <w:fldChar w:fldCharType="separate"/>
      </w:r>
      <w:r>
        <w:t>70</w:t>
      </w:r>
      <w:r>
        <w:fldChar w:fldCharType="end"/>
      </w:r>
      <w:r>
        <w:rPr>
          <w:rFonts w:hint="default" w:ascii="Times New Roman" w:hAnsi="Times New Roman"/>
          <w:color w:val="000000"/>
        </w:rPr>
        <w:fldChar w:fldCharType="end"/>
      </w:r>
    </w:p>
    <w:p w14:paraId="16C223EF">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_Toc23006 </w:instrText>
      </w:r>
      <w:r>
        <w:rPr>
          <w:rFonts w:hint="default" w:ascii="Times New Roman" w:hAnsi="Times New Roma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E</w:t>
      </w:r>
      <w:r>
        <w:rPr>
          <w:rFonts w:ascii="Times New Roman" w:hAnsi="Times New Roman" w:cs="Times New Roman"/>
          <w:highlight w:val="none"/>
        </w:rPr>
        <w:t xml:space="preserve"> </w:t>
      </w:r>
      <w:r>
        <w:rPr>
          <w:rFonts w:hint="eastAsia" w:ascii="Times New Roman" w:hAnsi="Times New Roman" w:cs="Times New Roman"/>
          <w:highlight w:val="none"/>
        </w:rPr>
        <w:t>裂缝监测日报表</w:t>
      </w:r>
      <w:r>
        <w:tab/>
      </w:r>
      <w:r>
        <w:fldChar w:fldCharType="begin"/>
      </w:r>
      <w:r>
        <w:instrText xml:space="preserve"> PAGEREF _Toc23006 \h </w:instrText>
      </w:r>
      <w:r>
        <w:fldChar w:fldCharType="separate"/>
      </w:r>
      <w:r>
        <w:t>72</w:t>
      </w:r>
      <w:r>
        <w:fldChar w:fldCharType="end"/>
      </w:r>
      <w:r>
        <w:rPr>
          <w:rFonts w:hint="default" w:ascii="Times New Roman" w:hAnsi="Times New Roman"/>
          <w:color w:val="000000"/>
        </w:rPr>
        <w:fldChar w:fldCharType="end"/>
      </w:r>
    </w:p>
    <w:p w14:paraId="5834803C">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_Toc21548 </w:instrText>
      </w:r>
      <w:r>
        <w:rPr>
          <w:rFonts w:hint="default" w:ascii="Times New Roman" w:hAnsi="Times New Roma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F</w:t>
      </w:r>
      <w:r>
        <w:rPr>
          <w:rFonts w:ascii="Times New Roman" w:hAnsi="Times New Roman" w:cs="Times New Roman"/>
          <w:highlight w:val="none"/>
        </w:rPr>
        <w:t xml:space="preserve"> </w:t>
      </w:r>
      <w:r>
        <w:rPr>
          <w:rFonts w:hint="eastAsia" w:ascii="Times New Roman" w:hAnsi="Times New Roman" w:cs="Times New Roman"/>
          <w:highlight w:val="none"/>
        </w:rPr>
        <w:t>地下水位监测日报表</w:t>
      </w:r>
      <w:r>
        <w:tab/>
      </w:r>
      <w:r>
        <w:fldChar w:fldCharType="begin"/>
      </w:r>
      <w:r>
        <w:instrText xml:space="preserve"> PAGEREF _Toc21548 \h </w:instrText>
      </w:r>
      <w:r>
        <w:fldChar w:fldCharType="separate"/>
      </w:r>
      <w:r>
        <w:t>73</w:t>
      </w:r>
      <w:r>
        <w:fldChar w:fldCharType="end"/>
      </w:r>
      <w:r>
        <w:rPr>
          <w:rFonts w:hint="default" w:ascii="Times New Roman" w:hAnsi="Times New Roman"/>
          <w:color w:val="000000"/>
        </w:rPr>
        <w:fldChar w:fldCharType="end"/>
      </w:r>
    </w:p>
    <w:p w14:paraId="52CC9C98">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_Toc27394 </w:instrText>
      </w:r>
      <w:r>
        <w:rPr>
          <w:rFonts w:hint="default" w:ascii="Times New Roman" w:hAnsi="Times New Roma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G</w:t>
      </w:r>
      <w:r>
        <w:rPr>
          <w:rFonts w:ascii="Times New Roman" w:hAnsi="Times New Roman" w:cs="Times New Roman"/>
          <w:highlight w:val="none"/>
        </w:rPr>
        <w:t xml:space="preserve"> </w:t>
      </w:r>
      <w:r>
        <w:rPr>
          <w:rFonts w:hint="eastAsia" w:ascii="Times New Roman" w:hAnsi="Times New Roman" w:cs="Times New Roman"/>
          <w:highlight w:val="none"/>
        </w:rPr>
        <w:t>支护结构内力监测日报表</w:t>
      </w:r>
      <w:r>
        <w:tab/>
      </w:r>
      <w:r>
        <w:fldChar w:fldCharType="begin"/>
      </w:r>
      <w:r>
        <w:instrText xml:space="preserve"> PAGEREF _Toc27394 \h </w:instrText>
      </w:r>
      <w:r>
        <w:fldChar w:fldCharType="separate"/>
      </w:r>
      <w:r>
        <w:t>74</w:t>
      </w:r>
      <w:r>
        <w:fldChar w:fldCharType="end"/>
      </w:r>
      <w:r>
        <w:rPr>
          <w:rFonts w:hint="default" w:ascii="Times New Roman" w:hAnsi="Times New Roman"/>
          <w:color w:val="000000"/>
        </w:rPr>
        <w:fldChar w:fldCharType="end"/>
      </w:r>
    </w:p>
    <w:p w14:paraId="5C971741">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_Toc2097 </w:instrText>
      </w:r>
      <w:r>
        <w:rPr>
          <w:rFonts w:hint="default" w:ascii="Times New Roman" w:hAnsi="Times New Roma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H</w:t>
      </w:r>
      <w:r>
        <w:rPr>
          <w:rFonts w:ascii="Times New Roman" w:hAnsi="Times New Roman" w:cs="Times New Roman"/>
          <w:highlight w:val="none"/>
        </w:rPr>
        <w:t xml:space="preserve"> </w:t>
      </w:r>
      <w:r>
        <w:rPr>
          <w:rFonts w:hint="eastAsia" w:ascii="Times New Roman" w:hAnsi="Times New Roman" w:cs="Times New Roman"/>
          <w:highlight w:val="none"/>
        </w:rPr>
        <w:t>锚杆（索）内力监测日报表</w:t>
      </w:r>
      <w:r>
        <w:tab/>
      </w:r>
      <w:r>
        <w:fldChar w:fldCharType="begin"/>
      </w:r>
      <w:r>
        <w:instrText xml:space="preserve"> PAGEREF _Toc2097 \h </w:instrText>
      </w:r>
      <w:r>
        <w:fldChar w:fldCharType="separate"/>
      </w:r>
      <w:r>
        <w:t>75</w:t>
      </w:r>
      <w:r>
        <w:fldChar w:fldCharType="end"/>
      </w:r>
      <w:r>
        <w:rPr>
          <w:rFonts w:hint="default" w:ascii="Times New Roman" w:hAnsi="Times New Roman"/>
          <w:color w:val="000000"/>
        </w:rPr>
        <w:fldChar w:fldCharType="end"/>
      </w:r>
    </w:p>
    <w:p w14:paraId="04F4247F">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_Toc29380 </w:instrText>
      </w:r>
      <w:r>
        <w:rPr>
          <w:rFonts w:hint="default" w:ascii="Times New Roman" w:hAnsi="Times New Roman"/>
        </w:rPr>
        <w:fldChar w:fldCharType="separate"/>
      </w:r>
      <w:r>
        <w:rPr>
          <w:rFonts w:hint="default" w:ascii="Times New Roman" w:hAnsi="Times New Roman" w:cs="Times New Roman"/>
          <w:bCs/>
          <w:spacing w:val="-5"/>
          <w:szCs w:val="28"/>
          <w:highlight w:val="none"/>
        </w:rPr>
        <w:t>附录</w:t>
      </w:r>
      <w:r>
        <w:rPr>
          <w:rFonts w:hint="eastAsia" w:ascii="Times New Roman" w:hAnsi="Times New Roman" w:cs="Times New Roman"/>
          <w:bCs/>
          <w:spacing w:val="-5"/>
          <w:szCs w:val="28"/>
          <w:highlight w:val="none"/>
          <w:lang w:val="en-US" w:eastAsia="zh-CN"/>
        </w:rPr>
        <w:t>I</w:t>
      </w:r>
      <w:r>
        <w:rPr>
          <w:rFonts w:hint="default" w:ascii="Times New Roman" w:hAnsi="Times New Roman" w:cs="Times New Roman"/>
          <w:bCs/>
          <w:spacing w:val="-5"/>
          <w:szCs w:val="28"/>
          <w:highlight w:val="none"/>
        </w:rPr>
        <w:t xml:space="preserve">  监测项目代号和图例</w:t>
      </w:r>
      <w:r>
        <w:tab/>
      </w:r>
      <w:r>
        <w:fldChar w:fldCharType="begin"/>
      </w:r>
      <w:r>
        <w:instrText xml:space="preserve"> PAGEREF _Toc29380 \h </w:instrText>
      </w:r>
      <w:r>
        <w:fldChar w:fldCharType="separate"/>
      </w:r>
      <w:r>
        <w:t>76</w:t>
      </w:r>
      <w:r>
        <w:fldChar w:fldCharType="end"/>
      </w:r>
      <w:r>
        <w:rPr>
          <w:rFonts w:hint="default" w:ascii="Times New Roman" w:hAnsi="Times New Roman"/>
          <w:color w:val="000000"/>
        </w:rPr>
        <w:fldChar w:fldCharType="end"/>
      </w:r>
    </w:p>
    <w:p w14:paraId="6CC688F7">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_Toc30491 </w:instrText>
      </w:r>
      <w:r>
        <w:rPr>
          <w:rFonts w:hint="default" w:ascii="Times New Roman" w:hAnsi="Times New Roman"/>
        </w:rPr>
        <w:fldChar w:fldCharType="separate"/>
      </w:r>
      <w:r>
        <w:rPr>
          <w:rFonts w:hint="default" w:ascii="Times New Roman" w:hAnsi="Times New Roman" w:cs="Times New Roman"/>
          <w:bCs/>
          <w:spacing w:val="-5"/>
          <w:szCs w:val="28"/>
          <w:highlight w:val="none"/>
        </w:rPr>
        <w:t>附录</w:t>
      </w:r>
      <w:r>
        <w:rPr>
          <w:rFonts w:hint="eastAsia" w:ascii="Times New Roman" w:hAnsi="Times New Roman" w:cs="Times New Roman"/>
          <w:bCs/>
          <w:spacing w:val="-5"/>
          <w:szCs w:val="28"/>
          <w:highlight w:val="none"/>
          <w:lang w:val="en-US" w:eastAsia="zh-CN"/>
        </w:rPr>
        <w:t>J</w:t>
      </w:r>
      <w:r>
        <w:rPr>
          <w:rFonts w:hint="default" w:ascii="Times New Roman" w:hAnsi="Times New Roman" w:cs="Times New Roman"/>
          <w:bCs/>
          <w:spacing w:val="-5"/>
          <w:szCs w:val="28"/>
          <w:highlight w:val="none"/>
        </w:rPr>
        <w:t xml:space="preserve">  巡视检查预警表</w:t>
      </w:r>
      <w:r>
        <w:tab/>
      </w:r>
      <w:r>
        <w:fldChar w:fldCharType="begin"/>
      </w:r>
      <w:r>
        <w:instrText xml:space="preserve"> PAGEREF _Toc30491 \h </w:instrText>
      </w:r>
      <w:r>
        <w:fldChar w:fldCharType="separate"/>
      </w:r>
      <w:r>
        <w:t>78</w:t>
      </w:r>
      <w:r>
        <w:fldChar w:fldCharType="end"/>
      </w:r>
      <w:r>
        <w:rPr>
          <w:rFonts w:hint="default" w:ascii="Times New Roman" w:hAnsi="Times New Roman"/>
          <w:color w:val="000000"/>
        </w:rPr>
        <w:fldChar w:fldCharType="end"/>
      </w:r>
    </w:p>
    <w:p w14:paraId="3A49BE5A">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_Toc16020 </w:instrText>
      </w:r>
      <w:r>
        <w:rPr>
          <w:rFonts w:hint="default" w:ascii="Times New Roman" w:hAnsi="Times New Roman"/>
        </w:rPr>
        <w:fldChar w:fldCharType="separate"/>
      </w:r>
      <w:r>
        <w:rPr>
          <w:rFonts w:hint="eastAsia" w:ascii="Times New Roman" w:hAnsi="Times New Roman" w:cs="Times New Roman"/>
          <w:highlight w:val="none"/>
          <w:lang w:eastAsia="zh-CN"/>
        </w:rPr>
        <w:t>本标准</w:t>
      </w:r>
      <w:r>
        <w:rPr>
          <w:rFonts w:ascii="Times New Roman" w:hAnsi="Times New Roman" w:cs="Times New Roman"/>
          <w:highlight w:val="none"/>
        </w:rPr>
        <w:t>用词说明</w:t>
      </w:r>
      <w:r>
        <w:tab/>
      </w:r>
      <w:r>
        <w:fldChar w:fldCharType="begin"/>
      </w:r>
      <w:r>
        <w:instrText xml:space="preserve"> PAGEREF _Toc16020 \h </w:instrText>
      </w:r>
      <w:r>
        <w:fldChar w:fldCharType="separate"/>
      </w:r>
      <w:r>
        <w:t>80</w:t>
      </w:r>
      <w:r>
        <w:fldChar w:fldCharType="end"/>
      </w:r>
      <w:r>
        <w:rPr>
          <w:rFonts w:hint="default" w:ascii="Times New Roman" w:hAnsi="Times New Roman"/>
          <w:color w:val="000000"/>
        </w:rPr>
        <w:fldChar w:fldCharType="end"/>
      </w:r>
    </w:p>
    <w:p w14:paraId="1933768D">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_Toc18589 </w:instrText>
      </w:r>
      <w:r>
        <w:rPr>
          <w:rFonts w:hint="default" w:ascii="Times New Roman" w:hAnsi="Times New Roman"/>
        </w:rPr>
        <w:fldChar w:fldCharType="separate"/>
      </w:r>
      <w:r>
        <w:rPr>
          <w:rFonts w:ascii="Times New Roman" w:hAnsi="Times New Roman"/>
        </w:rPr>
        <w:t>引用标准名录</w:t>
      </w:r>
      <w:r>
        <w:tab/>
      </w:r>
      <w:r>
        <w:fldChar w:fldCharType="begin"/>
      </w:r>
      <w:r>
        <w:instrText xml:space="preserve"> PAGEREF _Toc18589 \h </w:instrText>
      </w:r>
      <w:r>
        <w:fldChar w:fldCharType="separate"/>
      </w:r>
      <w:r>
        <w:t>81</w:t>
      </w:r>
      <w:r>
        <w:fldChar w:fldCharType="end"/>
      </w:r>
      <w:r>
        <w:rPr>
          <w:rFonts w:hint="default" w:ascii="Times New Roman" w:hAnsi="Times New Roman"/>
          <w:color w:val="000000"/>
        </w:rPr>
        <w:fldChar w:fldCharType="end"/>
      </w:r>
    </w:p>
    <w:p w14:paraId="7FDE85B2">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_Toc12119 </w:instrText>
      </w:r>
      <w:r>
        <w:rPr>
          <w:rFonts w:hint="default" w:ascii="Times New Roman" w:hAnsi="Times New Roman"/>
        </w:rPr>
        <w:fldChar w:fldCharType="separate"/>
      </w:r>
      <w:r>
        <w:rPr>
          <w:rFonts w:hint="default" w:ascii="Times New Roman" w:hAnsi="Times New Roman"/>
          <w:bCs w:val="0"/>
          <w:szCs w:val="28"/>
        </w:rPr>
        <w:t>条文说明</w:t>
      </w:r>
      <w:r>
        <w:tab/>
      </w:r>
      <w:r>
        <w:fldChar w:fldCharType="begin"/>
      </w:r>
      <w:r>
        <w:instrText xml:space="preserve"> PAGEREF _Toc12119 \h </w:instrText>
      </w:r>
      <w:r>
        <w:fldChar w:fldCharType="separate"/>
      </w:r>
      <w:r>
        <w:t>82</w:t>
      </w:r>
      <w:r>
        <w:fldChar w:fldCharType="end"/>
      </w:r>
      <w:r>
        <w:rPr>
          <w:rFonts w:hint="default" w:ascii="Times New Roman" w:hAnsi="Times New Roman"/>
          <w:color w:val="000000"/>
        </w:rPr>
        <w:fldChar w:fldCharType="end"/>
      </w:r>
    </w:p>
    <w:p w14:paraId="249A6B42">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_Toc14873 </w:instrText>
      </w:r>
      <w:r>
        <w:rPr>
          <w:rFonts w:hint="default" w:ascii="Times New Roman" w:hAnsi="Times New Roman"/>
        </w:rPr>
        <w:fldChar w:fldCharType="separate"/>
      </w:r>
      <w:r>
        <w:rPr>
          <w:rFonts w:hint="default" w:ascii="Times New Roman" w:hAnsi="Times New Roman"/>
        </w:rPr>
        <w:t>制订说明</w:t>
      </w:r>
      <w:r>
        <w:tab/>
      </w:r>
      <w:r>
        <w:fldChar w:fldCharType="begin"/>
      </w:r>
      <w:r>
        <w:instrText xml:space="preserve"> PAGEREF _Toc14873 \h </w:instrText>
      </w:r>
      <w:r>
        <w:fldChar w:fldCharType="separate"/>
      </w:r>
      <w:r>
        <w:t>83</w:t>
      </w:r>
      <w:r>
        <w:fldChar w:fldCharType="end"/>
      </w:r>
      <w:r>
        <w:rPr>
          <w:rFonts w:hint="default" w:ascii="Times New Roman" w:hAnsi="Times New Roman"/>
          <w:color w:val="000000"/>
        </w:rPr>
        <w:fldChar w:fldCharType="end"/>
      </w:r>
    </w:p>
    <w:p w14:paraId="021122DF">
      <w:pPr>
        <w:rPr>
          <w:rFonts w:ascii="Times New Roman" w:hAnsi="Times New Roman" w:cs="Times New Roman"/>
          <w:highlight w:val="none"/>
        </w:rPr>
      </w:pPr>
      <w:r>
        <w:rPr>
          <w:rFonts w:hint="default" w:ascii="Times New Roman" w:hAnsi="Times New Roman"/>
          <w:color w:val="000000"/>
        </w:rPr>
        <w:fldChar w:fldCharType="end"/>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5F4CD">
    <w:pPr>
      <w:pStyle w:val="6"/>
      <w:jc w:val="right"/>
      <w:rPr>
        <w:rFonts w:hint="eastAsia"/>
        <w:i/>
      </w:rPr>
    </w:pPr>
    <w:r>
      <w:rPr>
        <w:rFonts w:hint="eastAsia"/>
        <w:sz w:val="21"/>
      </w:rPr>
      <w:t xml:space="preserve"> </w:t>
    </w:r>
  </w:p>
  <w:p w14:paraId="5DD396A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DF21A">
    <w:pPr>
      <w:pStyle w:val="6"/>
      <w:jc w:val="right"/>
      <w:rPr>
        <w:rFonts w:hint="eastAsia"/>
        <w:i/>
      </w:rPr>
    </w:pPr>
  </w:p>
  <w:p w14:paraId="1CED461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23A1E">
    <w:pPr>
      <w:pStyle w:val="6"/>
      <w:jc w:val="right"/>
      <w:rPr>
        <w:rFonts w:hint="eastAsia"/>
        <w:i/>
      </w:rPr>
    </w:pPr>
  </w:p>
  <w:p w14:paraId="1573732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38A64">
    <w:pPr>
      <w:pStyle w:val="6"/>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134DE7">
                          <w:pPr>
                            <w:pStyle w:val="6"/>
                            <w:jc w:val="right"/>
                          </w:pPr>
                          <w:r>
                            <w:rPr>
                              <w:rFonts w:hint="eastAsia"/>
                              <w:sz w:val="21"/>
                            </w:rPr>
                            <w:t xml:space="preserve"> </w:t>
                          </w:r>
                          <w:r>
                            <w:rPr>
                              <w:iCs/>
                              <w:sz w:val="21"/>
                            </w:rPr>
                            <w:fldChar w:fldCharType="begin"/>
                          </w:r>
                          <w:r>
                            <w:rPr>
                              <w:iCs/>
                              <w:sz w:val="21"/>
                            </w:rPr>
                            <w:instrText xml:space="preserve">PAGE   \* MERGEFORMAT</w:instrText>
                          </w:r>
                          <w:r>
                            <w:rPr>
                              <w:iCs/>
                              <w:sz w:val="21"/>
                            </w:rPr>
                            <w:fldChar w:fldCharType="separate"/>
                          </w:r>
                          <w:r>
                            <w:rPr>
                              <w:iCs/>
                              <w:sz w:val="21"/>
                              <w:lang w:val="zh-CN"/>
                            </w:rPr>
                            <w:t>54</w:t>
                          </w:r>
                          <w:r>
                            <w:rPr>
                              <w:iCs/>
                              <w:sz w:val="21"/>
                            </w:rPr>
                            <w:fldChar w:fldCharType="end"/>
                          </w:r>
                          <w:r>
                            <w:rPr>
                              <w:rFonts w:hint="eastAsia"/>
                              <w:i/>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3134DE7">
                    <w:pPr>
                      <w:pStyle w:val="6"/>
                      <w:jc w:val="right"/>
                    </w:pPr>
                    <w:r>
                      <w:rPr>
                        <w:rFonts w:hint="eastAsia"/>
                        <w:sz w:val="21"/>
                      </w:rPr>
                      <w:t xml:space="preserve"> </w:t>
                    </w:r>
                    <w:r>
                      <w:rPr>
                        <w:iCs/>
                        <w:sz w:val="21"/>
                      </w:rPr>
                      <w:fldChar w:fldCharType="begin"/>
                    </w:r>
                    <w:r>
                      <w:rPr>
                        <w:iCs/>
                        <w:sz w:val="21"/>
                      </w:rPr>
                      <w:instrText xml:space="preserve">PAGE   \* MERGEFORMAT</w:instrText>
                    </w:r>
                    <w:r>
                      <w:rPr>
                        <w:iCs/>
                        <w:sz w:val="21"/>
                      </w:rPr>
                      <w:fldChar w:fldCharType="separate"/>
                    </w:r>
                    <w:r>
                      <w:rPr>
                        <w:iCs/>
                        <w:sz w:val="21"/>
                        <w:lang w:val="zh-CN"/>
                      </w:rPr>
                      <w:t>54</w:t>
                    </w:r>
                    <w:r>
                      <w:rPr>
                        <w:iCs/>
                        <w:sz w:val="21"/>
                      </w:rPr>
                      <w:fldChar w:fldCharType="end"/>
                    </w:r>
                    <w:r>
                      <w:rPr>
                        <w:rFonts w:hint="eastAsia"/>
                        <w:i/>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B7C3D"/>
    <w:multiLevelType w:val="singleLevel"/>
    <w:tmpl w:val="1F3B7C3D"/>
    <w:lvl w:ilvl="0" w:tentative="0">
      <w:start w:val="2"/>
      <w:numFmt w:val="decimal"/>
      <w:suff w:val="space"/>
      <w:lvlText w:val="%1."/>
      <w:lvlJc w:val="left"/>
    </w:lvl>
  </w:abstractNum>
  <w:abstractNum w:abstractNumId="1">
    <w:nsid w:val="27BE749D"/>
    <w:multiLevelType w:val="singleLevel"/>
    <w:tmpl w:val="27BE749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YjIzZDE1OGQ3ZTNlZmJmYjRiNWRlNjkxMmQyMDUifQ=="/>
  </w:docVars>
  <w:rsids>
    <w:rsidRoot w:val="00000000"/>
    <w:rsid w:val="000202B8"/>
    <w:rsid w:val="00092509"/>
    <w:rsid w:val="00207852"/>
    <w:rsid w:val="00212D89"/>
    <w:rsid w:val="00225378"/>
    <w:rsid w:val="002630BB"/>
    <w:rsid w:val="00264E69"/>
    <w:rsid w:val="002A57CE"/>
    <w:rsid w:val="002E6A41"/>
    <w:rsid w:val="0058523E"/>
    <w:rsid w:val="00614A27"/>
    <w:rsid w:val="00651988"/>
    <w:rsid w:val="006C5559"/>
    <w:rsid w:val="006D2A98"/>
    <w:rsid w:val="00765781"/>
    <w:rsid w:val="007C2CDB"/>
    <w:rsid w:val="009152E0"/>
    <w:rsid w:val="009C337D"/>
    <w:rsid w:val="009E384B"/>
    <w:rsid w:val="009F4C1B"/>
    <w:rsid w:val="00A1170A"/>
    <w:rsid w:val="00A24E0C"/>
    <w:rsid w:val="00A94D06"/>
    <w:rsid w:val="00B07F0A"/>
    <w:rsid w:val="00B20DF2"/>
    <w:rsid w:val="00BF7C4F"/>
    <w:rsid w:val="00C962DA"/>
    <w:rsid w:val="00CB77BE"/>
    <w:rsid w:val="00D1303C"/>
    <w:rsid w:val="00D55A92"/>
    <w:rsid w:val="00D64AE1"/>
    <w:rsid w:val="00D91231"/>
    <w:rsid w:val="00E94DBB"/>
    <w:rsid w:val="00F914EA"/>
    <w:rsid w:val="01017CC1"/>
    <w:rsid w:val="010E0047"/>
    <w:rsid w:val="01200CCB"/>
    <w:rsid w:val="01284C10"/>
    <w:rsid w:val="013E61E2"/>
    <w:rsid w:val="014C799F"/>
    <w:rsid w:val="01981D96"/>
    <w:rsid w:val="01AA33CE"/>
    <w:rsid w:val="01CA3F1A"/>
    <w:rsid w:val="01D504ED"/>
    <w:rsid w:val="01D525BA"/>
    <w:rsid w:val="01DE1773"/>
    <w:rsid w:val="01E72971"/>
    <w:rsid w:val="01EE410A"/>
    <w:rsid w:val="02131761"/>
    <w:rsid w:val="021D324E"/>
    <w:rsid w:val="023A62A1"/>
    <w:rsid w:val="023A660E"/>
    <w:rsid w:val="024B757C"/>
    <w:rsid w:val="02555ED9"/>
    <w:rsid w:val="025657AD"/>
    <w:rsid w:val="026A5ABE"/>
    <w:rsid w:val="026D3223"/>
    <w:rsid w:val="02785724"/>
    <w:rsid w:val="027D4746"/>
    <w:rsid w:val="028247F4"/>
    <w:rsid w:val="029075AB"/>
    <w:rsid w:val="029D30A4"/>
    <w:rsid w:val="02B56978"/>
    <w:rsid w:val="02D2752A"/>
    <w:rsid w:val="02D8618F"/>
    <w:rsid w:val="02E441F7"/>
    <w:rsid w:val="02F45F64"/>
    <w:rsid w:val="02F96864"/>
    <w:rsid w:val="02FF17CC"/>
    <w:rsid w:val="03060F81"/>
    <w:rsid w:val="030F7BBA"/>
    <w:rsid w:val="033365F8"/>
    <w:rsid w:val="03814A53"/>
    <w:rsid w:val="038325D2"/>
    <w:rsid w:val="038E55A6"/>
    <w:rsid w:val="039B33AD"/>
    <w:rsid w:val="03A323C4"/>
    <w:rsid w:val="03A54F5E"/>
    <w:rsid w:val="03C36B9A"/>
    <w:rsid w:val="03CA0A93"/>
    <w:rsid w:val="03CF24C5"/>
    <w:rsid w:val="03D16FB7"/>
    <w:rsid w:val="03D47EE4"/>
    <w:rsid w:val="03DD4D50"/>
    <w:rsid w:val="03EB12B7"/>
    <w:rsid w:val="040354C1"/>
    <w:rsid w:val="04114082"/>
    <w:rsid w:val="041229D1"/>
    <w:rsid w:val="041476CE"/>
    <w:rsid w:val="041B69A9"/>
    <w:rsid w:val="04281F77"/>
    <w:rsid w:val="0438617D"/>
    <w:rsid w:val="043B0F50"/>
    <w:rsid w:val="045301F6"/>
    <w:rsid w:val="04673CA2"/>
    <w:rsid w:val="046D7BA7"/>
    <w:rsid w:val="046E37C0"/>
    <w:rsid w:val="04865C87"/>
    <w:rsid w:val="048D3EE9"/>
    <w:rsid w:val="04921056"/>
    <w:rsid w:val="04950D67"/>
    <w:rsid w:val="04A46C01"/>
    <w:rsid w:val="04AD49CE"/>
    <w:rsid w:val="04B14F1D"/>
    <w:rsid w:val="04CB5FDF"/>
    <w:rsid w:val="04CD2EDF"/>
    <w:rsid w:val="04D255BF"/>
    <w:rsid w:val="04D36A8C"/>
    <w:rsid w:val="04DC4690"/>
    <w:rsid w:val="04FF7B43"/>
    <w:rsid w:val="052A42C6"/>
    <w:rsid w:val="05341DD6"/>
    <w:rsid w:val="053A13B6"/>
    <w:rsid w:val="05410997"/>
    <w:rsid w:val="054144F3"/>
    <w:rsid w:val="0543026B"/>
    <w:rsid w:val="05502988"/>
    <w:rsid w:val="055A7855"/>
    <w:rsid w:val="055C0B92"/>
    <w:rsid w:val="056706B4"/>
    <w:rsid w:val="057F3E7F"/>
    <w:rsid w:val="05900FD6"/>
    <w:rsid w:val="05B41169"/>
    <w:rsid w:val="05BC1DCB"/>
    <w:rsid w:val="05C23886"/>
    <w:rsid w:val="05E2222C"/>
    <w:rsid w:val="05E82BC0"/>
    <w:rsid w:val="05FC4CED"/>
    <w:rsid w:val="06017EB5"/>
    <w:rsid w:val="06022AF2"/>
    <w:rsid w:val="061567BA"/>
    <w:rsid w:val="0616597F"/>
    <w:rsid w:val="061B1E9D"/>
    <w:rsid w:val="062D260D"/>
    <w:rsid w:val="063B3638"/>
    <w:rsid w:val="064C5BC6"/>
    <w:rsid w:val="0659586C"/>
    <w:rsid w:val="065F31DB"/>
    <w:rsid w:val="06615ED8"/>
    <w:rsid w:val="06693D01"/>
    <w:rsid w:val="06714B59"/>
    <w:rsid w:val="068B6266"/>
    <w:rsid w:val="068E3768"/>
    <w:rsid w:val="06965FB0"/>
    <w:rsid w:val="069F364F"/>
    <w:rsid w:val="06A80A38"/>
    <w:rsid w:val="06B34F7C"/>
    <w:rsid w:val="06C4362D"/>
    <w:rsid w:val="06CE0008"/>
    <w:rsid w:val="06DF3FC3"/>
    <w:rsid w:val="06E718C8"/>
    <w:rsid w:val="06F15AA5"/>
    <w:rsid w:val="06F23CF7"/>
    <w:rsid w:val="06F55739"/>
    <w:rsid w:val="07227050"/>
    <w:rsid w:val="072D3E03"/>
    <w:rsid w:val="073329BE"/>
    <w:rsid w:val="073F4A62"/>
    <w:rsid w:val="074B1659"/>
    <w:rsid w:val="07524795"/>
    <w:rsid w:val="075B5D40"/>
    <w:rsid w:val="076A6B56"/>
    <w:rsid w:val="07746E01"/>
    <w:rsid w:val="07754928"/>
    <w:rsid w:val="077706A0"/>
    <w:rsid w:val="077E1A2E"/>
    <w:rsid w:val="07852DBD"/>
    <w:rsid w:val="07883876"/>
    <w:rsid w:val="078A0A0D"/>
    <w:rsid w:val="07A14973"/>
    <w:rsid w:val="07E04CE1"/>
    <w:rsid w:val="07F043DF"/>
    <w:rsid w:val="08010B8B"/>
    <w:rsid w:val="08013EA1"/>
    <w:rsid w:val="08053EFD"/>
    <w:rsid w:val="0806390A"/>
    <w:rsid w:val="080A32C2"/>
    <w:rsid w:val="082219A2"/>
    <w:rsid w:val="083878BD"/>
    <w:rsid w:val="083D3697"/>
    <w:rsid w:val="08512C9F"/>
    <w:rsid w:val="08671D95"/>
    <w:rsid w:val="089C55A3"/>
    <w:rsid w:val="08A94889"/>
    <w:rsid w:val="08D15B8E"/>
    <w:rsid w:val="08D31906"/>
    <w:rsid w:val="08D412B5"/>
    <w:rsid w:val="08E12275"/>
    <w:rsid w:val="08F655F4"/>
    <w:rsid w:val="09075A53"/>
    <w:rsid w:val="090D306A"/>
    <w:rsid w:val="09384C80"/>
    <w:rsid w:val="0947325E"/>
    <w:rsid w:val="09617BE4"/>
    <w:rsid w:val="0969688A"/>
    <w:rsid w:val="097035F9"/>
    <w:rsid w:val="097E0E41"/>
    <w:rsid w:val="097F1D39"/>
    <w:rsid w:val="09866C5A"/>
    <w:rsid w:val="09952F9D"/>
    <w:rsid w:val="09C33728"/>
    <w:rsid w:val="09D75585"/>
    <w:rsid w:val="09EF5411"/>
    <w:rsid w:val="0A10146B"/>
    <w:rsid w:val="0A1B17B6"/>
    <w:rsid w:val="0A20118F"/>
    <w:rsid w:val="0A3E2109"/>
    <w:rsid w:val="0A4009BD"/>
    <w:rsid w:val="0A466107"/>
    <w:rsid w:val="0A7E6D86"/>
    <w:rsid w:val="0A80786B"/>
    <w:rsid w:val="0A9B3D6C"/>
    <w:rsid w:val="0AA56D97"/>
    <w:rsid w:val="0AA74DF8"/>
    <w:rsid w:val="0AAE262A"/>
    <w:rsid w:val="0AAE3FF3"/>
    <w:rsid w:val="0AAF0C6D"/>
    <w:rsid w:val="0AB6328D"/>
    <w:rsid w:val="0AC57E79"/>
    <w:rsid w:val="0ACF355F"/>
    <w:rsid w:val="0ACF434F"/>
    <w:rsid w:val="0AD007F3"/>
    <w:rsid w:val="0AD100C7"/>
    <w:rsid w:val="0AEA1189"/>
    <w:rsid w:val="0AF051EA"/>
    <w:rsid w:val="0AF70675"/>
    <w:rsid w:val="0AF81AF7"/>
    <w:rsid w:val="0AFA465F"/>
    <w:rsid w:val="0AFF1862"/>
    <w:rsid w:val="0B0A4482"/>
    <w:rsid w:val="0B0B35D9"/>
    <w:rsid w:val="0B1A0FBF"/>
    <w:rsid w:val="0B204BAA"/>
    <w:rsid w:val="0B386398"/>
    <w:rsid w:val="0B41524D"/>
    <w:rsid w:val="0B4E5AB9"/>
    <w:rsid w:val="0B593162"/>
    <w:rsid w:val="0B6B4077"/>
    <w:rsid w:val="0B6E3B68"/>
    <w:rsid w:val="0B7A7000"/>
    <w:rsid w:val="0B845139"/>
    <w:rsid w:val="0B8709D7"/>
    <w:rsid w:val="0B957346"/>
    <w:rsid w:val="0B9B3765"/>
    <w:rsid w:val="0B9F099D"/>
    <w:rsid w:val="0BA761C7"/>
    <w:rsid w:val="0BC67F78"/>
    <w:rsid w:val="0BD37B9C"/>
    <w:rsid w:val="0BD51E39"/>
    <w:rsid w:val="0BE1433A"/>
    <w:rsid w:val="0BE763ED"/>
    <w:rsid w:val="0BF81A8B"/>
    <w:rsid w:val="0C0369A6"/>
    <w:rsid w:val="0C0D13DC"/>
    <w:rsid w:val="0C1669CD"/>
    <w:rsid w:val="0C173204"/>
    <w:rsid w:val="0C1E2F20"/>
    <w:rsid w:val="0C3B1C9C"/>
    <w:rsid w:val="0C3F01DF"/>
    <w:rsid w:val="0C5F164F"/>
    <w:rsid w:val="0C6A28ED"/>
    <w:rsid w:val="0C6F0F5B"/>
    <w:rsid w:val="0C6F6E83"/>
    <w:rsid w:val="0C882A07"/>
    <w:rsid w:val="0C886EAB"/>
    <w:rsid w:val="0C8C24F7"/>
    <w:rsid w:val="0CA219C8"/>
    <w:rsid w:val="0CAB43FD"/>
    <w:rsid w:val="0CAD342C"/>
    <w:rsid w:val="0CB87790"/>
    <w:rsid w:val="0CC36A08"/>
    <w:rsid w:val="0CCE2B10"/>
    <w:rsid w:val="0CD12600"/>
    <w:rsid w:val="0CFF716D"/>
    <w:rsid w:val="0D011E60"/>
    <w:rsid w:val="0D0429D6"/>
    <w:rsid w:val="0D224C0A"/>
    <w:rsid w:val="0D4D2206"/>
    <w:rsid w:val="0D533015"/>
    <w:rsid w:val="0D766FD4"/>
    <w:rsid w:val="0D87143E"/>
    <w:rsid w:val="0D8B3E92"/>
    <w:rsid w:val="0D900286"/>
    <w:rsid w:val="0D903407"/>
    <w:rsid w:val="0D921D8F"/>
    <w:rsid w:val="0D952D18"/>
    <w:rsid w:val="0DAE2941"/>
    <w:rsid w:val="0DAF693D"/>
    <w:rsid w:val="0DB41E9C"/>
    <w:rsid w:val="0DCE553E"/>
    <w:rsid w:val="0DCF1FB3"/>
    <w:rsid w:val="0DD528B5"/>
    <w:rsid w:val="0DDF0D4D"/>
    <w:rsid w:val="0DE610B7"/>
    <w:rsid w:val="0DEB1EEE"/>
    <w:rsid w:val="0DF33C34"/>
    <w:rsid w:val="0DFE7425"/>
    <w:rsid w:val="0E0704D4"/>
    <w:rsid w:val="0E2C14DE"/>
    <w:rsid w:val="0E382108"/>
    <w:rsid w:val="0E450FE7"/>
    <w:rsid w:val="0E581DD3"/>
    <w:rsid w:val="0E625C06"/>
    <w:rsid w:val="0E664FCA"/>
    <w:rsid w:val="0E7019A5"/>
    <w:rsid w:val="0E8100DC"/>
    <w:rsid w:val="0E844A8D"/>
    <w:rsid w:val="0E8C5FCE"/>
    <w:rsid w:val="0E8D2557"/>
    <w:rsid w:val="0EA37FCC"/>
    <w:rsid w:val="0EA81139"/>
    <w:rsid w:val="0EAF3BDB"/>
    <w:rsid w:val="0EB21FBD"/>
    <w:rsid w:val="0EB969AC"/>
    <w:rsid w:val="0EC10BC1"/>
    <w:rsid w:val="0ECF35C3"/>
    <w:rsid w:val="0ED0622E"/>
    <w:rsid w:val="0F20394D"/>
    <w:rsid w:val="0F233341"/>
    <w:rsid w:val="0F2E3D3A"/>
    <w:rsid w:val="0F317386"/>
    <w:rsid w:val="0F331350"/>
    <w:rsid w:val="0F3664C7"/>
    <w:rsid w:val="0F3B6457"/>
    <w:rsid w:val="0F4E0349"/>
    <w:rsid w:val="0F5D461F"/>
    <w:rsid w:val="0F630F77"/>
    <w:rsid w:val="0F781459"/>
    <w:rsid w:val="0F7C025C"/>
    <w:rsid w:val="0F7D25CB"/>
    <w:rsid w:val="0F803E6A"/>
    <w:rsid w:val="0F865924"/>
    <w:rsid w:val="0F8676D2"/>
    <w:rsid w:val="0F897CF0"/>
    <w:rsid w:val="0FAF7A07"/>
    <w:rsid w:val="0FB6085B"/>
    <w:rsid w:val="0FB75ADD"/>
    <w:rsid w:val="0FBD2327"/>
    <w:rsid w:val="0FBE5B9B"/>
    <w:rsid w:val="0FED59A3"/>
    <w:rsid w:val="0FFC1742"/>
    <w:rsid w:val="10112A27"/>
    <w:rsid w:val="10142F30"/>
    <w:rsid w:val="1018480E"/>
    <w:rsid w:val="10233173"/>
    <w:rsid w:val="102D3FF1"/>
    <w:rsid w:val="103670A0"/>
    <w:rsid w:val="105B3CDB"/>
    <w:rsid w:val="106C1AE4"/>
    <w:rsid w:val="107514F4"/>
    <w:rsid w:val="107E1A25"/>
    <w:rsid w:val="1088747A"/>
    <w:rsid w:val="10927140"/>
    <w:rsid w:val="109401F4"/>
    <w:rsid w:val="10AE4EEC"/>
    <w:rsid w:val="10D478FA"/>
    <w:rsid w:val="10E05FA9"/>
    <w:rsid w:val="10E63F0C"/>
    <w:rsid w:val="10EE19D3"/>
    <w:rsid w:val="10EF574B"/>
    <w:rsid w:val="10F93ED3"/>
    <w:rsid w:val="10FE14EA"/>
    <w:rsid w:val="110128EA"/>
    <w:rsid w:val="110A553C"/>
    <w:rsid w:val="111754FE"/>
    <w:rsid w:val="113849FC"/>
    <w:rsid w:val="11440CFB"/>
    <w:rsid w:val="114C66F9"/>
    <w:rsid w:val="115F57E9"/>
    <w:rsid w:val="116B3023"/>
    <w:rsid w:val="117514C8"/>
    <w:rsid w:val="117619C8"/>
    <w:rsid w:val="1176576B"/>
    <w:rsid w:val="117B4526"/>
    <w:rsid w:val="1182036D"/>
    <w:rsid w:val="118E135D"/>
    <w:rsid w:val="119A2F3D"/>
    <w:rsid w:val="119D1273"/>
    <w:rsid w:val="11B148F0"/>
    <w:rsid w:val="11B64F51"/>
    <w:rsid w:val="11C805BD"/>
    <w:rsid w:val="11D84C55"/>
    <w:rsid w:val="11DB33B7"/>
    <w:rsid w:val="11E06E41"/>
    <w:rsid w:val="11E15093"/>
    <w:rsid w:val="11ED55AD"/>
    <w:rsid w:val="12004A09"/>
    <w:rsid w:val="1210655B"/>
    <w:rsid w:val="121511E1"/>
    <w:rsid w:val="12176D07"/>
    <w:rsid w:val="12266555"/>
    <w:rsid w:val="12307DC9"/>
    <w:rsid w:val="1239394D"/>
    <w:rsid w:val="124E024F"/>
    <w:rsid w:val="1255782F"/>
    <w:rsid w:val="12616A9F"/>
    <w:rsid w:val="12791770"/>
    <w:rsid w:val="128B3251"/>
    <w:rsid w:val="128F2D41"/>
    <w:rsid w:val="129245E0"/>
    <w:rsid w:val="12993BC0"/>
    <w:rsid w:val="12B42057"/>
    <w:rsid w:val="12B76DFD"/>
    <w:rsid w:val="12EC0FCA"/>
    <w:rsid w:val="13163746"/>
    <w:rsid w:val="13352CC5"/>
    <w:rsid w:val="13432269"/>
    <w:rsid w:val="1343622B"/>
    <w:rsid w:val="13482EF0"/>
    <w:rsid w:val="13510A26"/>
    <w:rsid w:val="136A2E67"/>
    <w:rsid w:val="13855EF2"/>
    <w:rsid w:val="13A01C39"/>
    <w:rsid w:val="13A24CF6"/>
    <w:rsid w:val="13A66D1D"/>
    <w:rsid w:val="13BF1404"/>
    <w:rsid w:val="13D774C6"/>
    <w:rsid w:val="13F54E26"/>
    <w:rsid w:val="13F67F03"/>
    <w:rsid w:val="13F75067"/>
    <w:rsid w:val="13F90D03"/>
    <w:rsid w:val="141C0605"/>
    <w:rsid w:val="141D3134"/>
    <w:rsid w:val="14496F20"/>
    <w:rsid w:val="147F611E"/>
    <w:rsid w:val="14811EAB"/>
    <w:rsid w:val="14860174"/>
    <w:rsid w:val="149B2570"/>
    <w:rsid w:val="14A97D2D"/>
    <w:rsid w:val="14AA48B5"/>
    <w:rsid w:val="14B00D4D"/>
    <w:rsid w:val="14B03CDB"/>
    <w:rsid w:val="14B22D17"/>
    <w:rsid w:val="14B24AC5"/>
    <w:rsid w:val="14B42B96"/>
    <w:rsid w:val="14B46A8F"/>
    <w:rsid w:val="14BA1BCC"/>
    <w:rsid w:val="14BC34EF"/>
    <w:rsid w:val="14CD5DA3"/>
    <w:rsid w:val="14CF17A1"/>
    <w:rsid w:val="14D507B4"/>
    <w:rsid w:val="14D56EEA"/>
    <w:rsid w:val="14DC76C8"/>
    <w:rsid w:val="14EB5F04"/>
    <w:rsid w:val="14EC4952"/>
    <w:rsid w:val="150D43F1"/>
    <w:rsid w:val="15121929"/>
    <w:rsid w:val="15121A08"/>
    <w:rsid w:val="151C54CF"/>
    <w:rsid w:val="153B4ABB"/>
    <w:rsid w:val="15431BC1"/>
    <w:rsid w:val="15455939"/>
    <w:rsid w:val="154605FE"/>
    <w:rsid w:val="15475B55"/>
    <w:rsid w:val="154C316C"/>
    <w:rsid w:val="154C6F32"/>
    <w:rsid w:val="15565D98"/>
    <w:rsid w:val="15B551AC"/>
    <w:rsid w:val="15BA7A44"/>
    <w:rsid w:val="15C34AB0"/>
    <w:rsid w:val="15E03C95"/>
    <w:rsid w:val="15E052E4"/>
    <w:rsid w:val="15EC220E"/>
    <w:rsid w:val="15F72488"/>
    <w:rsid w:val="161C537B"/>
    <w:rsid w:val="16302465"/>
    <w:rsid w:val="16337E88"/>
    <w:rsid w:val="163F5BE6"/>
    <w:rsid w:val="16454738"/>
    <w:rsid w:val="164756E1"/>
    <w:rsid w:val="1671529E"/>
    <w:rsid w:val="16763CB5"/>
    <w:rsid w:val="16792F46"/>
    <w:rsid w:val="16993DC8"/>
    <w:rsid w:val="16A13043"/>
    <w:rsid w:val="16B25250"/>
    <w:rsid w:val="16CC5813"/>
    <w:rsid w:val="16E93D4F"/>
    <w:rsid w:val="16F03D0E"/>
    <w:rsid w:val="16F5715B"/>
    <w:rsid w:val="16FF09D2"/>
    <w:rsid w:val="170338E1"/>
    <w:rsid w:val="17123F41"/>
    <w:rsid w:val="17135D46"/>
    <w:rsid w:val="172E194C"/>
    <w:rsid w:val="173C2D6C"/>
    <w:rsid w:val="17410DD4"/>
    <w:rsid w:val="175F7386"/>
    <w:rsid w:val="176D1844"/>
    <w:rsid w:val="177E1B07"/>
    <w:rsid w:val="17AF4526"/>
    <w:rsid w:val="17B86896"/>
    <w:rsid w:val="17C018D4"/>
    <w:rsid w:val="17CF5A54"/>
    <w:rsid w:val="17D27BE3"/>
    <w:rsid w:val="17D470CC"/>
    <w:rsid w:val="17E92EF4"/>
    <w:rsid w:val="17EE1103"/>
    <w:rsid w:val="181A2CFE"/>
    <w:rsid w:val="183A54FD"/>
    <w:rsid w:val="183E0C18"/>
    <w:rsid w:val="1841692C"/>
    <w:rsid w:val="1847115E"/>
    <w:rsid w:val="184B7543"/>
    <w:rsid w:val="18523868"/>
    <w:rsid w:val="1878680B"/>
    <w:rsid w:val="18D86AC4"/>
    <w:rsid w:val="18DB79D7"/>
    <w:rsid w:val="18E81697"/>
    <w:rsid w:val="18F80FE4"/>
    <w:rsid w:val="19241D0A"/>
    <w:rsid w:val="19357BD3"/>
    <w:rsid w:val="19466556"/>
    <w:rsid w:val="194E450C"/>
    <w:rsid w:val="19622F5E"/>
    <w:rsid w:val="19630A84"/>
    <w:rsid w:val="197A336B"/>
    <w:rsid w:val="1994422D"/>
    <w:rsid w:val="19A00E89"/>
    <w:rsid w:val="19A74D19"/>
    <w:rsid w:val="19B72B7E"/>
    <w:rsid w:val="19BD06D5"/>
    <w:rsid w:val="19C01A32"/>
    <w:rsid w:val="19C931DA"/>
    <w:rsid w:val="19CF6119"/>
    <w:rsid w:val="19E55B2B"/>
    <w:rsid w:val="1A0C111B"/>
    <w:rsid w:val="1A144856"/>
    <w:rsid w:val="1A193FE1"/>
    <w:rsid w:val="1A1B4EBB"/>
    <w:rsid w:val="1A293A7B"/>
    <w:rsid w:val="1A2C531A"/>
    <w:rsid w:val="1A385A6D"/>
    <w:rsid w:val="1A3A618A"/>
    <w:rsid w:val="1A475CB0"/>
    <w:rsid w:val="1A4F0D0E"/>
    <w:rsid w:val="1A5D24D0"/>
    <w:rsid w:val="1A7577DD"/>
    <w:rsid w:val="1A8E7704"/>
    <w:rsid w:val="1AA650CC"/>
    <w:rsid w:val="1AAB5147"/>
    <w:rsid w:val="1AB84DDA"/>
    <w:rsid w:val="1AD53A66"/>
    <w:rsid w:val="1AD867C7"/>
    <w:rsid w:val="1AFA5418"/>
    <w:rsid w:val="1B065B6B"/>
    <w:rsid w:val="1B0928E7"/>
    <w:rsid w:val="1B0A687C"/>
    <w:rsid w:val="1B0F6425"/>
    <w:rsid w:val="1B4120E9"/>
    <w:rsid w:val="1B445528"/>
    <w:rsid w:val="1B607213"/>
    <w:rsid w:val="1B632FBD"/>
    <w:rsid w:val="1B8C0B05"/>
    <w:rsid w:val="1B9D3462"/>
    <w:rsid w:val="1BAA299A"/>
    <w:rsid w:val="1BD827F9"/>
    <w:rsid w:val="1BE22134"/>
    <w:rsid w:val="1BEA1AC5"/>
    <w:rsid w:val="1C0025BA"/>
    <w:rsid w:val="1C0A6971"/>
    <w:rsid w:val="1C143A56"/>
    <w:rsid w:val="1C1A57D2"/>
    <w:rsid w:val="1C395ACC"/>
    <w:rsid w:val="1C3A1F70"/>
    <w:rsid w:val="1C4701E9"/>
    <w:rsid w:val="1C4E0CFD"/>
    <w:rsid w:val="1C6E7E6B"/>
    <w:rsid w:val="1C6F4F78"/>
    <w:rsid w:val="1C8651B5"/>
    <w:rsid w:val="1C9078C1"/>
    <w:rsid w:val="1C907F0D"/>
    <w:rsid w:val="1C913B5A"/>
    <w:rsid w:val="1C9146CD"/>
    <w:rsid w:val="1C944F1A"/>
    <w:rsid w:val="1C962F1E"/>
    <w:rsid w:val="1C9E382A"/>
    <w:rsid w:val="1CA97A8E"/>
    <w:rsid w:val="1CAC511F"/>
    <w:rsid w:val="1CAC629E"/>
    <w:rsid w:val="1CAE13A8"/>
    <w:rsid w:val="1CBF1516"/>
    <w:rsid w:val="1CE62F2C"/>
    <w:rsid w:val="1CF8512B"/>
    <w:rsid w:val="1CFF2DF9"/>
    <w:rsid w:val="1D00188D"/>
    <w:rsid w:val="1D04257E"/>
    <w:rsid w:val="1D061E52"/>
    <w:rsid w:val="1D0C0308"/>
    <w:rsid w:val="1D2453C1"/>
    <w:rsid w:val="1D443363"/>
    <w:rsid w:val="1D813BCE"/>
    <w:rsid w:val="1D903E12"/>
    <w:rsid w:val="1D9A1F77"/>
    <w:rsid w:val="1D9A259A"/>
    <w:rsid w:val="1D9F2649"/>
    <w:rsid w:val="1DAC4696"/>
    <w:rsid w:val="1DC25EB6"/>
    <w:rsid w:val="1DC42A31"/>
    <w:rsid w:val="1DC85359"/>
    <w:rsid w:val="1DD42718"/>
    <w:rsid w:val="1DD67A76"/>
    <w:rsid w:val="1DE035D1"/>
    <w:rsid w:val="1DFB74DD"/>
    <w:rsid w:val="1E012619"/>
    <w:rsid w:val="1E0A7720"/>
    <w:rsid w:val="1E0C793C"/>
    <w:rsid w:val="1E1D4D3D"/>
    <w:rsid w:val="1E1D56A5"/>
    <w:rsid w:val="1E2E420E"/>
    <w:rsid w:val="1E320A25"/>
    <w:rsid w:val="1E3850A2"/>
    <w:rsid w:val="1E396257"/>
    <w:rsid w:val="1E3B1FCF"/>
    <w:rsid w:val="1E3D568B"/>
    <w:rsid w:val="1E54452C"/>
    <w:rsid w:val="1E695FED"/>
    <w:rsid w:val="1E6A01BF"/>
    <w:rsid w:val="1E731B9A"/>
    <w:rsid w:val="1E8A260F"/>
    <w:rsid w:val="1EA9518B"/>
    <w:rsid w:val="1EB15DEE"/>
    <w:rsid w:val="1EB458DE"/>
    <w:rsid w:val="1EC2624D"/>
    <w:rsid w:val="1ED57D2E"/>
    <w:rsid w:val="1EE3661A"/>
    <w:rsid w:val="1EEC6CD9"/>
    <w:rsid w:val="1EFA2840"/>
    <w:rsid w:val="1EFB52BB"/>
    <w:rsid w:val="1EFD22A9"/>
    <w:rsid w:val="1F0028D1"/>
    <w:rsid w:val="1F1D16D5"/>
    <w:rsid w:val="1F302288"/>
    <w:rsid w:val="1F386A8B"/>
    <w:rsid w:val="1F4E5D32"/>
    <w:rsid w:val="1F635B0F"/>
    <w:rsid w:val="1F743319"/>
    <w:rsid w:val="1F7C2BBF"/>
    <w:rsid w:val="1FA94D17"/>
    <w:rsid w:val="1FAE1069"/>
    <w:rsid w:val="1FCD6D21"/>
    <w:rsid w:val="1FD04999"/>
    <w:rsid w:val="1FD275D0"/>
    <w:rsid w:val="1FE346CD"/>
    <w:rsid w:val="1FED17F2"/>
    <w:rsid w:val="1FED71B6"/>
    <w:rsid w:val="1FEE3897"/>
    <w:rsid w:val="1FFA12D5"/>
    <w:rsid w:val="200A3B67"/>
    <w:rsid w:val="201753C8"/>
    <w:rsid w:val="20354466"/>
    <w:rsid w:val="20554E22"/>
    <w:rsid w:val="205D3C42"/>
    <w:rsid w:val="206E043A"/>
    <w:rsid w:val="206F41B2"/>
    <w:rsid w:val="207B17A5"/>
    <w:rsid w:val="2091125E"/>
    <w:rsid w:val="20921383"/>
    <w:rsid w:val="20AF1DF1"/>
    <w:rsid w:val="20B10327"/>
    <w:rsid w:val="20B47E17"/>
    <w:rsid w:val="20C67591"/>
    <w:rsid w:val="20D3029D"/>
    <w:rsid w:val="20E76AFB"/>
    <w:rsid w:val="21076199"/>
    <w:rsid w:val="211377F2"/>
    <w:rsid w:val="211508B6"/>
    <w:rsid w:val="213D605E"/>
    <w:rsid w:val="21425423"/>
    <w:rsid w:val="214C62A1"/>
    <w:rsid w:val="215313DE"/>
    <w:rsid w:val="215E3E7C"/>
    <w:rsid w:val="216102D0"/>
    <w:rsid w:val="21656CD6"/>
    <w:rsid w:val="217841AC"/>
    <w:rsid w:val="2186530F"/>
    <w:rsid w:val="218B501C"/>
    <w:rsid w:val="21A41C3A"/>
    <w:rsid w:val="21A576AC"/>
    <w:rsid w:val="21B87493"/>
    <w:rsid w:val="21D74E81"/>
    <w:rsid w:val="21E12E8E"/>
    <w:rsid w:val="21E35AC9"/>
    <w:rsid w:val="21F737A6"/>
    <w:rsid w:val="21FA26D6"/>
    <w:rsid w:val="220B295C"/>
    <w:rsid w:val="22214E8B"/>
    <w:rsid w:val="22405FD0"/>
    <w:rsid w:val="225369FF"/>
    <w:rsid w:val="226B54D6"/>
    <w:rsid w:val="226E0AA3"/>
    <w:rsid w:val="22702C7F"/>
    <w:rsid w:val="227455C3"/>
    <w:rsid w:val="22836F3B"/>
    <w:rsid w:val="228A17E1"/>
    <w:rsid w:val="228C4BA7"/>
    <w:rsid w:val="228F6446"/>
    <w:rsid w:val="2291180B"/>
    <w:rsid w:val="22965A26"/>
    <w:rsid w:val="22A77C33"/>
    <w:rsid w:val="22B72375"/>
    <w:rsid w:val="22B97967"/>
    <w:rsid w:val="22BE4AA9"/>
    <w:rsid w:val="22BE71DC"/>
    <w:rsid w:val="22C500B9"/>
    <w:rsid w:val="22D402FC"/>
    <w:rsid w:val="22E04A67"/>
    <w:rsid w:val="22F015DA"/>
    <w:rsid w:val="22F80095"/>
    <w:rsid w:val="23067BCA"/>
    <w:rsid w:val="23137077"/>
    <w:rsid w:val="23294AEC"/>
    <w:rsid w:val="23307C29"/>
    <w:rsid w:val="234B4A63"/>
    <w:rsid w:val="2355143D"/>
    <w:rsid w:val="2355588B"/>
    <w:rsid w:val="235D4220"/>
    <w:rsid w:val="23827D58"/>
    <w:rsid w:val="23841253"/>
    <w:rsid w:val="23983A20"/>
    <w:rsid w:val="23AE6D9F"/>
    <w:rsid w:val="23C27922"/>
    <w:rsid w:val="23D031BA"/>
    <w:rsid w:val="23D2079E"/>
    <w:rsid w:val="23E26F0C"/>
    <w:rsid w:val="23E46C65"/>
    <w:rsid w:val="24013373"/>
    <w:rsid w:val="24040B99"/>
    <w:rsid w:val="240510B5"/>
    <w:rsid w:val="24071BA2"/>
    <w:rsid w:val="240E783E"/>
    <w:rsid w:val="241148CA"/>
    <w:rsid w:val="2417728C"/>
    <w:rsid w:val="24297C13"/>
    <w:rsid w:val="242D21C1"/>
    <w:rsid w:val="24361E02"/>
    <w:rsid w:val="243E6375"/>
    <w:rsid w:val="244460A9"/>
    <w:rsid w:val="244E7ABC"/>
    <w:rsid w:val="246A2EAA"/>
    <w:rsid w:val="246A53BC"/>
    <w:rsid w:val="246E6748"/>
    <w:rsid w:val="2471674B"/>
    <w:rsid w:val="2493541C"/>
    <w:rsid w:val="24A32E72"/>
    <w:rsid w:val="24A37128"/>
    <w:rsid w:val="24A901D6"/>
    <w:rsid w:val="24AC1531"/>
    <w:rsid w:val="24BB5C18"/>
    <w:rsid w:val="24C7005D"/>
    <w:rsid w:val="24CA7C09"/>
    <w:rsid w:val="24DF56F8"/>
    <w:rsid w:val="24E419CA"/>
    <w:rsid w:val="24F44C86"/>
    <w:rsid w:val="25164BFC"/>
    <w:rsid w:val="25410BC1"/>
    <w:rsid w:val="25516D67"/>
    <w:rsid w:val="25517D46"/>
    <w:rsid w:val="255F2A47"/>
    <w:rsid w:val="257814BD"/>
    <w:rsid w:val="25A50095"/>
    <w:rsid w:val="25AB2553"/>
    <w:rsid w:val="25BF2F33"/>
    <w:rsid w:val="25CE00B6"/>
    <w:rsid w:val="25ED0D25"/>
    <w:rsid w:val="260A6728"/>
    <w:rsid w:val="262274A0"/>
    <w:rsid w:val="2625109A"/>
    <w:rsid w:val="26331E07"/>
    <w:rsid w:val="26460EA8"/>
    <w:rsid w:val="26472CAD"/>
    <w:rsid w:val="266C18D4"/>
    <w:rsid w:val="267449E4"/>
    <w:rsid w:val="26894AA9"/>
    <w:rsid w:val="269B1288"/>
    <w:rsid w:val="269B185D"/>
    <w:rsid w:val="26B034EC"/>
    <w:rsid w:val="26C9603F"/>
    <w:rsid w:val="26DB7EAB"/>
    <w:rsid w:val="26E96EB2"/>
    <w:rsid w:val="27111B1F"/>
    <w:rsid w:val="27196C26"/>
    <w:rsid w:val="272D09B3"/>
    <w:rsid w:val="27321B90"/>
    <w:rsid w:val="27365509"/>
    <w:rsid w:val="27391076"/>
    <w:rsid w:val="274041B2"/>
    <w:rsid w:val="27545CC0"/>
    <w:rsid w:val="276A122F"/>
    <w:rsid w:val="276B56D3"/>
    <w:rsid w:val="27822A1D"/>
    <w:rsid w:val="279369D8"/>
    <w:rsid w:val="27962024"/>
    <w:rsid w:val="27966FFD"/>
    <w:rsid w:val="27985D9D"/>
    <w:rsid w:val="279D44C4"/>
    <w:rsid w:val="27B801ED"/>
    <w:rsid w:val="27BD1A2E"/>
    <w:rsid w:val="27D36C49"/>
    <w:rsid w:val="27DD6708"/>
    <w:rsid w:val="27ED6BDD"/>
    <w:rsid w:val="28017D55"/>
    <w:rsid w:val="280E30AC"/>
    <w:rsid w:val="280F1A5B"/>
    <w:rsid w:val="28221B0A"/>
    <w:rsid w:val="28252C7C"/>
    <w:rsid w:val="282825E9"/>
    <w:rsid w:val="282E3F1F"/>
    <w:rsid w:val="2833593F"/>
    <w:rsid w:val="285A74F6"/>
    <w:rsid w:val="285D4902"/>
    <w:rsid w:val="286A1DF0"/>
    <w:rsid w:val="286D34D7"/>
    <w:rsid w:val="28763103"/>
    <w:rsid w:val="288023AD"/>
    <w:rsid w:val="288527C5"/>
    <w:rsid w:val="288F719F"/>
    <w:rsid w:val="28942A08"/>
    <w:rsid w:val="289F6231"/>
    <w:rsid w:val="28A54C15"/>
    <w:rsid w:val="28A6273B"/>
    <w:rsid w:val="28B46C06"/>
    <w:rsid w:val="28BB61E6"/>
    <w:rsid w:val="28C063A4"/>
    <w:rsid w:val="28CE5472"/>
    <w:rsid w:val="28D472A8"/>
    <w:rsid w:val="28D553E6"/>
    <w:rsid w:val="28DA4193"/>
    <w:rsid w:val="28DE0127"/>
    <w:rsid w:val="28E16A48"/>
    <w:rsid w:val="28E267C8"/>
    <w:rsid w:val="29053906"/>
    <w:rsid w:val="2910469B"/>
    <w:rsid w:val="29114FDA"/>
    <w:rsid w:val="29124801"/>
    <w:rsid w:val="291F6DE1"/>
    <w:rsid w:val="293C106B"/>
    <w:rsid w:val="29477CB5"/>
    <w:rsid w:val="29491A44"/>
    <w:rsid w:val="2952512A"/>
    <w:rsid w:val="295472B0"/>
    <w:rsid w:val="297A3448"/>
    <w:rsid w:val="2987431B"/>
    <w:rsid w:val="29AC3848"/>
    <w:rsid w:val="29CA6689"/>
    <w:rsid w:val="29CB006B"/>
    <w:rsid w:val="29D8191B"/>
    <w:rsid w:val="29E256AC"/>
    <w:rsid w:val="2A04596B"/>
    <w:rsid w:val="2A0E2346"/>
    <w:rsid w:val="2A141C7C"/>
    <w:rsid w:val="2A224043"/>
    <w:rsid w:val="2A383867"/>
    <w:rsid w:val="2A4614B3"/>
    <w:rsid w:val="2A5C2D52"/>
    <w:rsid w:val="2A5E151F"/>
    <w:rsid w:val="2A68414C"/>
    <w:rsid w:val="2A6A62D7"/>
    <w:rsid w:val="2A9D742A"/>
    <w:rsid w:val="2A9E50AD"/>
    <w:rsid w:val="2AA00F26"/>
    <w:rsid w:val="2AAB5DE7"/>
    <w:rsid w:val="2AB54EB7"/>
    <w:rsid w:val="2ABE450A"/>
    <w:rsid w:val="2ACC0B26"/>
    <w:rsid w:val="2AE920FF"/>
    <w:rsid w:val="2AF7093B"/>
    <w:rsid w:val="2B217A9C"/>
    <w:rsid w:val="2B397896"/>
    <w:rsid w:val="2B54307E"/>
    <w:rsid w:val="2B5B467B"/>
    <w:rsid w:val="2B6C1A1A"/>
    <w:rsid w:val="2B7037C7"/>
    <w:rsid w:val="2B762277"/>
    <w:rsid w:val="2B7A1D63"/>
    <w:rsid w:val="2B7A1E7D"/>
    <w:rsid w:val="2B807273"/>
    <w:rsid w:val="2B88586B"/>
    <w:rsid w:val="2B8E1990"/>
    <w:rsid w:val="2B95127E"/>
    <w:rsid w:val="2B9667E8"/>
    <w:rsid w:val="2BA56CDA"/>
    <w:rsid w:val="2BB46F1D"/>
    <w:rsid w:val="2BC07E0A"/>
    <w:rsid w:val="2BC96E6C"/>
    <w:rsid w:val="2BCD020C"/>
    <w:rsid w:val="2BD1187D"/>
    <w:rsid w:val="2BDC38A3"/>
    <w:rsid w:val="2BE45A54"/>
    <w:rsid w:val="2BF44DCD"/>
    <w:rsid w:val="2BFF463C"/>
    <w:rsid w:val="2C071281"/>
    <w:rsid w:val="2C201C60"/>
    <w:rsid w:val="2C300C99"/>
    <w:rsid w:val="2C3F7143"/>
    <w:rsid w:val="2C430184"/>
    <w:rsid w:val="2C7025C3"/>
    <w:rsid w:val="2C7737E9"/>
    <w:rsid w:val="2C7843EE"/>
    <w:rsid w:val="2C98486C"/>
    <w:rsid w:val="2CA927FA"/>
    <w:rsid w:val="2CC13CC3"/>
    <w:rsid w:val="2CC768BE"/>
    <w:rsid w:val="2CD86C3B"/>
    <w:rsid w:val="2CE657FC"/>
    <w:rsid w:val="2CFE66A2"/>
    <w:rsid w:val="2D1265F1"/>
    <w:rsid w:val="2D2A12B4"/>
    <w:rsid w:val="2D2E6D64"/>
    <w:rsid w:val="2D314DDD"/>
    <w:rsid w:val="2D3C366E"/>
    <w:rsid w:val="2D480FF4"/>
    <w:rsid w:val="2D800808"/>
    <w:rsid w:val="2D926238"/>
    <w:rsid w:val="2D9C237C"/>
    <w:rsid w:val="2DA14E5E"/>
    <w:rsid w:val="2DAD1E76"/>
    <w:rsid w:val="2DAE631A"/>
    <w:rsid w:val="2DBA45BF"/>
    <w:rsid w:val="2DC23B73"/>
    <w:rsid w:val="2DE31645"/>
    <w:rsid w:val="2DE57862"/>
    <w:rsid w:val="2DEA131C"/>
    <w:rsid w:val="2DFE7EC4"/>
    <w:rsid w:val="2E026666"/>
    <w:rsid w:val="2E064958"/>
    <w:rsid w:val="2E2D7583"/>
    <w:rsid w:val="2E3738A3"/>
    <w:rsid w:val="2E4F0C77"/>
    <w:rsid w:val="2E70537D"/>
    <w:rsid w:val="2E8E614B"/>
    <w:rsid w:val="2E9A689E"/>
    <w:rsid w:val="2EA4771D"/>
    <w:rsid w:val="2EBE64AE"/>
    <w:rsid w:val="2EC17113"/>
    <w:rsid w:val="2EF07014"/>
    <w:rsid w:val="2EF73D64"/>
    <w:rsid w:val="2EFE5401"/>
    <w:rsid w:val="2F0A3A24"/>
    <w:rsid w:val="2F0E55F8"/>
    <w:rsid w:val="2F3565C7"/>
    <w:rsid w:val="2F3C1703"/>
    <w:rsid w:val="2F462582"/>
    <w:rsid w:val="2F4B1946"/>
    <w:rsid w:val="2F6513EA"/>
    <w:rsid w:val="2F6F7D2B"/>
    <w:rsid w:val="2F7B46B4"/>
    <w:rsid w:val="2F7B66D0"/>
    <w:rsid w:val="2F807842"/>
    <w:rsid w:val="2FB02573"/>
    <w:rsid w:val="2FB83480"/>
    <w:rsid w:val="2FC219CE"/>
    <w:rsid w:val="2FC357E2"/>
    <w:rsid w:val="2FC55B9D"/>
    <w:rsid w:val="2FCD6A40"/>
    <w:rsid w:val="2FF0034C"/>
    <w:rsid w:val="30087837"/>
    <w:rsid w:val="30123AFD"/>
    <w:rsid w:val="30172AC3"/>
    <w:rsid w:val="303010D1"/>
    <w:rsid w:val="303A1AEE"/>
    <w:rsid w:val="304F530B"/>
    <w:rsid w:val="30523594"/>
    <w:rsid w:val="307355F9"/>
    <w:rsid w:val="30737083"/>
    <w:rsid w:val="30807330"/>
    <w:rsid w:val="308275EA"/>
    <w:rsid w:val="308B0B94"/>
    <w:rsid w:val="308C6D33"/>
    <w:rsid w:val="30937A49"/>
    <w:rsid w:val="30974A38"/>
    <w:rsid w:val="30A0119D"/>
    <w:rsid w:val="30D90E62"/>
    <w:rsid w:val="3108350D"/>
    <w:rsid w:val="31097D0B"/>
    <w:rsid w:val="310C20A8"/>
    <w:rsid w:val="310E0E7D"/>
    <w:rsid w:val="31163769"/>
    <w:rsid w:val="31185475"/>
    <w:rsid w:val="311C359A"/>
    <w:rsid w:val="31287CDD"/>
    <w:rsid w:val="312B098E"/>
    <w:rsid w:val="31311FBE"/>
    <w:rsid w:val="3138414C"/>
    <w:rsid w:val="313F3539"/>
    <w:rsid w:val="31496359"/>
    <w:rsid w:val="31527040"/>
    <w:rsid w:val="3157781E"/>
    <w:rsid w:val="316B2774"/>
    <w:rsid w:val="316C2653"/>
    <w:rsid w:val="31776230"/>
    <w:rsid w:val="318C4BC4"/>
    <w:rsid w:val="319720A1"/>
    <w:rsid w:val="31AC5651"/>
    <w:rsid w:val="31AE1472"/>
    <w:rsid w:val="31B859B9"/>
    <w:rsid w:val="31D75713"/>
    <w:rsid w:val="31DD71CE"/>
    <w:rsid w:val="31E16592"/>
    <w:rsid w:val="31FF71E6"/>
    <w:rsid w:val="32140715"/>
    <w:rsid w:val="322A6129"/>
    <w:rsid w:val="322F74CA"/>
    <w:rsid w:val="32313075"/>
    <w:rsid w:val="325307FB"/>
    <w:rsid w:val="32565BFD"/>
    <w:rsid w:val="325B4596"/>
    <w:rsid w:val="326205EA"/>
    <w:rsid w:val="32690A61"/>
    <w:rsid w:val="32861C2F"/>
    <w:rsid w:val="3291620A"/>
    <w:rsid w:val="32957AA8"/>
    <w:rsid w:val="3296470A"/>
    <w:rsid w:val="32A55811"/>
    <w:rsid w:val="32BA2758"/>
    <w:rsid w:val="32BB1141"/>
    <w:rsid w:val="32C0264B"/>
    <w:rsid w:val="32C1089D"/>
    <w:rsid w:val="32C930F0"/>
    <w:rsid w:val="32F01183"/>
    <w:rsid w:val="32F22318"/>
    <w:rsid w:val="32F72414"/>
    <w:rsid w:val="33107FB7"/>
    <w:rsid w:val="33170443"/>
    <w:rsid w:val="33214C5F"/>
    <w:rsid w:val="332350B4"/>
    <w:rsid w:val="33370B5F"/>
    <w:rsid w:val="333E3DB4"/>
    <w:rsid w:val="333F4AB6"/>
    <w:rsid w:val="33403394"/>
    <w:rsid w:val="334C2DE7"/>
    <w:rsid w:val="335A2AA0"/>
    <w:rsid w:val="3378048E"/>
    <w:rsid w:val="33850481"/>
    <w:rsid w:val="33860AC4"/>
    <w:rsid w:val="33947D60"/>
    <w:rsid w:val="33AE06F6"/>
    <w:rsid w:val="33B362D2"/>
    <w:rsid w:val="33BC2E13"/>
    <w:rsid w:val="33C75BAB"/>
    <w:rsid w:val="33D56453"/>
    <w:rsid w:val="33D740F0"/>
    <w:rsid w:val="33E12879"/>
    <w:rsid w:val="33FD3FAC"/>
    <w:rsid w:val="34014CC9"/>
    <w:rsid w:val="34032BA9"/>
    <w:rsid w:val="34033C2F"/>
    <w:rsid w:val="34052A0C"/>
    <w:rsid w:val="340D67F6"/>
    <w:rsid w:val="3417273F"/>
    <w:rsid w:val="344057F2"/>
    <w:rsid w:val="3444605B"/>
    <w:rsid w:val="346E384D"/>
    <w:rsid w:val="34771F7F"/>
    <w:rsid w:val="347B0581"/>
    <w:rsid w:val="34A51AF9"/>
    <w:rsid w:val="34A57D4B"/>
    <w:rsid w:val="34AB6D32"/>
    <w:rsid w:val="34B444CF"/>
    <w:rsid w:val="34B71878"/>
    <w:rsid w:val="34CC52D7"/>
    <w:rsid w:val="34F52217"/>
    <w:rsid w:val="34F767AB"/>
    <w:rsid w:val="34F768D2"/>
    <w:rsid w:val="35152706"/>
    <w:rsid w:val="351A27C6"/>
    <w:rsid w:val="352A17E0"/>
    <w:rsid w:val="352C3FC8"/>
    <w:rsid w:val="352C5D76"/>
    <w:rsid w:val="352F7CE5"/>
    <w:rsid w:val="35493EC5"/>
    <w:rsid w:val="354D6618"/>
    <w:rsid w:val="35540108"/>
    <w:rsid w:val="355F614C"/>
    <w:rsid w:val="356273B0"/>
    <w:rsid w:val="356D6ABA"/>
    <w:rsid w:val="357864E7"/>
    <w:rsid w:val="357A05CB"/>
    <w:rsid w:val="357E2A76"/>
    <w:rsid w:val="35817330"/>
    <w:rsid w:val="358606AC"/>
    <w:rsid w:val="358A041F"/>
    <w:rsid w:val="359953B3"/>
    <w:rsid w:val="359C114E"/>
    <w:rsid w:val="35A822DD"/>
    <w:rsid w:val="35B75F88"/>
    <w:rsid w:val="35BF159A"/>
    <w:rsid w:val="35CF5019"/>
    <w:rsid w:val="35CF507F"/>
    <w:rsid w:val="35D43F5A"/>
    <w:rsid w:val="35E05A8D"/>
    <w:rsid w:val="35EB1288"/>
    <w:rsid w:val="35F103F9"/>
    <w:rsid w:val="35F5260C"/>
    <w:rsid w:val="35FA30BB"/>
    <w:rsid w:val="35FC1BEC"/>
    <w:rsid w:val="3600792F"/>
    <w:rsid w:val="360401E9"/>
    <w:rsid w:val="36075508"/>
    <w:rsid w:val="361E7DB5"/>
    <w:rsid w:val="36411800"/>
    <w:rsid w:val="3657607F"/>
    <w:rsid w:val="365D08DD"/>
    <w:rsid w:val="367C4ADB"/>
    <w:rsid w:val="367F4CF7"/>
    <w:rsid w:val="36971C9C"/>
    <w:rsid w:val="36B37709"/>
    <w:rsid w:val="36B9188B"/>
    <w:rsid w:val="36C00E6C"/>
    <w:rsid w:val="36C26992"/>
    <w:rsid w:val="36C412DB"/>
    <w:rsid w:val="36D2220B"/>
    <w:rsid w:val="36D97BAB"/>
    <w:rsid w:val="36EE608B"/>
    <w:rsid w:val="36F1614C"/>
    <w:rsid w:val="370F3D8D"/>
    <w:rsid w:val="37104511"/>
    <w:rsid w:val="37176CD0"/>
    <w:rsid w:val="37182966"/>
    <w:rsid w:val="37394E5B"/>
    <w:rsid w:val="373963C2"/>
    <w:rsid w:val="37500039"/>
    <w:rsid w:val="375241BA"/>
    <w:rsid w:val="37620175"/>
    <w:rsid w:val="37762083"/>
    <w:rsid w:val="377834F5"/>
    <w:rsid w:val="37924E1C"/>
    <w:rsid w:val="37A12A4B"/>
    <w:rsid w:val="37A147F9"/>
    <w:rsid w:val="37AC1A96"/>
    <w:rsid w:val="37D5281F"/>
    <w:rsid w:val="37DF61DB"/>
    <w:rsid w:val="37F330E7"/>
    <w:rsid w:val="37FA0E99"/>
    <w:rsid w:val="3809239F"/>
    <w:rsid w:val="380D6333"/>
    <w:rsid w:val="3810372D"/>
    <w:rsid w:val="381256F7"/>
    <w:rsid w:val="382673F4"/>
    <w:rsid w:val="3833228D"/>
    <w:rsid w:val="3837515E"/>
    <w:rsid w:val="38612C67"/>
    <w:rsid w:val="386B55BB"/>
    <w:rsid w:val="387265C8"/>
    <w:rsid w:val="387C7014"/>
    <w:rsid w:val="388F6D48"/>
    <w:rsid w:val="38A03229"/>
    <w:rsid w:val="38BB18EB"/>
    <w:rsid w:val="38CE0806"/>
    <w:rsid w:val="38E9036D"/>
    <w:rsid w:val="38F913A2"/>
    <w:rsid w:val="38FA1AAD"/>
    <w:rsid w:val="39026064"/>
    <w:rsid w:val="391060DB"/>
    <w:rsid w:val="39155CC9"/>
    <w:rsid w:val="39161217"/>
    <w:rsid w:val="392B54D9"/>
    <w:rsid w:val="3934169D"/>
    <w:rsid w:val="393B701F"/>
    <w:rsid w:val="394E496B"/>
    <w:rsid w:val="39627FB8"/>
    <w:rsid w:val="397544B2"/>
    <w:rsid w:val="39A5262B"/>
    <w:rsid w:val="39A64349"/>
    <w:rsid w:val="39A91AF3"/>
    <w:rsid w:val="39AB195F"/>
    <w:rsid w:val="39BD3961"/>
    <w:rsid w:val="39BD78E5"/>
    <w:rsid w:val="39C90037"/>
    <w:rsid w:val="39E80A65"/>
    <w:rsid w:val="3A2E70AC"/>
    <w:rsid w:val="3A42106D"/>
    <w:rsid w:val="3A493173"/>
    <w:rsid w:val="3A4C27D9"/>
    <w:rsid w:val="3A5428AB"/>
    <w:rsid w:val="3A5A5133"/>
    <w:rsid w:val="3A612966"/>
    <w:rsid w:val="3A7C2852"/>
    <w:rsid w:val="3A7E52C6"/>
    <w:rsid w:val="3A810912"/>
    <w:rsid w:val="3A837C03"/>
    <w:rsid w:val="3A99047D"/>
    <w:rsid w:val="3A9F2AC4"/>
    <w:rsid w:val="3AB35193"/>
    <w:rsid w:val="3AB77611"/>
    <w:rsid w:val="3ACC6031"/>
    <w:rsid w:val="3ACF2BE9"/>
    <w:rsid w:val="3AE63B5C"/>
    <w:rsid w:val="3AFA69CE"/>
    <w:rsid w:val="3B021A53"/>
    <w:rsid w:val="3B1D6475"/>
    <w:rsid w:val="3B322B8F"/>
    <w:rsid w:val="3B510D34"/>
    <w:rsid w:val="3B5F4281"/>
    <w:rsid w:val="3B675D5A"/>
    <w:rsid w:val="3B70668D"/>
    <w:rsid w:val="3B762441"/>
    <w:rsid w:val="3B7902BE"/>
    <w:rsid w:val="3B984165"/>
    <w:rsid w:val="3BB36270"/>
    <w:rsid w:val="3BC824BA"/>
    <w:rsid w:val="3BDE2AE7"/>
    <w:rsid w:val="3BEE4F6E"/>
    <w:rsid w:val="3BF62429"/>
    <w:rsid w:val="3BF84C04"/>
    <w:rsid w:val="3C0161AE"/>
    <w:rsid w:val="3C174B42"/>
    <w:rsid w:val="3C30439E"/>
    <w:rsid w:val="3C5C01EE"/>
    <w:rsid w:val="3C646171"/>
    <w:rsid w:val="3C933F10"/>
    <w:rsid w:val="3C9F7ACB"/>
    <w:rsid w:val="3CAB7EC8"/>
    <w:rsid w:val="3CC06218"/>
    <w:rsid w:val="3CC80A7A"/>
    <w:rsid w:val="3CCA099B"/>
    <w:rsid w:val="3CD218F9"/>
    <w:rsid w:val="3CDB255C"/>
    <w:rsid w:val="3CE33886"/>
    <w:rsid w:val="3D02468D"/>
    <w:rsid w:val="3D0777F5"/>
    <w:rsid w:val="3D421EE2"/>
    <w:rsid w:val="3D436353"/>
    <w:rsid w:val="3D483FCE"/>
    <w:rsid w:val="3D484892"/>
    <w:rsid w:val="3D533C89"/>
    <w:rsid w:val="3D860D04"/>
    <w:rsid w:val="3D894920"/>
    <w:rsid w:val="3D9B1CEB"/>
    <w:rsid w:val="3D9B7F3D"/>
    <w:rsid w:val="3DC93A44"/>
    <w:rsid w:val="3DDC2A2F"/>
    <w:rsid w:val="3DDD0555"/>
    <w:rsid w:val="3E11684E"/>
    <w:rsid w:val="3E220292"/>
    <w:rsid w:val="3E2D45E9"/>
    <w:rsid w:val="3E425AD3"/>
    <w:rsid w:val="3E4B6497"/>
    <w:rsid w:val="3E5163FA"/>
    <w:rsid w:val="3E627FD6"/>
    <w:rsid w:val="3E6C18F6"/>
    <w:rsid w:val="3E7A241E"/>
    <w:rsid w:val="3E7C0C0E"/>
    <w:rsid w:val="3E952BDE"/>
    <w:rsid w:val="3EBC63BD"/>
    <w:rsid w:val="3EC501C6"/>
    <w:rsid w:val="3ECA6D2C"/>
    <w:rsid w:val="3ED41958"/>
    <w:rsid w:val="3EDC2D70"/>
    <w:rsid w:val="3EE028C7"/>
    <w:rsid w:val="3EF26D09"/>
    <w:rsid w:val="3F035D9A"/>
    <w:rsid w:val="3F047A57"/>
    <w:rsid w:val="3F0624B8"/>
    <w:rsid w:val="3F0B2631"/>
    <w:rsid w:val="3F105C71"/>
    <w:rsid w:val="3F1D1593"/>
    <w:rsid w:val="3F23750D"/>
    <w:rsid w:val="3F2A1578"/>
    <w:rsid w:val="3F335B0A"/>
    <w:rsid w:val="3F4B178F"/>
    <w:rsid w:val="3F544847"/>
    <w:rsid w:val="3F81393F"/>
    <w:rsid w:val="3F874C1D"/>
    <w:rsid w:val="3F9A371F"/>
    <w:rsid w:val="3FA446DC"/>
    <w:rsid w:val="3FAC4683"/>
    <w:rsid w:val="3FBE25D5"/>
    <w:rsid w:val="3FC27ABE"/>
    <w:rsid w:val="3FD41087"/>
    <w:rsid w:val="3FE23C01"/>
    <w:rsid w:val="3FEB49EE"/>
    <w:rsid w:val="3FF322B2"/>
    <w:rsid w:val="3FF6292A"/>
    <w:rsid w:val="40060D04"/>
    <w:rsid w:val="40114448"/>
    <w:rsid w:val="40163566"/>
    <w:rsid w:val="40366650"/>
    <w:rsid w:val="40372237"/>
    <w:rsid w:val="403B1563"/>
    <w:rsid w:val="403C7992"/>
    <w:rsid w:val="403D5F58"/>
    <w:rsid w:val="404B7A1C"/>
    <w:rsid w:val="405C7E57"/>
    <w:rsid w:val="406571D2"/>
    <w:rsid w:val="40842F0A"/>
    <w:rsid w:val="4093139F"/>
    <w:rsid w:val="40970E8F"/>
    <w:rsid w:val="40A92971"/>
    <w:rsid w:val="40AB6298"/>
    <w:rsid w:val="40AC39CF"/>
    <w:rsid w:val="40D47F63"/>
    <w:rsid w:val="40F9795F"/>
    <w:rsid w:val="40FC2A5F"/>
    <w:rsid w:val="41097DCA"/>
    <w:rsid w:val="410D051E"/>
    <w:rsid w:val="410F6C78"/>
    <w:rsid w:val="41197AF6"/>
    <w:rsid w:val="413B5CBF"/>
    <w:rsid w:val="41467A5B"/>
    <w:rsid w:val="4160482C"/>
    <w:rsid w:val="417B255F"/>
    <w:rsid w:val="417F09A2"/>
    <w:rsid w:val="418A2CB9"/>
    <w:rsid w:val="41927D8E"/>
    <w:rsid w:val="41B552C1"/>
    <w:rsid w:val="41E55C2A"/>
    <w:rsid w:val="41E974C9"/>
    <w:rsid w:val="42042555"/>
    <w:rsid w:val="42051E29"/>
    <w:rsid w:val="4228528F"/>
    <w:rsid w:val="42581301"/>
    <w:rsid w:val="425D3A13"/>
    <w:rsid w:val="425D7EB7"/>
    <w:rsid w:val="42614EE5"/>
    <w:rsid w:val="42657D4F"/>
    <w:rsid w:val="4269685C"/>
    <w:rsid w:val="42707BEA"/>
    <w:rsid w:val="4290203A"/>
    <w:rsid w:val="429E4DAB"/>
    <w:rsid w:val="42A600F8"/>
    <w:rsid w:val="42AB3D39"/>
    <w:rsid w:val="42B72E00"/>
    <w:rsid w:val="42C27D1A"/>
    <w:rsid w:val="42C86B47"/>
    <w:rsid w:val="42CA498C"/>
    <w:rsid w:val="42ED2FE9"/>
    <w:rsid w:val="42F73E67"/>
    <w:rsid w:val="42F8459D"/>
    <w:rsid w:val="430C0B17"/>
    <w:rsid w:val="43362BE2"/>
    <w:rsid w:val="43363D3E"/>
    <w:rsid w:val="434A06E3"/>
    <w:rsid w:val="435B61A4"/>
    <w:rsid w:val="436A5CCD"/>
    <w:rsid w:val="4376386F"/>
    <w:rsid w:val="43777A7E"/>
    <w:rsid w:val="437E00E5"/>
    <w:rsid w:val="43841B5E"/>
    <w:rsid w:val="43A039F7"/>
    <w:rsid w:val="43AA15D3"/>
    <w:rsid w:val="43B835F7"/>
    <w:rsid w:val="43DA76E7"/>
    <w:rsid w:val="43EF3930"/>
    <w:rsid w:val="43F16E48"/>
    <w:rsid w:val="43FA47BE"/>
    <w:rsid w:val="44136A7F"/>
    <w:rsid w:val="441D16AC"/>
    <w:rsid w:val="442134FD"/>
    <w:rsid w:val="44277E32"/>
    <w:rsid w:val="4429068D"/>
    <w:rsid w:val="442E1C3E"/>
    <w:rsid w:val="443D0586"/>
    <w:rsid w:val="44473F87"/>
    <w:rsid w:val="44517690"/>
    <w:rsid w:val="446F6F8B"/>
    <w:rsid w:val="44800D98"/>
    <w:rsid w:val="44913E48"/>
    <w:rsid w:val="449851D6"/>
    <w:rsid w:val="44A22BE6"/>
    <w:rsid w:val="44BB3494"/>
    <w:rsid w:val="44C602C6"/>
    <w:rsid w:val="44CF75B8"/>
    <w:rsid w:val="44D30B0A"/>
    <w:rsid w:val="44E61C8A"/>
    <w:rsid w:val="44E62116"/>
    <w:rsid w:val="44F05012"/>
    <w:rsid w:val="44F35166"/>
    <w:rsid w:val="44F5163F"/>
    <w:rsid w:val="44F71EFD"/>
    <w:rsid w:val="4506146E"/>
    <w:rsid w:val="450D34C3"/>
    <w:rsid w:val="450E7246"/>
    <w:rsid w:val="451037DC"/>
    <w:rsid w:val="452B77E8"/>
    <w:rsid w:val="4539549E"/>
    <w:rsid w:val="4543393B"/>
    <w:rsid w:val="454B13F4"/>
    <w:rsid w:val="456330CD"/>
    <w:rsid w:val="45700D32"/>
    <w:rsid w:val="45761DB7"/>
    <w:rsid w:val="4580200E"/>
    <w:rsid w:val="45805146"/>
    <w:rsid w:val="4594599D"/>
    <w:rsid w:val="45AD2C0D"/>
    <w:rsid w:val="45BC567F"/>
    <w:rsid w:val="45C30031"/>
    <w:rsid w:val="45CE5353"/>
    <w:rsid w:val="45D4223E"/>
    <w:rsid w:val="45E12393"/>
    <w:rsid w:val="45E26F22"/>
    <w:rsid w:val="45E34B16"/>
    <w:rsid w:val="45E95AF5"/>
    <w:rsid w:val="46195EA3"/>
    <w:rsid w:val="46222FA9"/>
    <w:rsid w:val="46441A2F"/>
    <w:rsid w:val="4648466D"/>
    <w:rsid w:val="4657521B"/>
    <w:rsid w:val="46603AD2"/>
    <w:rsid w:val="46775A2E"/>
    <w:rsid w:val="467F4984"/>
    <w:rsid w:val="46933EA7"/>
    <w:rsid w:val="46954E5D"/>
    <w:rsid w:val="46A460B4"/>
    <w:rsid w:val="46AB6703"/>
    <w:rsid w:val="46C01F5A"/>
    <w:rsid w:val="46C36929"/>
    <w:rsid w:val="46C774AF"/>
    <w:rsid w:val="46CC5CE4"/>
    <w:rsid w:val="46CC7C63"/>
    <w:rsid w:val="46E02253"/>
    <w:rsid w:val="46E11C37"/>
    <w:rsid w:val="46E1654A"/>
    <w:rsid w:val="46F865B9"/>
    <w:rsid w:val="46FA3F26"/>
    <w:rsid w:val="46FB541D"/>
    <w:rsid w:val="47007F46"/>
    <w:rsid w:val="47056F93"/>
    <w:rsid w:val="470C0E84"/>
    <w:rsid w:val="47252760"/>
    <w:rsid w:val="473A231F"/>
    <w:rsid w:val="47430F77"/>
    <w:rsid w:val="474403D0"/>
    <w:rsid w:val="474523CF"/>
    <w:rsid w:val="476F0470"/>
    <w:rsid w:val="4785646F"/>
    <w:rsid w:val="47941CB9"/>
    <w:rsid w:val="47971775"/>
    <w:rsid w:val="479F062A"/>
    <w:rsid w:val="47A846DA"/>
    <w:rsid w:val="47B85C80"/>
    <w:rsid w:val="47BE73FC"/>
    <w:rsid w:val="47BF183F"/>
    <w:rsid w:val="47CD7041"/>
    <w:rsid w:val="47D25429"/>
    <w:rsid w:val="47DD5843"/>
    <w:rsid w:val="47F019B9"/>
    <w:rsid w:val="48027DB3"/>
    <w:rsid w:val="480B0A3F"/>
    <w:rsid w:val="481B05F8"/>
    <w:rsid w:val="48256FA5"/>
    <w:rsid w:val="48425B85"/>
    <w:rsid w:val="48462B33"/>
    <w:rsid w:val="484641FC"/>
    <w:rsid w:val="485A69C1"/>
    <w:rsid w:val="485B4F92"/>
    <w:rsid w:val="485D1965"/>
    <w:rsid w:val="486A6E89"/>
    <w:rsid w:val="486B41BB"/>
    <w:rsid w:val="486C49B0"/>
    <w:rsid w:val="487F1327"/>
    <w:rsid w:val="488372B1"/>
    <w:rsid w:val="488520C4"/>
    <w:rsid w:val="488565C0"/>
    <w:rsid w:val="48861F15"/>
    <w:rsid w:val="48967C7F"/>
    <w:rsid w:val="48AD3210"/>
    <w:rsid w:val="48D569F9"/>
    <w:rsid w:val="48D651DF"/>
    <w:rsid w:val="48DC298A"/>
    <w:rsid w:val="48F63912"/>
    <w:rsid w:val="4908232A"/>
    <w:rsid w:val="49161E72"/>
    <w:rsid w:val="492024EC"/>
    <w:rsid w:val="49221512"/>
    <w:rsid w:val="492427D7"/>
    <w:rsid w:val="49357497"/>
    <w:rsid w:val="493623C4"/>
    <w:rsid w:val="49423962"/>
    <w:rsid w:val="49425690"/>
    <w:rsid w:val="49513A53"/>
    <w:rsid w:val="4961203A"/>
    <w:rsid w:val="49836455"/>
    <w:rsid w:val="49890B30"/>
    <w:rsid w:val="498F32E7"/>
    <w:rsid w:val="49961FD3"/>
    <w:rsid w:val="499F2B63"/>
    <w:rsid w:val="49A64783"/>
    <w:rsid w:val="49B07245"/>
    <w:rsid w:val="49C5081B"/>
    <w:rsid w:val="49CA4084"/>
    <w:rsid w:val="49D92519"/>
    <w:rsid w:val="49DA264F"/>
    <w:rsid w:val="49E071D6"/>
    <w:rsid w:val="49F20FAD"/>
    <w:rsid w:val="49F93973"/>
    <w:rsid w:val="4A0F29D3"/>
    <w:rsid w:val="4A12154F"/>
    <w:rsid w:val="4A1A284E"/>
    <w:rsid w:val="4A274FD8"/>
    <w:rsid w:val="4A2F2139"/>
    <w:rsid w:val="4A314F18"/>
    <w:rsid w:val="4A325A07"/>
    <w:rsid w:val="4A3D1467"/>
    <w:rsid w:val="4A541B9F"/>
    <w:rsid w:val="4A5B2F2E"/>
    <w:rsid w:val="4A655B5A"/>
    <w:rsid w:val="4A7364C9"/>
    <w:rsid w:val="4A832359"/>
    <w:rsid w:val="4A8C1339"/>
    <w:rsid w:val="4A8D175A"/>
    <w:rsid w:val="4A9A1CA8"/>
    <w:rsid w:val="4AA743C5"/>
    <w:rsid w:val="4AA84236"/>
    <w:rsid w:val="4ABB39CC"/>
    <w:rsid w:val="4AC43DFC"/>
    <w:rsid w:val="4ADA7905"/>
    <w:rsid w:val="4AEC1DD8"/>
    <w:rsid w:val="4AED7531"/>
    <w:rsid w:val="4AEE608A"/>
    <w:rsid w:val="4AF72989"/>
    <w:rsid w:val="4B016551"/>
    <w:rsid w:val="4B0D2982"/>
    <w:rsid w:val="4B4B2FA2"/>
    <w:rsid w:val="4B4D6D1A"/>
    <w:rsid w:val="4B5D2CD5"/>
    <w:rsid w:val="4B67342F"/>
    <w:rsid w:val="4B7A56BD"/>
    <w:rsid w:val="4BA07295"/>
    <w:rsid w:val="4BA95F1B"/>
    <w:rsid w:val="4BAD77B9"/>
    <w:rsid w:val="4BB010EE"/>
    <w:rsid w:val="4BD46D87"/>
    <w:rsid w:val="4BD96800"/>
    <w:rsid w:val="4BDE3E16"/>
    <w:rsid w:val="4BEA0A2F"/>
    <w:rsid w:val="4BEF7DD1"/>
    <w:rsid w:val="4C190002"/>
    <w:rsid w:val="4C1A4723"/>
    <w:rsid w:val="4C1D292C"/>
    <w:rsid w:val="4C220B74"/>
    <w:rsid w:val="4C2D4E6A"/>
    <w:rsid w:val="4C3F7353"/>
    <w:rsid w:val="4C472D96"/>
    <w:rsid w:val="4C6205A3"/>
    <w:rsid w:val="4C6267F5"/>
    <w:rsid w:val="4C6360CA"/>
    <w:rsid w:val="4C6F3E2D"/>
    <w:rsid w:val="4C777AE9"/>
    <w:rsid w:val="4C871DB8"/>
    <w:rsid w:val="4C8A7AFA"/>
    <w:rsid w:val="4C9269AF"/>
    <w:rsid w:val="4C997D3D"/>
    <w:rsid w:val="4CA23096"/>
    <w:rsid w:val="4CA26BF2"/>
    <w:rsid w:val="4CB22BAD"/>
    <w:rsid w:val="4CB6269D"/>
    <w:rsid w:val="4CB81199"/>
    <w:rsid w:val="4CBE60A3"/>
    <w:rsid w:val="4CC748AA"/>
    <w:rsid w:val="4CC919B8"/>
    <w:rsid w:val="4CD10D1A"/>
    <w:rsid w:val="4CD1336E"/>
    <w:rsid w:val="4CD80866"/>
    <w:rsid w:val="4CDC3C81"/>
    <w:rsid w:val="4CDF7D36"/>
    <w:rsid w:val="4D0329F0"/>
    <w:rsid w:val="4D0B343C"/>
    <w:rsid w:val="4D134E71"/>
    <w:rsid w:val="4D166484"/>
    <w:rsid w:val="4D390F77"/>
    <w:rsid w:val="4D3B4179"/>
    <w:rsid w:val="4D427926"/>
    <w:rsid w:val="4D450A7A"/>
    <w:rsid w:val="4D510618"/>
    <w:rsid w:val="4D5B5AB5"/>
    <w:rsid w:val="4D5C47A0"/>
    <w:rsid w:val="4D6D6361"/>
    <w:rsid w:val="4D810EFD"/>
    <w:rsid w:val="4D8D24FF"/>
    <w:rsid w:val="4D966757"/>
    <w:rsid w:val="4DC141E2"/>
    <w:rsid w:val="4DC37118"/>
    <w:rsid w:val="4DC51CD5"/>
    <w:rsid w:val="4DCF7EBB"/>
    <w:rsid w:val="4DE7037F"/>
    <w:rsid w:val="4DF755D6"/>
    <w:rsid w:val="4E0300F6"/>
    <w:rsid w:val="4E0929FA"/>
    <w:rsid w:val="4E105DDD"/>
    <w:rsid w:val="4E192C1C"/>
    <w:rsid w:val="4E275C99"/>
    <w:rsid w:val="4E2D698F"/>
    <w:rsid w:val="4E484C46"/>
    <w:rsid w:val="4E5B174E"/>
    <w:rsid w:val="4E606D65"/>
    <w:rsid w:val="4E6A373F"/>
    <w:rsid w:val="4E6A7BE3"/>
    <w:rsid w:val="4E6D4F74"/>
    <w:rsid w:val="4E761B68"/>
    <w:rsid w:val="4E782E22"/>
    <w:rsid w:val="4E7F30F0"/>
    <w:rsid w:val="4E870795"/>
    <w:rsid w:val="4E8E473D"/>
    <w:rsid w:val="4E963418"/>
    <w:rsid w:val="4EA01857"/>
    <w:rsid w:val="4EA10119"/>
    <w:rsid w:val="4EA2737D"/>
    <w:rsid w:val="4EA4172F"/>
    <w:rsid w:val="4EA74993"/>
    <w:rsid w:val="4EB62E28"/>
    <w:rsid w:val="4EB946C7"/>
    <w:rsid w:val="4EBD5A47"/>
    <w:rsid w:val="4EBE1CDD"/>
    <w:rsid w:val="4ECA0682"/>
    <w:rsid w:val="4F0D6D60"/>
    <w:rsid w:val="4F1A33B7"/>
    <w:rsid w:val="4F4915A7"/>
    <w:rsid w:val="4F4C553B"/>
    <w:rsid w:val="4F517D8E"/>
    <w:rsid w:val="4F6B59C1"/>
    <w:rsid w:val="4F704C4C"/>
    <w:rsid w:val="4F7A02B0"/>
    <w:rsid w:val="4F7B372A"/>
    <w:rsid w:val="4FAD57E7"/>
    <w:rsid w:val="4FB56C3C"/>
    <w:rsid w:val="4FC53EE2"/>
    <w:rsid w:val="502A587C"/>
    <w:rsid w:val="505776F0"/>
    <w:rsid w:val="505A77E4"/>
    <w:rsid w:val="505E03E3"/>
    <w:rsid w:val="505E7032"/>
    <w:rsid w:val="50A8054F"/>
    <w:rsid w:val="50C11611"/>
    <w:rsid w:val="50C90C96"/>
    <w:rsid w:val="50D715FA"/>
    <w:rsid w:val="50E01AF5"/>
    <w:rsid w:val="50FF6509"/>
    <w:rsid w:val="51181B78"/>
    <w:rsid w:val="512761FE"/>
    <w:rsid w:val="512F0C70"/>
    <w:rsid w:val="5136423A"/>
    <w:rsid w:val="514364CA"/>
    <w:rsid w:val="514C0BE0"/>
    <w:rsid w:val="51512E79"/>
    <w:rsid w:val="516A0533"/>
    <w:rsid w:val="516C5A20"/>
    <w:rsid w:val="517D5E7F"/>
    <w:rsid w:val="517F39A6"/>
    <w:rsid w:val="5180327A"/>
    <w:rsid w:val="518C712A"/>
    <w:rsid w:val="519B4C30"/>
    <w:rsid w:val="51B507DB"/>
    <w:rsid w:val="51C62AC1"/>
    <w:rsid w:val="51C71DD3"/>
    <w:rsid w:val="51D22043"/>
    <w:rsid w:val="51D9423F"/>
    <w:rsid w:val="51DA1DBB"/>
    <w:rsid w:val="51E732F9"/>
    <w:rsid w:val="51F8622A"/>
    <w:rsid w:val="51FE0D6E"/>
    <w:rsid w:val="52115F9D"/>
    <w:rsid w:val="52167D46"/>
    <w:rsid w:val="52232583"/>
    <w:rsid w:val="523E560F"/>
    <w:rsid w:val="52505342"/>
    <w:rsid w:val="5285471B"/>
    <w:rsid w:val="52951DDB"/>
    <w:rsid w:val="52952D55"/>
    <w:rsid w:val="52AA2CA4"/>
    <w:rsid w:val="52B831C7"/>
    <w:rsid w:val="52C11D9C"/>
    <w:rsid w:val="52C86C4B"/>
    <w:rsid w:val="52D4387D"/>
    <w:rsid w:val="52DB10B0"/>
    <w:rsid w:val="52DC43C1"/>
    <w:rsid w:val="52DC7555"/>
    <w:rsid w:val="52E5554A"/>
    <w:rsid w:val="52F537F4"/>
    <w:rsid w:val="52F81F7A"/>
    <w:rsid w:val="53143EE4"/>
    <w:rsid w:val="5315305D"/>
    <w:rsid w:val="53192C95"/>
    <w:rsid w:val="531C114C"/>
    <w:rsid w:val="5325073D"/>
    <w:rsid w:val="533E40EB"/>
    <w:rsid w:val="53530C46"/>
    <w:rsid w:val="535914C6"/>
    <w:rsid w:val="535B5D4C"/>
    <w:rsid w:val="536966BB"/>
    <w:rsid w:val="536A61E5"/>
    <w:rsid w:val="538A2B86"/>
    <w:rsid w:val="538D4C52"/>
    <w:rsid w:val="5394440F"/>
    <w:rsid w:val="53984D98"/>
    <w:rsid w:val="539B25ED"/>
    <w:rsid w:val="539F5522"/>
    <w:rsid w:val="53A019B1"/>
    <w:rsid w:val="53D53D51"/>
    <w:rsid w:val="53D75475"/>
    <w:rsid w:val="53DD2C05"/>
    <w:rsid w:val="53E76ED1"/>
    <w:rsid w:val="53FF7684"/>
    <w:rsid w:val="54076444"/>
    <w:rsid w:val="541349DF"/>
    <w:rsid w:val="5441327B"/>
    <w:rsid w:val="54630C77"/>
    <w:rsid w:val="547277F2"/>
    <w:rsid w:val="54734538"/>
    <w:rsid w:val="54A7028E"/>
    <w:rsid w:val="54BF54DB"/>
    <w:rsid w:val="54C50A87"/>
    <w:rsid w:val="54C811C0"/>
    <w:rsid w:val="54CA7951"/>
    <w:rsid w:val="54D03523"/>
    <w:rsid w:val="54D13805"/>
    <w:rsid w:val="54D7602C"/>
    <w:rsid w:val="54F86F84"/>
    <w:rsid w:val="54F95B21"/>
    <w:rsid w:val="54FB58B2"/>
    <w:rsid w:val="550A4125"/>
    <w:rsid w:val="55491124"/>
    <w:rsid w:val="55501A5E"/>
    <w:rsid w:val="555D3FFE"/>
    <w:rsid w:val="556709D9"/>
    <w:rsid w:val="557337EE"/>
    <w:rsid w:val="55824D76"/>
    <w:rsid w:val="55847CFF"/>
    <w:rsid w:val="55852C7F"/>
    <w:rsid w:val="558935B3"/>
    <w:rsid w:val="558D41B7"/>
    <w:rsid w:val="558F5C3C"/>
    <w:rsid w:val="55980885"/>
    <w:rsid w:val="55AF48E3"/>
    <w:rsid w:val="55B24ECC"/>
    <w:rsid w:val="55B61960"/>
    <w:rsid w:val="55B6370E"/>
    <w:rsid w:val="55BD684B"/>
    <w:rsid w:val="55C0458D"/>
    <w:rsid w:val="55CD530C"/>
    <w:rsid w:val="55DA38A0"/>
    <w:rsid w:val="55E97640"/>
    <w:rsid w:val="55FB03D6"/>
    <w:rsid w:val="56010E2D"/>
    <w:rsid w:val="561D378D"/>
    <w:rsid w:val="56260894"/>
    <w:rsid w:val="562C2CB5"/>
    <w:rsid w:val="56383029"/>
    <w:rsid w:val="56446F6C"/>
    <w:rsid w:val="564C1E6A"/>
    <w:rsid w:val="56677FEB"/>
    <w:rsid w:val="567042F3"/>
    <w:rsid w:val="56732E7E"/>
    <w:rsid w:val="567D5FDA"/>
    <w:rsid w:val="56997040"/>
    <w:rsid w:val="569A430A"/>
    <w:rsid w:val="569E1CA8"/>
    <w:rsid w:val="569F5A0C"/>
    <w:rsid w:val="56A47AC1"/>
    <w:rsid w:val="56BE5D25"/>
    <w:rsid w:val="56C34335"/>
    <w:rsid w:val="56D46032"/>
    <w:rsid w:val="56D93B58"/>
    <w:rsid w:val="56DD087A"/>
    <w:rsid w:val="56FF15A8"/>
    <w:rsid w:val="57037C51"/>
    <w:rsid w:val="57204BBD"/>
    <w:rsid w:val="57552F3A"/>
    <w:rsid w:val="575C780D"/>
    <w:rsid w:val="57692212"/>
    <w:rsid w:val="57731C05"/>
    <w:rsid w:val="57763155"/>
    <w:rsid w:val="57876129"/>
    <w:rsid w:val="578D66F1"/>
    <w:rsid w:val="57996267"/>
    <w:rsid w:val="57A55988"/>
    <w:rsid w:val="57B176A0"/>
    <w:rsid w:val="57B7551B"/>
    <w:rsid w:val="57BA2B3F"/>
    <w:rsid w:val="57D206BD"/>
    <w:rsid w:val="57D83E10"/>
    <w:rsid w:val="57E26A3C"/>
    <w:rsid w:val="57EF62EE"/>
    <w:rsid w:val="57F514EB"/>
    <w:rsid w:val="57FF3E28"/>
    <w:rsid w:val="58005893"/>
    <w:rsid w:val="580E5A83"/>
    <w:rsid w:val="5816380C"/>
    <w:rsid w:val="58164938"/>
    <w:rsid w:val="582C5F09"/>
    <w:rsid w:val="58312587"/>
    <w:rsid w:val="583C5D85"/>
    <w:rsid w:val="58496ABB"/>
    <w:rsid w:val="584F7FF8"/>
    <w:rsid w:val="586718D1"/>
    <w:rsid w:val="58676F42"/>
    <w:rsid w:val="586C4558"/>
    <w:rsid w:val="58782EFD"/>
    <w:rsid w:val="58850D16"/>
    <w:rsid w:val="588A10A9"/>
    <w:rsid w:val="588E562D"/>
    <w:rsid w:val="58942237"/>
    <w:rsid w:val="589616D2"/>
    <w:rsid w:val="58B40075"/>
    <w:rsid w:val="58B572F5"/>
    <w:rsid w:val="58BE3005"/>
    <w:rsid w:val="58CA4556"/>
    <w:rsid w:val="58D325C8"/>
    <w:rsid w:val="58DA60F2"/>
    <w:rsid w:val="58E30CBE"/>
    <w:rsid w:val="58E3481A"/>
    <w:rsid w:val="58E6255C"/>
    <w:rsid w:val="58ED233C"/>
    <w:rsid w:val="59545718"/>
    <w:rsid w:val="597C2162"/>
    <w:rsid w:val="59834024"/>
    <w:rsid w:val="59875AED"/>
    <w:rsid w:val="598B6C60"/>
    <w:rsid w:val="599E348B"/>
    <w:rsid w:val="59C72A09"/>
    <w:rsid w:val="59D23B60"/>
    <w:rsid w:val="59D61635"/>
    <w:rsid w:val="59D625D1"/>
    <w:rsid w:val="59DA7686"/>
    <w:rsid w:val="59DB5708"/>
    <w:rsid w:val="59DD74BB"/>
    <w:rsid w:val="59EC1DA6"/>
    <w:rsid w:val="59F55D86"/>
    <w:rsid w:val="5A164C33"/>
    <w:rsid w:val="5A1A070F"/>
    <w:rsid w:val="5A201A9E"/>
    <w:rsid w:val="5A20427A"/>
    <w:rsid w:val="5A492943"/>
    <w:rsid w:val="5A5836E3"/>
    <w:rsid w:val="5A7A11AE"/>
    <w:rsid w:val="5A7F2D25"/>
    <w:rsid w:val="5A852B83"/>
    <w:rsid w:val="5A8E79AB"/>
    <w:rsid w:val="5A937A9B"/>
    <w:rsid w:val="5A970623"/>
    <w:rsid w:val="5A9F0C15"/>
    <w:rsid w:val="5ABB397F"/>
    <w:rsid w:val="5AD84CE9"/>
    <w:rsid w:val="5AE9397B"/>
    <w:rsid w:val="5B120EE2"/>
    <w:rsid w:val="5B37380A"/>
    <w:rsid w:val="5B3B76AF"/>
    <w:rsid w:val="5B436DA6"/>
    <w:rsid w:val="5B537B85"/>
    <w:rsid w:val="5B697421"/>
    <w:rsid w:val="5B6D2AC1"/>
    <w:rsid w:val="5B7F45A2"/>
    <w:rsid w:val="5B8305C0"/>
    <w:rsid w:val="5BA33B8D"/>
    <w:rsid w:val="5BC80B8E"/>
    <w:rsid w:val="5BCC5A39"/>
    <w:rsid w:val="5BDE6DB0"/>
    <w:rsid w:val="5BFB56B2"/>
    <w:rsid w:val="5C0C1BA0"/>
    <w:rsid w:val="5C131057"/>
    <w:rsid w:val="5C164F06"/>
    <w:rsid w:val="5C3D06E5"/>
    <w:rsid w:val="5C4165A7"/>
    <w:rsid w:val="5C4F01F0"/>
    <w:rsid w:val="5C5F645E"/>
    <w:rsid w:val="5C622D9E"/>
    <w:rsid w:val="5C846EFE"/>
    <w:rsid w:val="5C891B7C"/>
    <w:rsid w:val="5C927850"/>
    <w:rsid w:val="5C9812C9"/>
    <w:rsid w:val="5CA176A8"/>
    <w:rsid w:val="5CB339BC"/>
    <w:rsid w:val="5CBF74A8"/>
    <w:rsid w:val="5CE172C2"/>
    <w:rsid w:val="5CE2303B"/>
    <w:rsid w:val="5CEB6393"/>
    <w:rsid w:val="5CEC3A93"/>
    <w:rsid w:val="5CF75E76"/>
    <w:rsid w:val="5CFA775C"/>
    <w:rsid w:val="5CFD63D9"/>
    <w:rsid w:val="5D105DFA"/>
    <w:rsid w:val="5D470B3F"/>
    <w:rsid w:val="5D5932FD"/>
    <w:rsid w:val="5D781C91"/>
    <w:rsid w:val="5D7944B3"/>
    <w:rsid w:val="5D7A6459"/>
    <w:rsid w:val="5D810AA5"/>
    <w:rsid w:val="5D824379"/>
    <w:rsid w:val="5D882A12"/>
    <w:rsid w:val="5D8D76F7"/>
    <w:rsid w:val="5D924A61"/>
    <w:rsid w:val="5DA42896"/>
    <w:rsid w:val="5DAA1DAA"/>
    <w:rsid w:val="5DD24E5D"/>
    <w:rsid w:val="5DDB72AF"/>
    <w:rsid w:val="5DDC7A8A"/>
    <w:rsid w:val="5DE54B90"/>
    <w:rsid w:val="5DF26580"/>
    <w:rsid w:val="5DF35023"/>
    <w:rsid w:val="5E1715A6"/>
    <w:rsid w:val="5E1D07CE"/>
    <w:rsid w:val="5E203E1A"/>
    <w:rsid w:val="5E207C55"/>
    <w:rsid w:val="5E2A30DF"/>
    <w:rsid w:val="5E370730"/>
    <w:rsid w:val="5E435D5B"/>
    <w:rsid w:val="5E441E8D"/>
    <w:rsid w:val="5E4C2E61"/>
    <w:rsid w:val="5E5F7AE8"/>
    <w:rsid w:val="5E632C92"/>
    <w:rsid w:val="5E652175"/>
    <w:rsid w:val="5E677792"/>
    <w:rsid w:val="5E6F6B50"/>
    <w:rsid w:val="5E702CD8"/>
    <w:rsid w:val="5E720567"/>
    <w:rsid w:val="5E79417D"/>
    <w:rsid w:val="5E7E6D93"/>
    <w:rsid w:val="5E8C397C"/>
    <w:rsid w:val="5E9071F2"/>
    <w:rsid w:val="5EA6431A"/>
    <w:rsid w:val="5EB033F0"/>
    <w:rsid w:val="5EDA4AF4"/>
    <w:rsid w:val="5EE17A4E"/>
    <w:rsid w:val="5EE419E5"/>
    <w:rsid w:val="5EE50BC0"/>
    <w:rsid w:val="5EEB540E"/>
    <w:rsid w:val="5EF66843"/>
    <w:rsid w:val="5F0E6369"/>
    <w:rsid w:val="5F113717"/>
    <w:rsid w:val="5F163F8F"/>
    <w:rsid w:val="5F1B68D2"/>
    <w:rsid w:val="5F1D2186"/>
    <w:rsid w:val="5F382DD8"/>
    <w:rsid w:val="5F54003E"/>
    <w:rsid w:val="5F5521EA"/>
    <w:rsid w:val="5F6E5059"/>
    <w:rsid w:val="5F742670"/>
    <w:rsid w:val="5F776541"/>
    <w:rsid w:val="5FA840C8"/>
    <w:rsid w:val="5FAB5A8B"/>
    <w:rsid w:val="5FEC3197"/>
    <w:rsid w:val="5FF0472E"/>
    <w:rsid w:val="5FF94923"/>
    <w:rsid w:val="600D6620"/>
    <w:rsid w:val="60184828"/>
    <w:rsid w:val="601D6507"/>
    <w:rsid w:val="60277799"/>
    <w:rsid w:val="60442D31"/>
    <w:rsid w:val="604554EE"/>
    <w:rsid w:val="6051475F"/>
    <w:rsid w:val="605D1C94"/>
    <w:rsid w:val="60774374"/>
    <w:rsid w:val="607C12CE"/>
    <w:rsid w:val="60806E07"/>
    <w:rsid w:val="60963565"/>
    <w:rsid w:val="609A2DC5"/>
    <w:rsid w:val="60C47479"/>
    <w:rsid w:val="60D84969"/>
    <w:rsid w:val="60E92BEA"/>
    <w:rsid w:val="60EE28FE"/>
    <w:rsid w:val="61081EBC"/>
    <w:rsid w:val="61095E16"/>
    <w:rsid w:val="61270854"/>
    <w:rsid w:val="613E79EB"/>
    <w:rsid w:val="615A79ED"/>
    <w:rsid w:val="61616775"/>
    <w:rsid w:val="618446C0"/>
    <w:rsid w:val="6186668A"/>
    <w:rsid w:val="61911420"/>
    <w:rsid w:val="61994610"/>
    <w:rsid w:val="61A426DB"/>
    <w:rsid w:val="61D96A48"/>
    <w:rsid w:val="61E1700C"/>
    <w:rsid w:val="61F2727D"/>
    <w:rsid w:val="61FF01EB"/>
    <w:rsid w:val="620D3E17"/>
    <w:rsid w:val="62192E0D"/>
    <w:rsid w:val="62195220"/>
    <w:rsid w:val="624B730A"/>
    <w:rsid w:val="624C11F7"/>
    <w:rsid w:val="624D2976"/>
    <w:rsid w:val="62511F1A"/>
    <w:rsid w:val="625C563D"/>
    <w:rsid w:val="626369CC"/>
    <w:rsid w:val="62662018"/>
    <w:rsid w:val="626764BC"/>
    <w:rsid w:val="626959F7"/>
    <w:rsid w:val="626B7C40"/>
    <w:rsid w:val="62701159"/>
    <w:rsid w:val="62726C0F"/>
    <w:rsid w:val="6296008D"/>
    <w:rsid w:val="6299419B"/>
    <w:rsid w:val="62A30548"/>
    <w:rsid w:val="62A8415D"/>
    <w:rsid w:val="62D96711"/>
    <w:rsid w:val="62F47811"/>
    <w:rsid w:val="630737FB"/>
    <w:rsid w:val="630A6E47"/>
    <w:rsid w:val="63267F12"/>
    <w:rsid w:val="63293771"/>
    <w:rsid w:val="632F747B"/>
    <w:rsid w:val="633F4D43"/>
    <w:rsid w:val="6349032F"/>
    <w:rsid w:val="634A51A7"/>
    <w:rsid w:val="634E31D8"/>
    <w:rsid w:val="635C3B47"/>
    <w:rsid w:val="636367D0"/>
    <w:rsid w:val="637707DC"/>
    <w:rsid w:val="639C03E7"/>
    <w:rsid w:val="63A503DC"/>
    <w:rsid w:val="63AC7EFE"/>
    <w:rsid w:val="63B23767"/>
    <w:rsid w:val="63D20880"/>
    <w:rsid w:val="63E128CF"/>
    <w:rsid w:val="63EE4595"/>
    <w:rsid w:val="64067739"/>
    <w:rsid w:val="64144421"/>
    <w:rsid w:val="6433046A"/>
    <w:rsid w:val="64363AC2"/>
    <w:rsid w:val="643A52F5"/>
    <w:rsid w:val="64516F8F"/>
    <w:rsid w:val="64564FAD"/>
    <w:rsid w:val="645B2050"/>
    <w:rsid w:val="646A047C"/>
    <w:rsid w:val="64785029"/>
    <w:rsid w:val="647D3761"/>
    <w:rsid w:val="64823773"/>
    <w:rsid w:val="64A11A3C"/>
    <w:rsid w:val="64AB2CB8"/>
    <w:rsid w:val="64AD173A"/>
    <w:rsid w:val="64B33C3A"/>
    <w:rsid w:val="64B701F2"/>
    <w:rsid w:val="64CD2873"/>
    <w:rsid w:val="64D836A1"/>
    <w:rsid w:val="64D94532"/>
    <w:rsid w:val="64E17927"/>
    <w:rsid w:val="64F34EEB"/>
    <w:rsid w:val="64F41043"/>
    <w:rsid w:val="64F64DF6"/>
    <w:rsid w:val="64F93617"/>
    <w:rsid w:val="65000502"/>
    <w:rsid w:val="65050C4E"/>
    <w:rsid w:val="65105553"/>
    <w:rsid w:val="65222B6E"/>
    <w:rsid w:val="65312DB1"/>
    <w:rsid w:val="655A40B6"/>
    <w:rsid w:val="656B62C3"/>
    <w:rsid w:val="65725898"/>
    <w:rsid w:val="65813D24"/>
    <w:rsid w:val="658259FC"/>
    <w:rsid w:val="65941A88"/>
    <w:rsid w:val="65AE63BD"/>
    <w:rsid w:val="65DE5AE8"/>
    <w:rsid w:val="65E301F5"/>
    <w:rsid w:val="65F8742B"/>
    <w:rsid w:val="65F9272E"/>
    <w:rsid w:val="65F93B51"/>
    <w:rsid w:val="66154481"/>
    <w:rsid w:val="663C37BC"/>
    <w:rsid w:val="663F32AC"/>
    <w:rsid w:val="66560D21"/>
    <w:rsid w:val="665F36C6"/>
    <w:rsid w:val="666E0700"/>
    <w:rsid w:val="66884ADF"/>
    <w:rsid w:val="66952ECC"/>
    <w:rsid w:val="66962692"/>
    <w:rsid w:val="66990C0E"/>
    <w:rsid w:val="66A60AC6"/>
    <w:rsid w:val="66A97C74"/>
    <w:rsid w:val="66AC2A87"/>
    <w:rsid w:val="66B43C9A"/>
    <w:rsid w:val="66B85CB4"/>
    <w:rsid w:val="66C8504F"/>
    <w:rsid w:val="66C979B7"/>
    <w:rsid w:val="66D23F40"/>
    <w:rsid w:val="66E05D3F"/>
    <w:rsid w:val="66E63727"/>
    <w:rsid w:val="66E976B6"/>
    <w:rsid w:val="670213EA"/>
    <w:rsid w:val="670342D9"/>
    <w:rsid w:val="6727446C"/>
    <w:rsid w:val="672B7D12"/>
    <w:rsid w:val="674256DB"/>
    <w:rsid w:val="67440A32"/>
    <w:rsid w:val="67620AC1"/>
    <w:rsid w:val="67713939"/>
    <w:rsid w:val="67BD26DA"/>
    <w:rsid w:val="67BD3540"/>
    <w:rsid w:val="67CF7EC0"/>
    <w:rsid w:val="67D32FC7"/>
    <w:rsid w:val="67D839B8"/>
    <w:rsid w:val="67DD0FCE"/>
    <w:rsid w:val="67E67E83"/>
    <w:rsid w:val="67E76BC6"/>
    <w:rsid w:val="67FB4C6E"/>
    <w:rsid w:val="67FC4AE6"/>
    <w:rsid w:val="67FC4CA3"/>
    <w:rsid w:val="68070558"/>
    <w:rsid w:val="68156514"/>
    <w:rsid w:val="682409AB"/>
    <w:rsid w:val="68270D40"/>
    <w:rsid w:val="682A2E18"/>
    <w:rsid w:val="68490412"/>
    <w:rsid w:val="686572F0"/>
    <w:rsid w:val="68686AEA"/>
    <w:rsid w:val="68703BF0"/>
    <w:rsid w:val="68752FB5"/>
    <w:rsid w:val="687F067C"/>
    <w:rsid w:val="68893DB0"/>
    <w:rsid w:val="68996CA3"/>
    <w:rsid w:val="68A33BCF"/>
    <w:rsid w:val="68BD0A92"/>
    <w:rsid w:val="68E02B24"/>
    <w:rsid w:val="68F90314"/>
    <w:rsid w:val="68F95994"/>
    <w:rsid w:val="690831BA"/>
    <w:rsid w:val="691A190E"/>
    <w:rsid w:val="691E1EBC"/>
    <w:rsid w:val="69221585"/>
    <w:rsid w:val="692A0793"/>
    <w:rsid w:val="6933534A"/>
    <w:rsid w:val="694E2184"/>
    <w:rsid w:val="6955219F"/>
    <w:rsid w:val="69556864"/>
    <w:rsid w:val="69782181"/>
    <w:rsid w:val="6979104D"/>
    <w:rsid w:val="69842E6C"/>
    <w:rsid w:val="698838C4"/>
    <w:rsid w:val="69961435"/>
    <w:rsid w:val="69974D81"/>
    <w:rsid w:val="69B30239"/>
    <w:rsid w:val="69BE2739"/>
    <w:rsid w:val="69C568D7"/>
    <w:rsid w:val="69CB63AC"/>
    <w:rsid w:val="69D06130"/>
    <w:rsid w:val="69D45463"/>
    <w:rsid w:val="69DA187A"/>
    <w:rsid w:val="69DA3A17"/>
    <w:rsid w:val="69E809CB"/>
    <w:rsid w:val="6A042842"/>
    <w:rsid w:val="6A1231B1"/>
    <w:rsid w:val="6A1A3E14"/>
    <w:rsid w:val="6A3A44B6"/>
    <w:rsid w:val="6A3F387A"/>
    <w:rsid w:val="6A4D4B83"/>
    <w:rsid w:val="6A6204E0"/>
    <w:rsid w:val="6A631425"/>
    <w:rsid w:val="6A6D7AEB"/>
    <w:rsid w:val="6A720EF8"/>
    <w:rsid w:val="6A8219B9"/>
    <w:rsid w:val="6A8A71EB"/>
    <w:rsid w:val="6AB57FE0"/>
    <w:rsid w:val="6AD121FC"/>
    <w:rsid w:val="6AD92130"/>
    <w:rsid w:val="6ADB5F5B"/>
    <w:rsid w:val="6AEF219C"/>
    <w:rsid w:val="6AF405C0"/>
    <w:rsid w:val="6B0D3978"/>
    <w:rsid w:val="6B1074DA"/>
    <w:rsid w:val="6B221F4E"/>
    <w:rsid w:val="6B252A70"/>
    <w:rsid w:val="6B261B6A"/>
    <w:rsid w:val="6B362ECF"/>
    <w:rsid w:val="6B670B28"/>
    <w:rsid w:val="6B6B6547"/>
    <w:rsid w:val="6B6F4633"/>
    <w:rsid w:val="6B7D5624"/>
    <w:rsid w:val="6B8754D9"/>
    <w:rsid w:val="6BA84EB2"/>
    <w:rsid w:val="6BB362CE"/>
    <w:rsid w:val="6BBB3287"/>
    <w:rsid w:val="6BD661D6"/>
    <w:rsid w:val="6BE97F42"/>
    <w:rsid w:val="6BF57F88"/>
    <w:rsid w:val="6BFA4FBD"/>
    <w:rsid w:val="6BFD39ED"/>
    <w:rsid w:val="6C014E82"/>
    <w:rsid w:val="6C07486C"/>
    <w:rsid w:val="6C256E24"/>
    <w:rsid w:val="6C262F44"/>
    <w:rsid w:val="6C3E228B"/>
    <w:rsid w:val="6C501951"/>
    <w:rsid w:val="6C70567A"/>
    <w:rsid w:val="6C8D4D71"/>
    <w:rsid w:val="6C8F6D86"/>
    <w:rsid w:val="6C961BE6"/>
    <w:rsid w:val="6CB711FD"/>
    <w:rsid w:val="6CCB3AEB"/>
    <w:rsid w:val="6CCF7FDC"/>
    <w:rsid w:val="6CE034BF"/>
    <w:rsid w:val="6CFC21DE"/>
    <w:rsid w:val="6D036DE1"/>
    <w:rsid w:val="6D0F1C2A"/>
    <w:rsid w:val="6D231231"/>
    <w:rsid w:val="6D34343E"/>
    <w:rsid w:val="6D3D0DC2"/>
    <w:rsid w:val="6D570BB3"/>
    <w:rsid w:val="6D5D798A"/>
    <w:rsid w:val="6D600134"/>
    <w:rsid w:val="6D684669"/>
    <w:rsid w:val="6D741A8D"/>
    <w:rsid w:val="6D8904ED"/>
    <w:rsid w:val="6D8B6DD7"/>
    <w:rsid w:val="6DAB15E1"/>
    <w:rsid w:val="6DB921CC"/>
    <w:rsid w:val="6DBC0B4D"/>
    <w:rsid w:val="6DC249BF"/>
    <w:rsid w:val="6DDE7A63"/>
    <w:rsid w:val="6DE8068E"/>
    <w:rsid w:val="6DF36BCF"/>
    <w:rsid w:val="6E0C7F17"/>
    <w:rsid w:val="6E0F17B6"/>
    <w:rsid w:val="6E243F6B"/>
    <w:rsid w:val="6E2A38BB"/>
    <w:rsid w:val="6E2C6428"/>
    <w:rsid w:val="6E3226E4"/>
    <w:rsid w:val="6E344F23"/>
    <w:rsid w:val="6E421900"/>
    <w:rsid w:val="6E5F07A0"/>
    <w:rsid w:val="6E6407EF"/>
    <w:rsid w:val="6E6F4EFC"/>
    <w:rsid w:val="6E7A7577"/>
    <w:rsid w:val="6E7B4FA6"/>
    <w:rsid w:val="6E95110E"/>
    <w:rsid w:val="6EA512B1"/>
    <w:rsid w:val="6EAB7730"/>
    <w:rsid w:val="6EB04D47"/>
    <w:rsid w:val="6EBF142E"/>
    <w:rsid w:val="6ECD2B9D"/>
    <w:rsid w:val="6ED53928"/>
    <w:rsid w:val="6EE63AB0"/>
    <w:rsid w:val="6EEC6702"/>
    <w:rsid w:val="6F026849"/>
    <w:rsid w:val="6F0A08FB"/>
    <w:rsid w:val="6F304979"/>
    <w:rsid w:val="6F324963"/>
    <w:rsid w:val="6F4661B9"/>
    <w:rsid w:val="6F732214"/>
    <w:rsid w:val="6F751AEC"/>
    <w:rsid w:val="6F7A5868"/>
    <w:rsid w:val="6F881507"/>
    <w:rsid w:val="6F885CC3"/>
    <w:rsid w:val="6F89697E"/>
    <w:rsid w:val="6F8F5082"/>
    <w:rsid w:val="6F9763BC"/>
    <w:rsid w:val="6FA26D85"/>
    <w:rsid w:val="6FA6157B"/>
    <w:rsid w:val="6FB7466B"/>
    <w:rsid w:val="6FBF1DEB"/>
    <w:rsid w:val="6FBF6270"/>
    <w:rsid w:val="6FCA1E38"/>
    <w:rsid w:val="6FCD36D6"/>
    <w:rsid w:val="6FD53F4C"/>
    <w:rsid w:val="6FD951E7"/>
    <w:rsid w:val="6FDC1B6B"/>
    <w:rsid w:val="6FE0165C"/>
    <w:rsid w:val="6FEE1FCA"/>
    <w:rsid w:val="6FF11F92"/>
    <w:rsid w:val="6FF869A5"/>
    <w:rsid w:val="7000045D"/>
    <w:rsid w:val="70013176"/>
    <w:rsid w:val="700D7F77"/>
    <w:rsid w:val="702C2AF3"/>
    <w:rsid w:val="70335C2F"/>
    <w:rsid w:val="703D085C"/>
    <w:rsid w:val="70491CA7"/>
    <w:rsid w:val="70516C88"/>
    <w:rsid w:val="7053276B"/>
    <w:rsid w:val="70731B08"/>
    <w:rsid w:val="707E401E"/>
    <w:rsid w:val="70893AA1"/>
    <w:rsid w:val="7090149C"/>
    <w:rsid w:val="70934920"/>
    <w:rsid w:val="70986C75"/>
    <w:rsid w:val="709D5A1E"/>
    <w:rsid w:val="709F1764"/>
    <w:rsid w:val="70A3530F"/>
    <w:rsid w:val="70B12434"/>
    <w:rsid w:val="70D56CE6"/>
    <w:rsid w:val="70F3421A"/>
    <w:rsid w:val="70FF3D63"/>
    <w:rsid w:val="712B4D20"/>
    <w:rsid w:val="712E54BC"/>
    <w:rsid w:val="7141612A"/>
    <w:rsid w:val="71435A5A"/>
    <w:rsid w:val="7148570A"/>
    <w:rsid w:val="714D7563"/>
    <w:rsid w:val="715D1CFF"/>
    <w:rsid w:val="715E0962"/>
    <w:rsid w:val="71600CA6"/>
    <w:rsid w:val="71663DE2"/>
    <w:rsid w:val="717E0F71"/>
    <w:rsid w:val="71804EA4"/>
    <w:rsid w:val="7186713D"/>
    <w:rsid w:val="7192455D"/>
    <w:rsid w:val="719646C8"/>
    <w:rsid w:val="71AB1C45"/>
    <w:rsid w:val="71AE1D70"/>
    <w:rsid w:val="71B558C1"/>
    <w:rsid w:val="71BE3C1E"/>
    <w:rsid w:val="71BF7D8A"/>
    <w:rsid w:val="71CA1F6E"/>
    <w:rsid w:val="72001B41"/>
    <w:rsid w:val="720F447A"/>
    <w:rsid w:val="722C7201"/>
    <w:rsid w:val="7232523A"/>
    <w:rsid w:val="723D6B68"/>
    <w:rsid w:val="72570757"/>
    <w:rsid w:val="725C34E3"/>
    <w:rsid w:val="72723E32"/>
    <w:rsid w:val="727E6F0A"/>
    <w:rsid w:val="728409C4"/>
    <w:rsid w:val="729B4A26"/>
    <w:rsid w:val="72B94B76"/>
    <w:rsid w:val="72CF4296"/>
    <w:rsid w:val="72E12DBD"/>
    <w:rsid w:val="72E60F84"/>
    <w:rsid w:val="72FC4566"/>
    <w:rsid w:val="72FE08D4"/>
    <w:rsid w:val="731F44ED"/>
    <w:rsid w:val="731F693F"/>
    <w:rsid w:val="732E0930"/>
    <w:rsid w:val="733C7CBC"/>
    <w:rsid w:val="733D615B"/>
    <w:rsid w:val="73423B28"/>
    <w:rsid w:val="73426189"/>
    <w:rsid w:val="734560C7"/>
    <w:rsid w:val="734E74F2"/>
    <w:rsid w:val="7358775B"/>
    <w:rsid w:val="735C642B"/>
    <w:rsid w:val="73661D29"/>
    <w:rsid w:val="736C6E60"/>
    <w:rsid w:val="7377703D"/>
    <w:rsid w:val="73830C7C"/>
    <w:rsid w:val="738F0C1E"/>
    <w:rsid w:val="73AC728E"/>
    <w:rsid w:val="73B64E8E"/>
    <w:rsid w:val="73BF1C1B"/>
    <w:rsid w:val="73C073AE"/>
    <w:rsid w:val="73C848E1"/>
    <w:rsid w:val="73D019E7"/>
    <w:rsid w:val="73D07554"/>
    <w:rsid w:val="73D30A65"/>
    <w:rsid w:val="73DE38BE"/>
    <w:rsid w:val="73F63625"/>
    <w:rsid w:val="73F9363E"/>
    <w:rsid w:val="741422E5"/>
    <w:rsid w:val="7417325B"/>
    <w:rsid w:val="742D0BE7"/>
    <w:rsid w:val="742F4960"/>
    <w:rsid w:val="7440091B"/>
    <w:rsid w:val="74454183"/>
    <w:rsid w:val="7455755F"/>
    <w:rsid w:val="745732C1"/>
    <w:rsid w:val="74577B2E"/>
    <w:rsid w:val="74696AFD"/>
    <w:rsid w:val="74700D2D"/>
    <w:rsid w:val="7472566C"/>
    <w:rsid w:val="747D56CB"/>
    <w:rsid w:val="74A0585D"/>
    <w:rsid w:val="74B66E2F"/>
    <w:rsid w:val="74BC2C75"/>
    <w:rsid w:val="74CF1091"/>
    <w:rsid w:val="74F51705"/>
    <w:rsid w:val="75096F5F"/>
    <w:rsid w:val="750F475B"/>
    <w:rsid w:val="7550528A"/>
    <w:rsid w:val="75575526"/>
    <w:rsid w:val="75575F1C"/>
    <w:rsid w:val="755A0328"/>
    <w:rsid w:val="75970A0E"/>
    <w:rsid w:val="75A1188D"/>
    <w:rsid w:val="75B568B9"/>
    <w:rsid w:val="75BB1089"/>
    <w:rsid w:val="75BE0CA2"/>
    <w:rsid w:val="75CA71BC"/>
    <w:rsid w:val="75CB06B8"/>
    <w:rsid w:val="75EB48B6"/>
    <w:rsid w:val="761F19AE"/>
    <w:rsid w:val="76397D18"/>
    <w:rsid w:val="763F5F98"/>
    <w:rsid w:val="765F062E"/>
    <w:rsid w:val="766C1E9B"/>
    <w:rsid w:val="769431A0"/>
    <w:rsid w:val="769F2E02"/>
    <w:rsid w:val="76A41635"/>
    <w:rsid w:val="76B972B7"/>
    <w:rsid w:val="76CE6A0F"/>
    <w:rsid w:val="76DD68F5"/>
    <w:rsid w:val="76DF3902"/>
    <w:rsid w:val="76E6110B"/>
    <w:rsid w:val="76E92DAC"/>
    <w:rsid w:val="76F223A1"/>
    <w:rsid w:val="77185B7F"/>
    <w:rsid w:val="771A36A5"/>
    <w:rsid w:val="7722255A"/>
    <w:rsid w:val="772E53A2"/>
    <w:rsid w:val="77356731"/>
    <w:rsid w:val="774107C3"/>
    <w:rsid w:val="77471FC0"/>
    <w:rsid w:val="776B2153"/>
    <w:rsid w:val="7796350A"/>
    <w:rsid w:val="77B051FF"/>
    <w:rsid w:val="77C0716D"/>
    <w:rsid w:val="77C11D73"/>
    <w:rsid w:val="77E872FF"/>
    <w:rsid w:val="780954C8"/>
    <w:rsid w:val="78130758"/>
    <w:rsid w:val="781938BC"/>
    <w:rsid w:val="78201591"/>
    <w:rsid w:val="78306EF8"/>
    <w:rsid w:val="7849286E"/>
    <w:rsid w:val="785D6BB6"/>
    <w:rsid w:val="78755B61"/>
    <w:rsid w:val="78770683"/>
    <w:rsid w:val="787E0E5E"/>
    <w:rsid w:val="788A4022"/>
    <w:rsid w:val="7891280B"/>
    <w:rsid w:val="78AE679B"/>
    <w:rsid w:val="78B82845"/>
    <w:rsid w:val="78D438CB"/>
    <w:rsid w:val="790069BE"/>
    <w:rsid w:val="790939D1"/>
    <w:rsid w:val="792627D5"/>
    <w:rsid w:val="792C5912"/>
    <w:rsid w:val="79346574"/>
    <w:rsid w:val="793D6305"/>
    <w:rsid w:val="793E515D"/>
    <w:rsid w:val="79442C5B"/>
    <w:rsid w:val="795301B7"/>
    <w:rsid w:val="79597C6D"/>
    <w:rsid w:val="796B01E8"/>
    <w:rsid w:val="7982150D"/>
    <w:rsid w:val="79881353"/>
    <w:rsid w:val="799009BB"/>
    <w:rsid w:val="7998008B"/>
    <w:rsid w:val="79BE065D"/>
    <w:rsid w:val="79FC3D51"/>
    <w:rsid w:val="7A010B4C"/>
    <w:rsid w:val="7A030624"/>
    <w:rsid w:val="7A0B5527"/>
    <w:rsid w:val="7A4B21AB"/>
    <w:rsid w:val="7A54786A"/>
    <w:rsid w:val="7A5866FB"/>
    <w:rsid w:val="7A5C2227"/>
    <w:rsid w:val="7A662082"/>
    <w:rsid w:val="7A806C1C"/>
    <w:rsid w:val="7A8772A3"/>
    <w:rsid w:val="7A9427C2"/>
    <w:rsid w:val="7A990D85"/>
    <w:rsid w:val="7AA478B1"/>
    <w:rsid w:val="7AA91CB5"/>
    <w:rsid w:val="7AB160CE"/>
    <w:rsid w:val="7AB21E46"/>
    <w:rsid w:val="7AC509A5"/>
    <w:rsid w:val="7AC6354C"/>
    <w:rsid w:val="7AD047D5"/>
    <w:rsid w:val="7AEB4408"/>
    <w:rsid w:val="7AFB1A3F"/>
    <w:rsid w:val="7AFF7EAA"/>
    <w:rsid w:val="7B003AA8"/>
    <w:rsid w:val="7B02692A"/>
    <w:rsid w:val="7B242D44"/>
    <w:rsid w:val="7B3665D4"/>
    <w:rsid w:val="7B4E6378"/>
    <w:rsid w:val="7B58594F"/>
    <w:rsid w:val="7B6460E7"/>
    <w:rsid w:val="7B705F39"/>
    <w:rsid w:val="7B761586"/>
    <w:rsid w:val="7B7D2454"/>
    <w:rsid w:val="7B9C1FC8"/>
    <w:rsid w:val="7BAE6DE8"/>
    <w:rsid w:val="7BB153E0"/>
    <w:rsid w:val="7BB816DF"/>
    <w:rsid w:val="7BC25D04"/>
    <w:rsid w:val="7BC42D73"/>
    <w:rsid w:val="7BE329D6"/>
    <w:rsid w:val="7BF031A7"/>
    <w:rsid w:val="7C0D7D08"/>
    <w:rsid w:val="7C156807"/>
    <w:rsid w:val="7C191192"/>
    <w:rsid w:val="7C1C1C6D"/>
    <w:rsid w:val="7C1F175E"/>
    <w:rsid w:val="7C6B04FF"/>
    <w:rsid w:val="7C845960"/>
    <w:rsid w:val="7C852B79"/>
    <w:rsid w:val="7C9B1CE0"/>
    <w:rsid w:val="7CA103C5"/>
    <w:rsid w:val="7CAF571D"/>
    <w:rsid w:val="7CD56667"/>
    <w:rsid w:val="7CD645D7"/>
    <w:rsid w:val="7CDF44A7"/>
    <w:rsid w:val="7CE4330E"/>
    <w:rsid w:val="7CE56503"/>
    <w:rsid w:val="7CEB608A"/>
    <w:rsid w:val="7CEC5AE4"/>
    <w:rsid w:val="7CF57486"/>
    <w:rsid w:val="7CFB094E"/>
    <w:rsid w:val="7D063788"/>
    <w:rsid w:val="7D0F4948"/>
    <w:rsid w:val="7D150BC4"/>
    <w:rsid w:val="7D2E7EAA"/>
    <w:rsid w:val="7D4D58DA"/>
    <w:rsid w:val="7D4F1BCF"/>
    <w:rsid w:val="7D670E61"/>
    <w:rsid w:val="7D6C446E"/>
    <w:rsid w:val="7D891B27"/>
    <w:rsid w:val="7DBB1012"/>
    <w:rsid w:val="7E0724A9"/>
    <w:rsid w:val="7E186F16"/>
    <w:rsid w:val="7E19768C"/>
    <w:rsid w:val="7E1F77F3"/>
    <w:rsid w:val="7E265025"/>
    <w:rsid w:val="7E2C493A"/>
    <w:rsid w:val="7E311AE2"/>
    <w:rsid w:val="7E31580B"/>
    <w:rsid w:val="7E38140D"/>
    <w:rsid w:val="7E3C03A5"/>
    <w:rsid w:val="7E484650"/>
    <w:rsid w:val="7E4B683A"/>
    <w:rsid w:val="7E597CCB"/>
    <w:rsid w:val="7E635932"/>
    <w:rsid w:val="7E636137"/>
    <w:rsid w:val="7E7062A0"/>
    <w:rsid w:val="7E7C69F3"/>
    <w:rsid w:val="7E8104AE"/>
    <w:rsid w:val="7E88764A"/>
    <w:rsid w:val="7E9F038B"/>
    <w:rsid w:val="7EA63A70"/>
    <w:rsid w:val="7ECB1729"/>
    <w:rsid w:val="7EE50AF1"/>
    <w:rsid w:val="7EE54546"/>
    <w:rsid w:val="7EEB73D9"/>
    <w:rsid w:val="7EF10E29"/>
    <w:rsid w:val="7EF4090B"/>
    <w:rsid w:val="7EF742CC"/>
    <w:rsid w:val="7EFB5E1A"/>
    <w:rsid w:val="7F052D52"/>
    <w:rsid w:val="7F0E0FB6"/>
    <w:rsid w:val="7F0F5AB9"/>
    <w:rsid w:val="7F111899"/>
    <w:rsid w:val="7F17671C"/>
    <w:rsid w:val="7F3223C0"/>
    <w:rsid w:val="7F3C2D89"/>
    <w:rsid w:val="7F4F235A"/>
    <w:rsid w:val="7F5923A2"/>
    <w:rsid w:val="7F645E05"/>
    <w:rsid w:val="7F69367F"/>
    <w:rsid w:val="7F7122D0"/>
    <w:rsid w:val="7F772716"/>
    <w:rsid w:val="7F875EF4"/>
    <w:rsid w:val="7F9A4E54"/>
    <w:rsid w:val="7FB671DB"/>
    <w:rsid w:val="7FB861B4"/>
    <w:rsid w:val="7FC136F1"/>
    <w:rsid w:val="7FDE4F57"/>
    <w:rsid w:val="7FDF723A"/>
    <w:rsid w:val="7FE27113"/>
    <w:rsid w:val="7FE62D4C"/>
    <w:rsid w:val="7FF779EE"/>
    <w:rsid w:val="7FF9091F"/>
    <w:rsid w:val="7FFF2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Theme="minorEastAsia" w:cstheme="minorBidi"/>
      <w:kern w:val="2"/>
      <w:sz w:val="24"/>
      <w:szCs w:val="24"/>
      <w:lang w:val="en-US" w:eastAsia="zh-CN" w:bidi="ar-SA"/>
    </w:rPr>
  </w:style>
  <w:style w:type="paragraph" w:styleId="2">
    <w:name w:val="heading 1"/>
    <w:basedOn w:val="3"/>
    <w:next w:val="1"/>
    <w:link w:val="22"/>
    <w:autoRedefine/>
    <w:qFormat/>
    <w:uiPriority w:val="0"/>
    <w:pPr>
      <w:keepNext/>
      <w:keepLines/>
      <w:spacing w:beforeLines="0" w:beforeAutospacing="0" w:afterLines="0" w:afterAutospacing="0" w:line="576" w:lineRule="auto"/>
      <w:jc w:val="center"/>
      <w:outlineLvl w:val="0"/>
    </w:pPr>
    <w:rPr>
      <w:rFonts w:asciiTheme="minorAscii" w:hAnsiTheme="minorAscii" w:eastAsiaTheme="minorEastAsia"/>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b/>
      <w:sz w:val="30"/>
    </w:rPr>
  </w:style>
  <w:style w:type="character" w:default="1" w:styleId="12">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qFormat/>
    <w:uiPriority w:val="0"/>
    <w:pPr>
      <w:spacing w:after="120"/>
    </w:pPr>
  </w:style>
  <w:style w:type="paragraph" w:styleId="6">
    <w:name w:val="footer"/>
    <w:basedOn w:val="1"/>
    <w:autoRedefine/>
    <w:qFormat/>
    <w:uiPriority w:val="99"/>
    <w:pPr>
      <w:tabs>
        <w:tab w:val="center" w:pos="4153"/>
        <w:tab w:val="right" w:pos="8306"/>
      </w:tabs>
      <w:snapToGrid w:val="0"/>
      <w:jc w:val="left"/>
    </w:pPr>
    <w:rPr>
      <w:rFonts w:cs="Times New Roman"/>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0"/>
    <w:rPr>
      <w:rFonts w:ascii="Times New Roman" w:hAnsi="Times New Roman" w:eastAsia="宋体"/>
    </w:rPr>
  </w:style>
  <w:style w:type="paragraph" w:styleId="9">
    <w:name w:val="toc 2"/>
    <w:basedOn w:val="1"/>
    <w:next w:val="1"/>
    <w:autoRedefine/>
    <w:qFormat/>
    <w:uiPriority w:val="0"/>
    <w:pPr>
      <w:ind w:left="420" w:leftChars="200"/>
    </w:pPr>
    <w:rPr>
      <w:rFonts w:ascii="Times New Roman" w:hAnsi="Times New Roman"/>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Emphasis"/>
    <w:basedOn w:val="12"/>
    <w:qFormat/>
    <w:uiPriority w:val="0"/>
    <w:rPr>
      <w:i/>
    </w:rPr>
  </w:style>
  <w:style w:type="character" w:styleId="15">
    <w:name w:val="Hyperlink"/>
    <w:qFormat/>
    <w:uiPriority w:val="99"/>
    <w:rPr>
      <w:color w:val="0066CC"/>
      <w:u w:val="none"/>
    </w:rPr>
  </w:style>
  <w:style w:type="paragraph" w:customStyle="1" w:styleId="16">
    <w:name w:val="Body text|1"/>
    <w:basedOn w:val="1"/>
    <w:autoRedefine/>
    <w:qFormat/>
    <w:uiPriority w:val="0"/>
    <w:pPr>
      <w:widowControl w:val="0"/>
      <w:shd w:val="clear" w:color="auto" w:fill="auto"/>
      <w:spacing w:line="329" w:lineRule="auto"/>
      <w:ind w:firstLine="400"/>
    </w:pPr>
    <w:rPr>
      <w:rFonts w:ascii="宋体" w:hAnsi="宋体" w:eastAsia="宋体" w:cs="宋体"/>
      <w:sz w:val="20"/>
      <w:szCs w:val="20"/>
      <w:u w:val="none"/>
      <w:shd w:val="clear" w:color="auto" w:fill="auto"/>
      <w:lang w:val="zh-TW" w:eastAsia="zh-TW" w:bidi="zh-TW"/>
    </w:rPr>
  </w:style>
  <w:style w:type="paragraph" w:customStyle="1" w:styleId="17">
    <w:name w:val="Header or footer|1"/>
    <w:basedOn w:val="1"/>
    <w:autoRedefine/>
    <w:qFormat/>
    <w:uiPriority w:val="0"/>
    <w:pPr>
      <w:widowControl w:val="0"/>
      <w:shd w:val="clear" w:color="auto" w:fill="auto"/>
    </w:pPr>
    <w:rPr>
      <w:i/>
      <w:iCs/>
      <w:sz w:val="20"/>
      <w:szCs w:val="20"/>
      <w:u w:val="none"/>
      <w:shd w:val="clear" w:color="auto" w:fill="auto"/>
      <w:lang w:val="zh-TW" w:eastAsia="zh-TW" w:bidi="zh-TW"/>
    </w:rPr>
  </w:style>
  <w:style w:type="paragraph" w:customStyle="1" w:styleId="18">
    <w:name w:val="Other|1"/>
    <w:basedOn w:val="1"/>
    <w:autoRedefine/>
    <w:qFormat/>
    <w:uiPriority w:val="0"/>
    <w:pPr>
      <w:widowControl w:val="0"/>
      <w:shd w:val="clear" w:color="auto" w:fill="auto"/>
      <w:spacing w:line="336" w:lineRule="auto"/>
      <w:ind w:firstLine="400"/>
    </w:pPr>
    <w:rPr>
      <w:rFonts w:ascii="宋体" w:hAnsi="宋体" w:eastAsia="宋体" w:cs="宋体"/>
      <w:sz w:val="30"/>
      <w:szCs w:val="30"/>
      <w:u w:val="none"/>
      <w:shd w:val="clear" w:color="auto" w:fill="auto"/>
      <w:lang w:val="zh-TW" w:eastAsia="zh-TW" w:bidi="zh-TW"/>
    </w:rPr>
  </w:style>
  <w:style w:type="paragraph" w:customStyle="1" w:styleId="19">
    <w:name w:val="Table caption|1"/>
    <w:basedOn w:val="1"/>
    <w:autoRedefine/>
    <w:qFormat/>
    <w:uiPriority w:val="0"/>
    <w:pPr>
      <w:widowControl w:val="0"/>
      <w:shd w:val="clear" w:color="auto" w:fill="auto"/>
    </w:pPr>
    <w:rPr>
      <w:rFonts w:ascii="宋体" w:hAnsi="宋体" w:eastAsia="宋体" w:cs="宋体"/>
      <w:b/>
      <w:bCs/>
      <w:sz w:val="26"/>
      <w:szCs w:val="26"/>
      <w:u w:val="none"/>
      <w:shd w:val="clear" w:color="auto" w:fill="auto"/>
      <w:lang w:val="zh-TW" w:eastAsia="zh-TW" w:bidi="zh-TW"/>
    </w:rPr>
  </w:style>
  <w:style w:type="paragraph" w:customStyle="1" w:styleId="20">
    <w:name w:val="WPSOffice手动目录 1"/>
    <w:autoRedefine/>
    <w:qFormat/>
    <w:uiPriority w:val="0"/>
    <w:pPr>
      <w:ind w:leftChars="0"/>
    </w:pPr>
    <w:rPr>
      <w:rFonts w:ascii="Times New Roman" w:hAnsi="Times New Roman" w:eastAsia="Times New Roman" w:cs="Times New Roman"/>
      <w:sz w:val="20"/>
      <w:szCs w:val="20"/>
    </w:rPr>
  </w:style>
  <w:style w:type="paragraph" w:customStyle="1" w:styleId="21">
    <w:name w:val="WPSOffice手动目录 2"/>
    <w:autoRedefine/>
    <w:qFormat/>
    <w:uiPriority w:val="0"/>
    <w:pPr>
      <w:ind w:leftChars="200"/>
    </w:pPr>
    <w:rPr>
      <w:rFonts w:ascii="Times New Roman" w:hAnsi="Times New Roman" w:eastAsia="Times New Roman" w:cs="Times New Roman"/>
      <w:sz w:val="20"/>
      <w:szCs w:val="20"/>
    </w:rPr>
  </w:style>
  <w:style w:type="character" w:customStyle="1" w:styleId="22">
    <w:name w:val="标题 1 字符"/>
    <w:link w:val="2"/>
    <w:autoRedefine/>
    <w:qFormat/>
    <w:uiPriority w:val="0"/>
    <w:rPr>
      <w:rFonts w:asciiTheme="minorAscii" w:hAnsiTheme="minorAscii" w:eastAsiaTheme="minorEastAsia"/>
      <w:b/>
      <w:kern w:val="44"/>
      <w:sz w:val="32"/>
    </w:rPr>
  </w:style>
  <w:style w:type="paragraph" w:customStyle="1" w:styleId="23">
    <w:name w:val="封面"/>
    <w:qFormat/>
    <w:uiPriority w:val="0"/>
    <w:pPr>
      <w:jc w:val="center"/>
    </w:pPr>
    <w:rPr>
      <w:rFonts w:ascii="Times New Roman" w:hAnsi="Times New Roman" w:eastAsia="宋体" w:cs="Times New Roman"/>
      <w:b/>
      <w:kern w:val="2"/>
      <w:sz w:val="36"/>
      <w:szCs w:val="36"/>
      <w:lang w:val="en-US" w:eastAsia="zh-CN" w:bidi="ar-SA"/>
    </w:rPr>
  </w:style>
  <w:style w:type="paragraph" w:styleId="24">
    <w:name w:val="No Spacing"/>
    <w:qFormat/>
    <w:uiPriority w:val="1"/>
    <w:pPr>
      <w:widowControl w:val="0"/>
      <w:spacing w:line="360" w:lineRule="auto"/>
      <w:jc w:val="center"/>
    </w:pPr>
    <w:rPr>
      <w:rFonts w:ascii="Times New Roman" w:hAnsi="Times New Roman" w:eastAsia="宋体" w:cs="Times New Roman"/>
      <w:kern w:val="2"/>
      <w:sz w:val="21"/>
      <w:szCs w:val="32"/>
      <w:lang w:val="en-US" w:eastAsia="zh-CN" w:bidi="ar-SA"/>
    </w:rPr>
  </w:style>
  <w:style w:type="paragraph" w:customStyle="1" w:styleId="25">
    <w:name w:val="不显示标题"/>
    <w:next w:val="1"/>
    <w:qFormat/>
    <w:uiPriority w:val="0"/>
    <w:pPr>
      <w:spacing w:before="100" w:beforeAutospacing="1" w:after="100" w:afterAutospacing="1" w:line="360" w:lineRule="auto"/>
      <w:jc w:val="center"/>
    </w:pPr>
    <w:rPr>
      <w:rFonts w:ascii="Times New Roman" w:hAnsi="Times New Roman" w:eastAsia="黑体" w:cs="Times New Roman"/>
      <w:b/>
      <w:kern w:val="2"/>
      <w:sz w:val="28"/>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jpeg"/><Relationship Id="rId26" Type="http://schemas.openxmlformats.org/officeDocument/2006/relationships/image" Target="media/image16.jpeg"/><Relationship Id="rId25" Type="http://schemas.openxmlformats.org/officeDocument/2006/relationships/image" Target="media/image15.jpeg"/><Relationship Id="rId24" Type="http://schemas.openxmlformats.org/officeDocument/2006/relationships/image" Target="media/image14.png"/><Relationship Id="rId23" Type="http://schemas.openxmlformats.org/officeDocument/2006/relationships/image" Target="media/image13.emf"/><Relationship Id="rId22" Type="http://schemas.openxmlformats.org/officeDocument/2006/relationships/oleObject" Target="embeddings/oleObject1.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3990</Words>
  <Characters>5678</Characters>
  <Lines>0</Lines>
  <Paragraphs>0</Paragraphs>
  <TotalTime>21</TotalTime>
  <ScaleCrop>false</ScaleCrop>
  <LinksUpToDate>false</LinksUpToDate>
  <CharactersWithSpaces>6430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2021-01-11T02:23:00Z</dcterms:created>
  <dc:creator>86188</dc:creator>
  <cp:lastModifiedBy>Cong</cp:lastModifiedBy>
  <cp:lastPrinted>2024-09-30T08:30:00Z</cp:lastPrinted>
  <dcterms:modified xsi:type="dcterms:W3CDTF">2024-11-11T03:01:26Z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25C62D0834484A81B04275C0300A79B9_13</vt:lpwstr>
  </property>
</Properties>
</file>