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D5CCE">
      <w:pPr>
        <w:ind w:firstLine="1320" w:firstLineChars="300"/>
        <w:rPr>
          <w:rFonts w:eastAsia="MS Gothic"/>
          <w:b/>
          <w:color w:val="auto"/>
          <w:sz w:val="84"/>
          <w:szCs w:val="84"/>
          <w:highlight w:val="none"/>
        </w:rPr>
      </w:pPr>
      <w:r>
        <w:rPr>
          <w:rFonts w:hint="eastAsia" w:eastAsia="黑体" w:cs="Microsoft JhengHei"/>
          <w:color w:val="auto"/>
          <w:sz w:val="44"/>
          <w:szCs w:val="44"/>
          <w:highlight w:val="none"/>
          <w:lang w:val="en-US" w:eastAsia="zh-CN"/>
        </w:rPr>
        <w:t xml:space="preserve"> </w:t>
      </w:r>
      <w:r>
        <w:rPr>
          <w:rFonts w:eastAsia="黑体"/>
          <w:color w:val="auto"/>
          <w:spacing w:val="28"/>
          <w:sz w:val="48"/>
          <w:szCs w:val="48"/>
          <w:highlight w:val="none"/>
        </w:rPr>
        <w:t>广东省标准</w:t>
      </w:r>
    </w:p>
    <w:p w14:paraId="7B94CC2C">
      <w:pPr>
        <w:rPr>
          <w:color w:val="auto"/>
          <w:highlight w:val="none"/>
        </w:rPr>
      </w:pPr>
    </w:p>
    <w:p w14:paraId="7DE6DDB4">
      <w:pPr>
        <w:spacing w:line="400" w:lineRule="exact"/>
        <w:jc w:val="right"/>
        <w:rPr>
          <w:color w:val="auto"/>
          <w:spacing w:val="17"/>
          <w:sz w:val="30"/>
          <w:szCs w:val="30"/>
          <w:highlight w:val="none"/>
        </w:rPr>
      </w:pPr>
      <w:r>
        <w:rPr>
          <w:rFonts w:ascii="Times New Roman" w:hAnsi="Times New Roman"/>
          <w:color w:val="auto"/>
          <w:spacing w:val="23"/>
          <w:sz w:val="30"/>
          <w:szCs w:val="30"/>
          <w:highlight w:val="none"/>
        </w:rPr>
        <w:t>DB</w:t>
      </w:r>
      <w:r>
        <w:rPr>
          <w:rFonts w:hint="eastAsia" w:ascii="Times New Roman" w:hAnsi="Times New Roman"/>
          <w:color w:val="auto"/>
          <w:spacing w:val="23"/>
          <w:sz w:val="30"/>
          <w:szCs w:val="30"/>
          <w:highlight w:val="none"/>
          <w:lang w:val="en-US" w:eastAsia="zh-CN"/>
        </w:rPr>
        <w:t>J/T xx-xxx-xxx</w:t>
      </w:r>
    </w:p>
    <w:p w14:paraId="00529B53">
      <w:pPr>
        <w:wordWrap w:val="0"/>
        <w:spacing w:line="400" w:lineRule="exact"/>
        <w:jc w:val="right"/>
        <w:rPr>
          <w:rFonts w:hint="eastAsia" w:eastAsia="黑体"/>
          <w:color w:val="auto"/>
          <w:sz w:val="28"/>
          <w:szCs w:val="28"/>
          <w:highlight w:val="none"/>
          <w:lang w:val="en-US" w:eastAsia="zh-CN"/>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0" r="19050" b="34290"/>
                <wp:wrapNone/>
                <wp:docPr id="17"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tsWknUAAAABwEAAA8AAAAAAAAAAQAgAAAAIgAAAGRycy9kb3ducmV2LnhtbFBLAQIUABQAAAAI&#10;AIdO4kBtsCOx8QEAALkDAAAOAAAAAAAAAAEAIAAAACMBAABkcnMvZTJvRG9jLnhtbFBLBQYAAAAA&#10;BgAGAFkBAACGBQAAAAA=&#10;">
                <v:fill on="f" focussize="0,0"/>
                <v:stroke color="#000000" joinstyle="round"/>
                <v:imagedata o:title=""/>
                <o:lock v:ext="edit" aspectratio="f"/>
              </v:line>
            </w:pict>
          </mc:Fallback>
        </mc:AlternateContent>
      </w:r>
      <w:r>
        <w:rPr>
          <w:rFonts w:hint="eastAsia" w:ascii="黑体" w:hAnsi="黑体" w:eastAsia="黑体"/>
          <w:color w:val="auto"/>
          <w:sz w:val="28"/>
          <w:szCs w:val="28"/>
          <w:highlight w:val="none"/>
        </w:rPr>
        <w:t>备案号</w:t>
      </w:r>
      <w:r>
        <w:rPr>
          <w:rFonts w:hint="eastAsia" w:ascii="Times New Roman" w:hAnsi="Times New Roman"/>
          <w:color w:val="auto"/>
          <w:spacing w:val="23"/>
          <w:sz w:val="30"/>
          <w:szCs w:val="30"/>
          <w:highlight w:val="none"/>
          <w:lang w:val="en-US" w:eastAsia="zh-CN"/>
        </w:rPr>
        <w:t>x xxxxx-xxxxx</w:t>
      </w:r>
    </w:p>
    <w:p w14:paraId="6AE59DDD">
      <w:pPr>
        <w:jc w:val="center"/>
        <w:rPr>
          <w:rFonts w:ascii="宋体" w:hAnsi="宋体"/>
          <w:b/>
          <w:color w:val="auto"/>
          <w:sz w:val="48"/>
          <w:szCs w:val="48"/>
          <w:highlight w:val="none"/>
        </w:rPr>
      </w:pPr>
    </w:p>
    <w:p w14:paraId="298CA9D5">
      <w:pPr>
        <w:jc w:val="center"/>
        <w:outlineLvl w:val="0"/>
        <w:rPr>
          <w:rFonts w:ascii="宋体" w:hAnsi="宋体"/>
          <w:b/>
          <w:color w:val="auto"/>
          <w:sz w:val="48"/>
          <w:szCs w:val="48"/>
          <w:highlight w:val="none"/>
        </w:rPr>
      </w:pPr>
    </w:p>
    <w:p w14:paraId="12F6C564">
      <w:pPr>
        <w:jc w:val="center"/>
        <w:rPr>
          <w:rFonts w:hint="eastAsia" w:ascii="方正小标宋简体" w:hAnsi="方正小标宋简体" w:eastAsia="方正小标宋简体" w:cs="方正小标宋简体"/>
          <w:bCs/>
          <w:color w:val="auto"/>
          <w:sz w:val="48"/>
          <w:szCs w:val="48"/>
          <w:highlight w:val="none"/>
          <w:lang w:eastAsia="zh-CN"/>
        </w:rPr>
      </w:pPr>
      <w:r>
        <w:rPr>
          <w:rFonts w:hint="eastAsia" w:ascii="方正小标宋简体" w:hAnsi="方正小标宋简体" w:eastAsia="方正小标宋简体" w:cs="方正小标宋简体"/>
          <w:bCs/>
          <w:color w:val="auto"/>
          <w:sz w:val="48"/>
          <w:szCs w:val="48"/>
          <w:highlight w:val="none"/>
        </w:rPr>
        <w:t>住宅工程质量分户验收</w:t>
      </w:r>
      <w:r>
        <w:rPr>
          <w:rFonts w:hint="eastAsia" w:ascii="方正小标宋简体" w:hAnsi="方正小标宋简体" w:eastAsia="方正小标宋简体" w:cs="方正小标宋简体"/>
          <w:bCs/>
          <w:color w:val="auto"/>
          <w:sz w:val="48"/>
          <w:szCs w:val="48"/>
          <w:highlight w:val="none"/>
          <w:lang w:val="en-US" w:eastAsia="zh-CN"/>
        </w:rPr>
        <w:t>标准</w:t>
      </w:r>
    </w:p>
    <w:p w14:paraId="2C9A860B">
      <w:pPr>
        <w:jc w:val="center"/>
        <w:rPr>
          <w:bCs/>
          <w:color w:val="auto"/>
          <w:sz w:val="28"/>
          <w:szCs w:val="28"/>
          <w:highlight w:val="none"/>
        </w:rPr>
      </w:pPr>
    </w:p>
    <w:p w14:paraId="3D69D784">
      <w:pPr>
        <w:jc w:val="center"/>
        <w:rPr>
          <w:bCs/>
          <w:color w:val="auto"/>
          <w:sz w:val="28"/>
          <w:szCs w:val="28"/>
          <w:highlight w:val="none"/>
        </w:rPr>
      </w:pPr>
      <w:r>
        <w:rPr>
          <w:rFonts w:hint="eastAsia"/>
          <w:bCs/>
          <w:color w:val="auto"/>
          <w:sz w:val="28"/>
          <w:szCs w:val="28"/>
          <w:highlight w:val="none"/>
          <w:lang w:val="en-US" w:eastAsia="zh-CN"/>
        </w:rPr>
        <w:t>Standard for household quality inspection of residential projects</w:t>
      </w:r>
    </w:p>
    <w:p w14:paraId="649B2953">
      <w:pPr>
        <w:jc w:val="center"/>
        <w:rPr>
          <w:rFonts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征求意见</w:t>
      </w:r>
      <w:r>
        <w:rPr>
          <w:rFonts w:hint="eastAsia" w:ascii="宋体" w:hAnsi="宋体" w:eastAsia="宋体" w:cs="宋体"/>
          <w:bCs/>
          <w:color w:val="auto"/>
          <w:sz w:val="30"/>
          <w:szCs w:val="30"/>
          <w:highlight w:val="none"/>
        </w:rPr>
        <w:t>稿）</w:t>
      </w:r>
    </w:p>
    <w:p w14:paraId="08156EAC">
      <w:pPr>
        <w:rPr>
          <w:color w:val="auto"/>
          <w:highlight w:val="none"/>
        </w:rPr>
      </w:pPr>
    </w:p>
    <w:p w14:paraId="78A7F741">
      <w:pPr>
        <w:rPr>
          <w:color w:val="auto"/>
          <w:highlight w:val="none"/>
        </w:rPr>
      </w:pPr>
    </w:p>
    <w:p w14:paraId="599409D2">
      <w:pPr>
        <w:rPr>
          <w:color w:val="auto"/>
          <w:highlight w:val="none"/>
        </w:rPr>
      </w:pPr>
    </w:p>
    <w:p w14:paraId="0019C44D">
      <w:pPr>
        <w:rPr>
          <w:rFonts w:hint="eastAsia" w:eastAsiaTheme="minorEastAsia"/>
          <w:color w:val="auto"/>
          <w:highlight w:val="none"/>
          <w:lang w:val="en-US" w:eastAsia="zh-CN"/>
        </w:rPr>
      </w:pPr>
      <w:r>
        <w:rPr>
          <w:rFonts w:hint="eastAsia"/>
          <w:color w:val="auto"/>
          <w:highlight w:val="none"/>
          <w:lang w:val="en-US" w:eastAsia="zh-CN"/>
        </w:rPr>
        <w:t xml:space="preserve"> </w:t>
      </w:r>
    </w:p>
    <w:p w14:paraId="2A805C78">
      <w:pPr>
        <w:rPr>
          <w:color w:val="auto"/>
          <w:highlight w:val="none"/>
        </w:rPr>
      </w:pPr>
    </w:p>
    <w:p w14:paraId="2B331F54">
      <w:pPr>
        <w:rPr>
          <w:color w:val="auto"/>
          <w:highlight w:val="none"/>
        </w:rPr>
      </w:pPr>
    </w:p>
    <w:p w14:paraId="76785376">
      <w:pPr>
        <w:rPr>
          <w:color w:val="auto"/>
          <w:highlight w:val="none"/>
        </w:rPr>
      </w:pPr>
    </w:p>
    <w:p w14:paraId="5FEEAD00">
      <w:pPr>
        <w:rPr>
          <w:color w:val="auto"/>
          <w:highlight w:val="none"/>
        </w:rPr>
      </w:pPr>
    </w:p>
    <w:p w14:paraId="76D58CE0">
      <w:pPr>
        <w:rPr>
          <w:color w:val="auto"/>
          <w:highlight w:val="none"/>
        </w:rPr>
      </w:pPr>
    </w:p>
    <w:p w14:paraId="40FE9850">
      <w:pPr>
        <w:rPr>
          <w:color w:val="auto"/>
          <w:highlight w:val="none"/>
        </w:rPr>
      </w:pPr>
    </w:p>
    <w:p w14:paraId="52F0B339">
      <w:pPr>
        <w:rPr>
          <w:color w:val="auto"/>
          <w:highlight w:val="none"/>
        </w:rPr>
      </w:pPr>
    </w:p>
    <w:p w14:paraId="4252895E">
      <w:pPr>
        <w:rPr>
          <w:color w:val="auto"/>
          <w:highlight w:val="none"/>
        </w:rPr>
      </w:pPr>
    </w:p>
    <w:p w14:paraId="6309EEC5">
      <w:pPr>
        <w:rPr>
          <w:color w:val="auto"/>
          <w:highlight w:val="none"/>
        </w:rPr>
      </w:pPr>
    </w:p>
    <w:p w14:paraId="16030C94">
      <w:pPr>
        <w:rPr>
          <w:rFonts w:eastAsia="黑体"/>
          <w:color w:val="auto"/>
          <w:sz w:val="28"/>
          <w:szCs w:val="28"/>
          <w:highlight w:val="none"/>
        </w:rPr>
      </w:pPr>
      <w:r>
        <w:rPr>
          <w:rFonts w:eastAsia="黑体"/>
          <w:color w:val="auto"/>
          <w:sz w:val="28"/>
          <w:szCs w:val="28"/>
          <w:highlight w:val="none"/>
        </w:rPr>
        <w:t>20</w:t>
      </w:r>
      <w:r>
        <w:rPr>
          <w:rFonts w:hint="eastAsia" w:ascii="黑体" w:hAnsi="黑体"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 xml:space="preserve"> 发布              20</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 xml:space="preserve">××  </w:t>
      </w:r>
      <w:r>
        <w:rPr>
          <w:rFonts w:eastAsia="黑体"/>
          <w:color w:val="auto"/>
          <w:sz w:val="28"/>
          <w:szCs w:val="28"/>
          <w:highlight w:val="none"/>
        </w:rPr>
        <w:t>实施</w:t>
      </w:r>
    </w:p>
    <w:p w14:paraId="701F357F">
      <w:pPr>
        <w:tabs>
          <w:tab w:val="left" w:pos="8235"/>
        </w:tabs>
        <w:rPr>
          <w:rFonts w:eastAsia="黑体"/>
          <w:b/>
          <w:color w:val="auto"/>
          <w:sz w:val="28"/>
          <w:szCs w:val="28"/>
          <w:highlight w:val="none"/>
        </w:rPr>
      </w:pPr>
      <w:r>
        <w:rPr>
          <w:rFonts w:eastAsia="黑体"/>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0" r="19050" b="30480"/>
                <wp:wrapNone/>
                <wp:docPr id="14"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NKKr7SAAAA&#10;BQEAAA8AAAAAAAAAAQAgAAAAIgAAAGRycy9kb3ducmV2LnhtbFBLAQIUABQAAAAIAIdO4kCqjsII&#10;6gEAAK8DAAAOAAAAAAAAAAEAIAAAACEBAABkcnMvZTJvRG9jLnhtbFBLBQYAAAAABgAGAFkBAAB9&#10;BQAAAAA=&#10;">
                <v:fill on="f" focussize="0,0"/>
                <v:stroke color="#000000" joinstyle="round"/>
                <v:imagedata o:title=""/>
                <o:lock v:ext="edit" aspectratio="f"/>
              </v:line>
            </w:pict>
          </mc:Fallback>
        </mc:AlternateContent>
      </w:r>
      <w:r>
        <w:rPr>
          <w:rFonts w:eastAsia="黑体"/>
          <w:b/>
          <w:color w:val="auto"/>
          <w:sz w:val="28"/>
          <w:szCs w:val="28"/>
          <w:highlight w:val="none"/>
        </w:rPr>
        <w:tab/>
      </w:r>
    </w:p>
    <w:p w14:paraId="0C41A384">
      <w:pPr>
        <w:jc w:val="center"/>
        <w:rPr>
          <w:rFonts w:eastAsia="黑体"/>
          <w:color w:val="auto"/>
          <w:spacing w:val="20"/>
          <w:sz w:val="32"/>
          <w:szCs w:val="32"/>
          <w:highlight w:val="none"/>
        </w:rPr>
      </w:pPr>
      <w:r>
        <w:rPr>
          <w:rFonts w:eastAsia="黑体"/>
          <w:color w:val="auto"/>
          <w:sz w:val="32"/>
          <w:szCs w:val="32"/>
          <w:highlight w:val="none"/>
        </w:rPr>
        <w:t>广东省住房和城乡建设厅</w:t>
      </w:r>
      <w:r>
        <w:rPr>
          <w:rFonts w:hint="eastAsia" w:eastAsia="黑体"/>
          <w:color w:val="auto"/>
          <w:sz w:val="32"/>
          <w:szCs w:val="32"/>
          <w:highlight w:val="none"/>
        </w:rPr>
        <w:t xml:space="preserve">   </w:t>
      </w:r>
      <w:r>
        <w:rPr>
          <w:rFonts w:eastAsia="黑体"/>
          <w:color w:val="auto"/>
          <w:spacing w:val="20"/>
          <w:sz w:val="32"/>
          <w:szCs w:val="32"/>
          <w:highlight w:val="none"/>
        </w:rPr>
        <w:t>发布</w:t>
      </w:r>
    </w:p>
    <w:p w14:paraId="7F592C5A">
      <w:pPr>
        <w:jc w:val="center"/>
        <w:rPr>
          <w:rFonts w:eastAsia="黑体"/>
          <w:color w:val="auto"/>
          <w:spacing w:val="20"/>
          <w:sz w:val="32"/>
          <w:szCs w:val="32"/>
          <w:highlight w:val="none"/>
        </w:rPr>
      </w:pPr>
    </w:p>
    <w:p w14:paraId="0D855D77">
      <w:pPr>
        <w:jc w:val="center"/>
        <w:rPr>
          <w:rFonts w:eastAsia="黑体"/>
          <w:color w:val="auto"/>
          <w:spacing w:val="20"/>
          <w:sz w:val="32"/>
          <w:szCs w:val="32"/>
          <w:highlight w:val="none"/>
        </w:rPr>
      </w:pPr>
    </w:p>
    <w:p w14:paraId="5D172EFB">
      <w:pPr>
        <w:jc w:val="center"/>
        <w:rPr>
          <w:rFonts w:eastAsia="黑体"/>
          <w:color w:val="auto"/>
          <w:spacing w:val="20"/>
          <w:sz w:val="32"/>
          <w:szCs w:val="32"/>
          <w:highlight w:val="none"/>
        </w:rPr>
      </w:pPr>
    </w:p>
    <w:p w14:paraId="24F9AFE3">
      <w:pPr>
        <w:jc w:val="center"/>
        <w:rPr>
          <w:rFonts w:eastAsia="黑体"/>
          <w:color w:val="auto"/>
          <w:spacing w:val="20"/>
          <w:sz w:val="32"/>
          <w:szCs w:val="32"/>
          <w:highlight w:val="none"/>
        </w:rPr>
      </w:pPr>
    </w:p>
    <w:p w14:paraId="18542E6C">
      <w:pPr>
        <w:jc w:val="center"/>
        <w:rPr>
          <w:rFonts w:ascii="宋体" w:hAnsi="宋体" w:eastAsia="宋体" w:cs="宋体"/>
          <w:b/>
          <w:color w:val="auto"/>
          <w:sz w:val="18"/>
          <w:szCs w:val="18"/>
          <w:highlight w:val="none"/>
        </w:rPr>
      </w:pPr>
    </w:p>
    <w:p w14:paraId="2AE5033B">
      <w:pPr>
        <w:jc w:val="center"/>
        <w:rPr>
          <w:rFonts w:ascii="宋体" w:hAnsi="宋体" w:eastAsia="宋体" w:cs="宋体"/>
          <w:b/>
          <w:color w:val="auto"/>
          <w:sz w:val="18"/>
          <w:szCs w:val="18"/>
          <w:highlight w:val="none"/>
        </w:rPr>
      </w:pPr>
    </w:p>
    <w:p w14:paraId="230554CB">
      <w:pPr>
        <w:jc w:val="center"/>
        <w:rPr>
          <w:rFonts w:ascii="宋体" w:hAnsi="宋体" w:eastAsia="宋体" w:cs="宋体"/>
          <w:b/>
          <w:color w:val="auto"/>
          <w:sz w:val="18"/>
          <w:szCs w:val="18"/>
          <w:highlight w:val="none"/>
        </w:rPr>
      </w:pPr>
    </w:p>
    <w:p w14:paraId="1017B053">
      <w:pPr>
        <w:jc w:val="center"/>
        <w:rPr>
          <w:rFonts w:ascii="宋体" w:hAnsi="宋体" w:eastAsia="宋体" w:cs="宋体"/>
          <w:b/>
          <w:color w:val="auto"/>
          <w:sz w:val="18"/>
          <w:szCs w:val="18"/>
          <w:highlight w:val="none"/>
        </w:rPr>
      </w:pPr>
    </w:p>
    <w:p w14:paraId="2BF8FB09">
      <w:pPr>
        <w:jc w:val="center"/>
        <w:rPr>
          <w:rFonts w:ascii="宋体" w:hAnsi="宋体" w:eastAsia="宋体" w:cs="宋体"/>
          <w:b/>
          <w:color w:val="auto"/>
          <w:sz w:val="18"/>
          <w:szCs w:val="18"/>
          <w:highlight w:val="none"/>
        </w:rPr>
      </w:pPr>
    </w:p>
    <w:p w14:paraId="0BE3D855">
      <w:pPr>
        <w:jc w:val="center"/>
        <w:rPr>
          <w:rFonts w:ascii="宋体" w:hAnsi="宋体" w:eastAsia="宋体" w:cs="宋体"/>
          <w:b/>
          <w:color w:val="auto"/>
          <w:sz w:val="18"/>
          <w:szCs w:val="18"/>
          <w:highlight w:val="none"/>
        </w:rPr>
      </w:pPr>
      <w:r>
        <w:rPr>
          <w:rFonts w:ascii="宋体" w:hAnsi="宋体" w:eastAsia="宋体" w:cs="宋体"/>
          <w:b/>
          <w:color w:val="auto"/>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4431030</wp:posOffset>
                </wp:positionH>
                <wp:positionV relativeFrom="paragraph">
                  <wp:posOffset>21590</wp:posOffset>
                </wp:positionV>
                <wp:extent cx="1285875" cy="252095"/>
                <wp:effectExtent l="0" t="0" r="28575" b="15240"/>
                <wp:wrapNone/>
                <wp:docPr id="19" name="文本框 19"/>
                <wp:cNvGraphicFramePr/>
                <a:graphic xmlns:a="http://schemas.openxmlformats.org/drawingml/2006/main">
                  <a:graphicData uri="http://schemas.microsoft.com/office/word/2010/wordprocessingShape">
                    <wps:wsp>
                      <wps:cNvSpPr txBox="1"/>
                      <wps:spPr>
                        <a:xfrm>
                          <a:off x="0" y="0"/>
                          <a:ext cx="1285875" cy="25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B0A80">
                            <w:pPr>
                              <w:spacing w:line="0" w:lineRule="atLeast"/>
                            </w:pPr>
                            <w:r>
                              <w:rPr>
                                <w:rFonts w:hint="eastAsia"/>
                              </w:rPr>
                              <w:t>本标准不涉及专利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9pt;margin-top:1.7pt;height:19.85pt;width:101.25pt;z-index:251661312;mso-width-relative:page;mso-height-relative:page;" fillcolor="#FFFFFF [3201]" filled="t" stroked="t" coordsize="21600,21600" o:gfxdata="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7&#10;1Bav1QAAAAgBAAAPAAAAAAAAAAEAIAAAACIAAABkcnMvZG93bnJldi54bWxQSwECFAAUAAAACACH&#10;TuJAq+VzfWACAADHBAAADgAAAAAAAAABACAAAAAkAQAAZHJzL2Uyb0RvYy54bWxQSwUGAAAAAAYA&#10;BgBZAQAA9gUAAAAA&#10;">
                <v:fill on="t" focussize="0,0"/>
                <v:stroke weight="0.5pt" color="#000000 [3204]" joinstyle="round"/>
                <v:imagedata o:title=""/>
                <o:lock v:ext="edit" aspectratio="f"/>
                <v:textbox>
                  <w:txbxContent>
                    <w:p w14:paraId="260B0A80">
                      <w:pPr>
                        <w:spacing w:line="0" w:lineRule="atLeast"/>
                      </w:pPr>
                      <w:r>
                        <w:rPr>
                          <w:rFonts w:hint="eastAsia"/>
                        </w:rPr>
                        <w:t>本标准不涉及专利</w:t>
                      </w:r>
                    </w:p>
                  </w:txbxContent>
                </v:textbox>
              </v:shape>
            </w:pict>
          </mc:Fallback>
        </mc:AlternateContent>
      </w:r>
    </w:p>
    <w:p w14:paraId="43C65F5F">
      <w:pPr>
        <w:jc w:val="center"/>
        <w:rPr>
          <w:rFonts w:ascii="宋体" w:hAnsi="宋体" w:eastAsia="宋体" w:cs="宋体"/>
          <w:b/>
          <w:color w:val="auto"/>
          <w:sz w:val="18"/>
          <w:szCs w:val="18"/>
          <w:highlight w:val="none"/>
        </w:rPr>
      </w:pPr>
    </w:p>
    <w:p w14:paraId="60D6DBA2">
      <w:pPr>
        <w:jc w:val="center"/>
        <w:rPr>
          <w:rFonts w:hint="eastAsia" w:ascii="黑体" w:eastAsia="黑体"/>
          <w:color w:val="auto"/>
          <w:sz w:val="36"/>
          <w:szCs w:val="36"/>
          <w:highlight w:val="none"/>
        </w:rPr>
      </w:pPr>
    </w:p>
    <w:p w14:paraId="191DDB0F">
      <w:pPr>
        <w:jc w:val="center"/>
        <w:rPr>
          <w:rFonts w:hint="eastAsia" w:ascii="黑体" w:eastAsia="黑体"/>
          <w:color w:val="auto"/>
          <w:sz w:val="36"/>
          <w:szCs w:val="36"/>
          <w:highlight w:val="none"/>
        </w:rPr>
      </w:pPr>
    </w:p>
    <w:p w14:paraId="7197E74C">
      <w:pPr>
        <w:jc w:val="center"/>
        <w:rPr>
          <w:rFonts w:hint="eastAsia" w:ascii="黑体" w:eastAsia="黑体"/>
          <w:color w:val="auto"/>
          <w:sz w:val="36"/>
          <w:szCs w:val="36"/>
          <w:highlight w:val="none"/>
        </w:rPr>
      </w:pPr>
    </w:p>
    <w:p w14:paraId="5DFDCC8D">
      <w:pPr>
        <w:jc w:val="center"/>
        <w:rPr>
          <w:color w:val="auto"/>
          <w:sz w:val="36"/>
          <w:szCs w:val="36"/>
          <w:highlight w:val="none"/>
        </w:rPr>
      </w:pPr>
      <w:r>
        <w:rPr>
          <w:rFonts w:hint="eastAsia" w:ascii="黑体" w:eastAsia="黑体"/>
          <w:color w:val="auto"/>
          <w:sz w:val="36"/>
          <w:szCs w:val="36"/>
          <w:highlight w:val="none"/>
        </w:rPr>
        <w:t>广东省标准</w:t>
      </w:r>
    </w:p>
    <w:p w14:paraId="720321D3">
      <w:pPr>
        <w:wordWrap w:val="0"/>
        <w:jc w:val="right"/>
        <w:rPr>
          <w:rFonts w:hint="eastAsia" w:ascii="Dutch801 XBd BT" w:hAnsi="Dutch801 XBd BT" w:eastAsia="黑体"/>
          <w:color w:val="auto"/>
          <w:sz w:val="28"/>
          <w:szCs w:val="28"/>
          <w:highlight w:val="none"/>
        </w:rPr>
      </w:pPr>
    </w:p>
    <w:p w14:paraId="17737A22">
      <w:pPr>
        <w:jc w:val="center"/>
        <w:rPr>
          <w:rFonts w:hint="eastAsia" w:ascii="方正小标宋简体" w:hAnsi="方正小标宋简体" w:eastAsia="方正小标宋简体" w:cs="方正小标宋简体"/>
          <w:bCs/>
          <w:color w:val="auto"/>
          <w:sz w:val="40"/>
          <w:szCs w:val="40"/>
          <w:highlight w:val="none"/>
          <w:lang w:eastAsia="zh-CN"/>
        </w:rPr>
      </w:pPr>
      <w:r>
        <w:rPr>
          <w:rFonts w:hint="eastAsia" w:ascii="方正小标宋简体" w:hAnsi="方正小标宋简体" w:eastAsia="方正小标宋简体" w:cs="方正小标宋简体"/>
          <w:bCs/>
          <w:color w:val="auto"/>
          <w:sz w:val="40"/>
          <w:szCs w:val="40"/>
          <w:highlight w:val="none"/>
        </w:rPr>
        <w:t>住宅工程质量分户验收</w:t>
      </w:r>
      <w:r>
        <w:rPr>
          <w:rFonts w:hint="eastAsia" w:ascii="方正小标宋简体" w:hAnsi="方正小标宋简体" w:eastAsia="方正小标宋简体" w:cs="方正小标宋简体"/>
          <w:bCs/>
          <w:color w:val="auto"/>
          <w:sz w:val="40"/>
          <w:szCs w:val="40"/>
          <w:highlight w:val="none"/>
          <w:lang w:eastAsia="zh-CN"/>
        </w:rPr>
        <w:t>标准</w:t>
      </w:r>
    </w:p>
    <w:p w14:paraId="10FCC4FC">
      <w:pPr>
        <w:jc w:val="center"/>
        <w:rPr>
          <w:rFonts w:hint="eastAsia"/>
          <w:bCs/>
          <w:color w:val="auto"/>
          <w:sz w:val="28"/>
          <w:szCs w:val="28"/>
          <w:highlight w:val="none"/>
          <w:lang w:val="en-US" w:eastAsia="zh-CN"/>
        </w:rPr>
      </w:pPr>
      <w:r>
        <w:rPr>
          <w:rFonts w:hint="eastAsia"/>
          <w:bCs/>
          <w:color w:val="auto"/>
          <w:sz w:val="28"/>
          <w:szCs w:val="28"/>
          <w:highlight w:val="none"/>
          <w:lang w:val="en-US" w:eastAsia="zh-CN"/>
        </w:rPr>
        <w:t>Standard for household quality inspection</w:t>
      </w:r>
    </w:p>
    <w:p w14:paraId="2C65547F">
      <w:pPr>
        <w:jc w:val="center"/>
        <w:rPr>
          <w:bCs/>
          <w:color w:val="auto"/>
          <w:sz w:val="28"/>
          <w:szCs w:val="28"/>
          <w:highlight w:val="none"/>
        </w:rPr>
      </w:pPr>
      <w:r>
        <w:rPr>
          <w:rFonts w:hint="eastAsia"/>
          <w:bCs/>
          <w:color w:val="auto"/>
          <w:sz w:val="28"/>
          <w:szCs w:val="28"/>
          <w:highlight w:val="none"/>
          <w:lang w:val="en-US" w:eastAsia="zh-CN"/>
        </w:rPr>
        <w:t xml:space="preserve"> of residential projects</w:t>
      </w:r>
    </w:p>
    <w:p w14:paraId="508B945F">
      <w:pPr>
        <w:jc w:val="center"/>
        <w:rPr>
          <w:rFonts w:hint="eastAsia" w:ascii="Dutch801 XBd BT" w:hAnsi="Dutch801 XBd BT" w:eastAsia="黑体"/>
          <w:color w:val="auto"/>
          <w:sz w:val="30"/>
          <w:szCs w:val="30"/>
          <w:highlight w:val="none"/>
        </w:rPr>
      </w:pPr>
    </w:p>
    <w:p w14:paraId="39218FE7">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DBJ/T ××－××－20××</w:t>
      </w:r>
    </w:p>
    <w:p w14:paraId="38FB2563">
      <w:pPr>
        <w:jc w:val="center"/>
        <w:rPr>
          <w:color w:val="auto"/>
          <w:sz w:val="30"/>
          <w:szCs w:val="30"/>
          <w:highlight w:val="none"/>
        </w:rPr>
      </w:pPr>
    </w:p>
    <w:p w14:paraId="3A8206B1">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住房和城乡建设部备案号：J××－20××</w:t>
      </w:r>
    </w:p>
    <w:p w14:paraId="450288DD">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批准部门：广东省住房和城乡建设厅</w:t>
      </w:r>
    </w:p>
    <w:p w14:paraId="6E7DDAB4">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施行日期：20××年××月××日</w:t>
      </w:r>
    </w:p>
    <w:p w14:paraId="3F7F7DF1">
      <w:pPr>
        <w:jc w:val="center"/>
        <w:rPr>
          <w:color w:val="auto"/>
          <w:highlight w:val="none"/>
        </w:rPr>
      </w:pPr>
    </w:p>
    <w:p w14:paraId="68D522B6">
      <w:pPr>
        <w:jc w:val="center"/>
        <w:rPr>
          <w:color w:val="auto"/>
          <w:highlight w:val="none"/>
        </w:rPr>
      </w:pPr>
    </w:p>
    <w:p w14:paraId="0A2099F8">
      <w:pPr>
        <w:jc w:val="center"/>
        <w:rPr>
          <w:color w:val="auto"/>
          <w:highlight w:val="none"/>
        </w:rPr>
      </w:pPr>
    </w:p>
    <w:p w14:paraId="4A7EB873">
      <w:pPr>
        <w:jc w:val="center"/>
        <w:rPr>
          <w:color w:val="auto"/>
          <w:highlight w:val="none"/>
        </w:rPr>
      </w:pPr>
    </w:p>
    <w:p w14:paraId="5B711BE0">
      <w:pPr>
        <w:jc w:val="center"/>
        <w:rPr>
          <w:color w:val="auto"/>
          <w:highlight w:val="none"/>
        </w:rPr>
      </w:pPr>
    </w:p>
    <w:p w14:paraId="6E8785DC">
      <w:pPr>
        <w:jc w:val="center"/>
        <w:rPr>
          <w:color w:val="auto"/>
          <w:highlight w:val="none"/>
        </w:rPr>
      </w:pPr>
    </w:p>
    <w:p w14:paraId="34664DB3">
      <w:pPr>
        <w:jc w:val="center"/>
        <w:rPr>
          <w:color w:val="auto"/>
          <w:highlight w:val="none"/>
        </w:rPr>
      </w:pPr>
    </w:p>
    <w:p w14:paraId="646C011D">
      <w:pPr>
        <w:jc w:val="center"/>
        <w:rPr>
          <w:color w:val="auto"/>
          <w:highlight w:val="none"/>
        </w:rPr>
      </w:pPr>
    </w:p>
    <w:p w14:paraId="5EA877AD">
      <w:pPr>
        <w:jc w:val="center"/>
        <w:rPr>
          <w:color w:val="auto"/>
          <w:highlight w:val="none"/>
        </w:rPr>
      </w:pPr>
    </w:p>
    <w:p w14:paraId="58D48CA8">
      <w:pPr>
        <w:widowControl/>
        <w:rPr>
          <w:color w:val="auto"/>
          <w:sz w:val="28"/>
          <w:szCs w:val="28"/>
          <w:highlight w:val="none"/>
        </w:rPr>
      </w:pPr>
    </w:p>
    <w:p w14:paraId="7C27A1C6">
      <w:pPr>
        <w:adjustRightInd w:val="0"/>
        <w:snapToGrid w:val="0"/>
        <w:spacing w:line="600" w:lineRule="exact"/>
        <w:rPr>
          <w:rFonts w:ascii="方正小标宋简体" w:hAnsi="方正小标宋简体" w:eastAsia="方正小标宋简体" w:cs="方正小标宋简体"/>
          <w:color w:val="auto"/>
          <w:sz w:val="40"/>
          <w:szCs w:val="40"/>
          <w:highlight w:val="none"/>
        </w:rPr>
        <w:sectPr>
          <w:footerReference r:id="rId3" w:type="default"/>
          <w:footerReference r:id="rId4" w:type="even"/>
          <w:type w:val="nextColumn"/>
          <w:pgSz w:w="11906" w:h="16838"/>
          <w:pgMar w:top="1440" w:right="1797" w:bottom="1440" w:left="1797" w:header="851" w:footer="992" w:gutter="0"/>
          <w:cols w:space="720" w:num="1"/>
          <w:titlePg/>
          <w:docGrid w:linePitch="312" w:charSpace="0"/>
        </w:sectPr>
      </w:pPr>
    </w:p>
    <w:p w14:paraId="1679A772">
      <w:pPr>
        <w:adjustRightInd w:val="0"/>
        <w:snapToGrid w:val="0"/>
        <w:spacing w:line="600" w:lineRule="exact"/>
        <w:jc w:val="both"/>
        <w:rPr>
          <w:rFonts w:hint="eastAsia" w:ascii="方正小标宋简体" w:hAnsi="方正小标宋简体" w:eastAsia="方正小标宋简体" w:cs="方正小标宋简体"/>
          <w:color w:val="auto"/>
          <w:sz w:val="40"/>
          <w:szCs w:val="40"/>
          <w:highlight w:val="none"/>
          <w:lang w:eastAsia="zh-CN"/>
        </w:rPr>
      </w:pPr>
    </w:p>
    <w:p w14:paraId="0BEDCD37">
      <w:pPr>
        <w:adjustRightInd w:val="0"/>
        <w:snapToGrid w:val="0"/>
        <w:spacing w:line="600" w:lineRule="exact"/>
        <w:jc w:val="both"/>
        <w:rPr>
          <w:rFonts w:hint="eastAsia" w:ascii="方正小标宋简体" w:hAnsi="方正小标宋简体" w:eastAsia="方正小标宋简体" w:cs="方正小标宋简体"/>
          <w:color w:val="auto"/>
          <w:sz w:val="40"/>
          <w:szCs w:val="40"/>
          <w:highlight w:val="none"/>
          <w:lang w:eastAsia="zh-CN"/>
        </w:rPr>
      </w:pPr>
    </w:p>
    <w:p w14:paraId="5EC286B5">
      <w:pPr>
        <w:adjustRightInd w:val="0"/>
        <w:snapToGrid w:val="0"/>
        <w:spacing w:line="600" w:lineRule="exact"/>
        <w:jc w:val="center"/>
        <w:rPr>
          <w:rFonts w:ascii="方正小标宋简体" w:hAnsi="方正小标宋简体" w:eastAsia="方正小标宋简体" w:cs="方正小标宋简体"/>
          <w:color w:val="auto"/>
          <w:sz w:val="40"/>
          <w:szCs w:val="40"/>
          <w:highlight w:val="none"/>
        </w:rPr>
      </w:pPr>
    </w:p>
    <w:p w14:paraId="37B55211">
      <w:pPr>
        <w:adjustRightInd w:val="0"/>
        <w:snapToGrid w:val="0"/>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广东省住房和城乡建设厅关于发布广东省标准《住宅工程质量分户验收</w:t>
      </w:r>
      <w:r>
        <w:rPr>
          <w:rFonts w:hint="eastAsia" w:ascii="方正小标宋简体" w:hAnsi="方正小标宋简体" w:eastAsia="方正小标宋简体" w:cs="方正小标宋简体"/>
          <w:color w:val="auto"/>
          <w:sz w:val="44"/>
          <w:szCs w:val="44"/>
          <w:highlight w:val="none"/>
          <w:lang w:eastAsia="zh-CN"/>
        </w:rPr>
        <w:t>标准</w:t>
      </w:r>
      <w:r>
        <w:rPr>
          <w:rFonts w:hint="eastAsia" w:ascii="方正小标宋简体" w:hAnsi="方正小标宋简体" w:eastAsia="方正小标宋简体" w:cs="方正小标宋简体"/>
          <w:color w:val="auto"/>
          <w:sz w:val="44"/>
          <w:szCs w:val="44"/>
          <w:highlight w:val="none"/>
        </w:rPr>
        <w:t>》的公告</w:t>
      </w:r>
    </w:p>
    <w:p w14:paraId="452697F8">
      <w:pPr>
        <w:adjustRightInd w:val="0"/>
        <w:snapToGrid w:val="0"/>
        <w:spacing w:line="600" w:lineRule="exact"/>
        <w:jc w:val="center"/>
        <w:rPr>
          <w:rFonts w:ascii="宋体" w:hAnsi="宋体" w:eastAsia="宋体" w:cs="宋体"/>
          <w:color w:val="auto"/>
          <w:sz w:val="32"/>
          <w:szCs w:val="32"/>
          <w:highlight w:val="none"/>
        </w:rPr>
      </w:pPr>
    </w:p>
    <w:p w14:paraId="5B531D72">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粤建公告〔20××〕××号</w:t>
      </w:r>
    </w:p>
    <w:p w14:paraId="7FC04996">
      <w:pPr>
        <w:adjustRightInd w:val="0"/>
        <w:snapToGrid w:val="0"/>
        <w:spacing w:line="360" w:lineRule="auto"/>
        <w:ind w:firstLine="640" w:firstLineChars="200"/>
        <w:jc w:val="center"/>
        <w:rPr>
          <w:rFonts w:ascii="宋体" w:hAnsi="宋体" w:eastAsia="宋体" w:cs="宋体"/>
          <w:color w:val="auto"/>
          <w:sz w:val="32"/>
          <w:szCs w:val="32"/>
          <w:highlight w:val="none"/>
        </w:rPr>
      </w:pPr>
    </w:p>
    <w:p w14:paraId="195417D5">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经组织专家委员会审查，现批准《住宅工程质量分户验收</w:t>
      </w:r>
      <w:r>
        <w:rPr>
          <w:rFonts w:hint="eastAsia" w:ascii="宋体" w:hAnsi="宋体" w:eastAsia="宋体" w:cs="宋体"/>
          <w:color w:val="auto"/>
          <w:sz w:val="32"/>
          <w:szCs w:val="32"/>
          <w:highlight w:val="none"/>
          <w:lang w:eastAsia="zh-CN"/>
        </w:rPr>
        <w:t>标准</w:t>
      </w:r>
      <w:r>
        <w:rPr>
          <w:rFonts w:hint="eastAsia" w:ascii="宋体" w:hAnsi="宋体" w:eastAsia="宋体" w:cs="宋体"/>
          <w:color w:val="auto"/>
          <w:sz w:val="32"/>
          <w:szCs w:val="32"/>
          <w:highlight w:val="none"/>
        </w:rPr>
        <w:t>》为广东省地方标准，编号为DBJ/T ××-××-20××。本标准自20××年××月××日起实施。</w:t>
      </w:r>
    </w:p>
    <w:p w14:paraId="382DB240">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本标准由广东省住房和城乡建设厅负责管理，由主编单位广东省建设工程质量安全检测总站有限公司、广东建科建设咨询有限公司负责具体技术内容的解释，在广东省住房和城乡建设厅门户网站（http://zfcxjst.gd.gov.cn）公开。</w:t>
      </w:r>
    </w:p>
    <w:p w14:paraId="189DD020">
      <w:pPr>
        <w:spacing w:line="360" w:lineRule="auto"/>
        <w:jc w:val="center"/>
        <w:rPr>
          <w:rFonts w:ascii="宋体" w:hAnsi="宋体" w:eastAsia="宋体" w:cs="宋体"/>
          <w:color w:val="auto"/>
          <w:sz w:val="32"/>
          <w:szCs w:val="32"/>
          <w:highlight w:val="none"/>
        </w:rPr>
      </w:pPr>
    </w:p>
    <w:p w14:paraId="79E787C8">
      <w:pPr>
        <w:adjustRightInd w:val="0"/>
        <w:snapToGrid w:val="0"/>
        <w:spacing w:line="360" w:lineRule="auto"/>
        <w:ind w:firstLine="640" w:firstLineChars="200"/>
        <w:jc w:val="righ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广东省住房和城乡建设厅                                                 </w:t>
      </w:r>
    </w:p>
    <w:p w14:paraId="7667D536">
      <w:pPr>
        <w:spacing w:after="240" w:afterLines="10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20××年××月××日</w:t>
      </w:r>
    </w:p>
    <w:p w14:paraId="1B7924B8">
      <w:pPr>
        <w:spacing w:after="240" w:afterLines="100" w:line="360" w:lineRule="auto"/>
        <w:jc w:val="center"/>
        <w:rPr>
          <w:rFonts w:ascii="仿宋_GB2312" w:hAnsi="仿宋_GB2312" w:eastAsia="仿宋_GB2312" w:cs="仿宋_GB2312"/>
          <w:color w:val="auto"/>
          <w:sz w:val="32"/>
          <w:szCs w:val="32"/>
          <w:highlight w:val="none"/>
        </w:rPr>
      </w:pPr>
    </w:p>
    <w:p w14:paraId="1A0FEDE7">
      <w:pPr>
        <w:spacing w:after="240" w:afterLines="100" w:line="360" w:lineRule="auto"/>
        <w:rPr>
          <w:rFonts w:ascii="仿宋_GB2312" w:hAnsi="仿宋_GB2312" w:eastAsia="仿宋_GB2312" w:cs="仿宋_GB2312"/>
          <w:color w:val="auto"/>
          <w:sz w:val="32"/>
          <w:szCs w:val="32"/>
          <w:highlight w:val="none"/>
        </w:rPr>
      </w:pPr>
    </w:p>
    <w:p w14:paraId="3BAE01B7">
      <w:pPr>
        <w:spacing w:after="240" w:afterLines="100"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前  言</w:t>
      </w:r>
    </w:p>
    <w:p w14:paraId="346494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根据广东省市场监督管理局印发的《关于批准下达住房城乡建设类地方标准制修订计划项目的通知》（粤市监标准〔2022〕</w:t>
      </w:r>
      <w:bookmarkStart w:id="477" w:name="_GoBack"/>
      <w:bookmarkEnd w:id="477"/>
      <w:r>
        <w:rPr>
          <w:rFonts w:ascii="宋体" w:hAnsi="宋体" w:eastAsia="宋体" w:cs="宋体"/>
          <w:color w:val="auto"/>
          <w:sz w:val="28"/>
          <w:szCs w:val="28"/>
          <w:highlight w:val="none"/>
        </w:rPr>
        <w:t>27号），广东省建设工程质量安全检测总站有限公司与广东建科建设咨询有限公司会同有关单位经广泛调查研究，认真总结实践经验，结合广东省的实际情况，在广泛征求意见、反复讨论和修改的基础上，形成本标准。</w:t>
      </w:r>
    </w:p>
    <w:p w14:paraId="5597140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本标准内容不涉及到任何专利。</w:t>
      </w:r>
    </w:p>
    <w:p w14:paraId="13CA721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本标准共分</w:t>
      </w:r>
      <w:r>
        <w:rPr>
          <w:rFonts w:hint="eastAsia" w:ascii="宋体" w:hAnsi="宋体" w:eastAsia="宋体" w:cs="宋体"/>
          <w:color w:val="auto"/>
          <w:sz w:val="28"/>
          <w:szCs w:val="28"/>
          <w:highlight w:val="none"/>
          <w:lang w:val="en-US" w:eastAsia="zh-CN"/>
        </w:rPr>
        <w:t>12章和7个附录</w:t>
      </w:r>
      <w:r>
        <w:rPr>
          <w:rFonts w:hint="eastAsia" w:ascii="宋体" w:hAnsi="宋体" w:eastAsia="宋体" w:cs="宋体"/>
          <w:color w:val="auto"/>
          <w:sz w:val="28"/>
          <w:szCs w:val="28"/>
          <w:highlight w:val="none"/>
        </w:rPr>
        <w:t>。主要内容包括：</w:t>
      </w:r>
      <w:r>
        <w:rPr>
          <w:rFonts w:ascii="宋体" w:hAnsi="宋体" w:eastAsia="宋体" w:cs="宋体"/>
          <w:color w:val="auto"/>
          <w:sz w:val="28"/>
          <w:szCs w:val="28"/>
          <w:highlight w:val="none"/>
        </w:rPr>
        <w:t>1总则；2术语；3基本规定；</w:t>
      </w:r>
      <w:r>
        <w:rPr>
          <w:rFonts w:hint="eastAsia" w:ascii="宋体" w:hAnsi="宋体" w:eastAsia="宋体" w:cs="宋体"/>
          <w:color w:val="auto"/>
          <w:sz w:val="28"/>
          <w:szCs w:val="28"/>
          <w:highlight w:val="none"/>
          <w:lang w:val="en-US" w:eastAsia="zh-CN"/>
        </w:rPr>
        <w:t>4室内主要空间尺寸；5地面、墙面、顶棚；6门窗；7护栏、玻璃安装；8给水排水及消防设施工程；9电气工程；10智能建筑工程；11通风与空调工程；12公共部分等。</w:t>
      </w:r>
    </w:p>
    <w:p w14:paraId="59DEB6E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由广东省住房和城乡建设厅负责管理，由主编单位广东省建设工程质量安全检测总站有限公司、广东建科建设咨询有限公司负责技术内容的解释。在执行过程中如有需要修改或补充之处，请将意见或有关资料寄送广东省建设工程质量安全检测总站有限公司（地址：广州市天河区先烈东路</w:t>
      </w:r>
      <w:r>
        <w:rPr>
          <w:rFonts w:ascii="宋体" w:hAnsi="宋体" w:eastAsia="宋体" w:cs="宋体"/>
          <w:color w:val="auto"/>
          <w:sz w:val="28"/>
          <w:szCs w:val="28"/>
          <w:highlight w:val="none"/>
        </w:rPr>
        <w:t>121号；邮编：510500）。</w:t>
      </w:r>
    </w:p>
    <w:p w14:paraId="0F7928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主编单位：广东省建设工程质量安全检测总站有限公司</w:t>
      </w:r>
    </w:p>
    <w:p w14:paraId="21DEA1CC">
      <w:pPr>
        <w:spacing w:line="360" w:lineRule="auto"/>
        <w:ind w:firstLine="1960" w:firstLineChars="7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广东建科建设咨询有限公司</w:t>
      </w:r>
    </w:p>
    <w:p w14:paraId="57B80A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参编单位：广州市建设工程质量监督站</w:t>
      </w:r>
    </w:p>
    <w:p w14:paraId="2E93886A">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东莞市建设工程质量监督站</w:t>
      </w:r>
    </w:p>
    <w:p w14:paraId="313B424A">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广州市从化区建设工程质量安全监督站</w:t>
      </w:r>
    </w:p>
    <w:p w14:paraId="730DFD54">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广东省建科建筑设计院有限公司</w:t>
      </w:r>
    </w:p>
    <w:p w14:paraId="37204548">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广东省建工设计院有限公司</w:t>
      </w:r>
    </w:p>
    <w:p w14:paraId="56F27305">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广东省建筑设计研究院有限公司</w:t>
      </w:r>
    </w:p>
    <w:p w14:paraId="5BC07F4E">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广东省建筑工程监理有限公司</w:t>
      </w:r>
    </w:p>
    <w:p w14:paraId="49CD180C">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深圳市建筑工程质量安全监督总站</w:t>
      </w:r>
    </w:p>
    <w:p w14:paraId="5DDD5B4C">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深圳市坪山区建设工程质量安全监督站</w:t>
      </w:r>
    </w:p>
    <w:p w14:paraId="7DFAE7F0">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广东领盛装配式建筑科技有限公司</w:t>
      </w:r>
    </w:p>
    <w:p w14:paraId="63C77143">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深圳市房屋安全和工程质量检测鉴定中心</w:t>
      </w:r>
    </w:p>
    <w:p w14:paraId="6ED5B93C">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湛江市建设工程质量事务中心</w:t>
      </w:r>
    </w:p>
    <w:p w14:paraId="603BBC09">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中虹建设集团有限公司</w:t>
      </w:r>
    </w:p>
    <w:p w14:paraId="3DF846E9">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主要起草人员：路</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阳</w:t>
      </w:r>
      <w:r>
        <w:rPr>
          <w:rFonts w:hint="eastAsia" w:ascii="宋体" w:hAnsi="宋体" w:eastAsia="宋体" w:cs="宋体"/>
          <w:color w:val="auto"/>
          <w:sz w:val="28"/>
          <w:szCs w:val="28"/>
          <w:highlight w:val="none"/>
          <w:lang w:val="en-US" w:eastAsia="zh-CN"/>
        </w:rPr>
        <w:t xml:space="preserve">   高建强   王亚平   胡晓文   马庆辉</w:t>
      </w:r>
    </w:p>
    <w:p w14:paraId="7A9286B0">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林  雄   周长标   袁振宇   严小龙   黎  洁</w:t>
      </w:r>
    </w:p>
    <w:p w14:paraId="658E6321">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江伟欢   刘建华   </w:t>
      </w:r>
      <w:r>
        <w:rPr>
          <w:rFonts w:hint="default" w:ascii="宋体" w:hAnsi="宋体" w:eastAsia="宋体" w:cs="宋体"/>
          <w:color w:val="auto"/>
          <w:sz w:val="28"/>
          <w:szCs w:val="28"/>
          <w:highlight w:val="none"/>
          <w:lang w:val="en-US" w:eastAsia="zh-CN"/>
        </w:rPr>
        <w:t>颜欣然</w:t>
      </w:r>
      <w:r>
        <w:rPr>
          <w:rFonts w:hint="eastAsia" w:ascii="宋体" w:hAnsi="宋体" w:eastAsia="宋体" w:cs="宋体"/>
          <w:color w:val="auto"/>
          <w:sz w:val="28"/>
          <w:szCs w:val="28"/>
          <w:highlight w:val="none"/>
          <w:lang w:val="en-US" w:eastAsia="zh-CN"/>
        </w:rPr>
        <w:t xml:space="preserve">   黄  佳   范炳礼   </w:t>
      </w:r>
    </w:p>
    <w:p w14:paraId="40326D9C">
      <w:pPr>
        <w:spacing w:line="360" w:lineRule="auto"/>
        <w:ind w:firstLine="2520" w:firstLineChars="900"/>
        <w:rPr>
          <w:rFonts w:hint="eastAsia"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陈怡辛</w:t>
      </w:r>
      <w:r>
        <w:rPr>
          <w:rFonts w:hint="eastAsia" w:ascii="宋体" w:hAnsi="宋体" w:eastAsia="宋体" w:cs="宋体"/>
          <w:color w:val="auto"/>
          <w:sz w:val="28"/>
          <w:szCs w:val="28"/>
          <w:highlight w:val="none"/>
          <w:lang w:val="en-US" w:eastAsia="zh-CN"/>
        </w:rPr>
        <w:t xml:space="preserve">   黄隆盛   刘勋飞   陈  斌   毛志泉   </w:t>
      </w:r>
    </w:p>
    <w:p w14:paraId="78FAD786">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孟鑫垒   谭  颖   王向辰   刘  阳   朱桂滨   </w:t>
      </w:r>
    </w:p>
    <w:p w14:paraId="003A6D5F">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乔利华   胡冰茜   陈贵涛   张  涛   廖一博   </w:t>
      </w:r>
    </w:p>
    <w:p w14:paraId="6C6D66D7">
      <w:pPr>
        <w:spacing w:line="360" w:lineRule="auto"/>
        <w:ind w:firstLine="2520" w:firstLineChars="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孟繁超   吴远宏   </w:t>
      </w:r>
      <w:r>
        <w:rPr>
          <w:rFonts w:hint="default" w:ascii="宋体" w:hAnsi="宋体" w:eastAsia="宋体" w:cs="宋体"/>
          <w:color w:val="auto"/>
          <w:sz w:val="28"/>
          <w:szCs w:val="28"/>
          <w:highlight w:val="none"/>
          <w:lang w:val="en-US" w:eastAsia="zh-CN"/>
        </w:rPr>
        <w:t>高祥祥</w:t>
      </w:r>
    </w:p>
    <w:p w14:paraId="08A9B69F">
      <w:pPr>
        <w:spacing w:line="360" w:lineRule="auto"/>
        <w:ind w:firstLine="560" w:firstLineChars="200"/>
        <w:rPr>
          <w:rFonts w:ascii="宋体" w:hAnsi="宋体" w:eastAsia="宋体" w:cs="宋体"/>
          <w:color w:val="auto"/>
          <w:sz w:val="28"/>
          <w:szCs w:val="28"/>
          <w:highlight w:val="none"/>
        </w:rPr>
        <w:sectPr>
          <w:footerReference r:id="rId6" w:type="first"/>
          <w:footerReference r:id="rId5" w:type="default"/>
          <w:type w:val="nextColumn"/>
          <w:pgSz w:w="12240" w:h="15840"/>
          <w:pgMar w:top="1440" w:right="1797" w:bottom="1440" w:left="1797" w:header="720" w:footer="720" w:gutter="0"/>
          <w:pgNumType w:start="1"/>
          <w:cols w:space="720" w:num="1"/>
          <w:docGrid w:linePitch="286" w:charSpace="0"/>
        </w:sectPr>
      </w:pPr>
      <w:r>
        <w:rPr>
          <w:rFonts w:hint="eastAsia" w:ascii="宋体" w:hAnsi="宋体" w:eastAsia="宋体" w:cs="宋体"/>
          <w:color w:val="auto"/>
          <w:sz w:val="28"/>
          <w:szCs w:val="28"/>
          <w:highlight w:val="none"/>
        </w:rPr>
        <w:t>主要审查人员：</w:t>
      </w:r>
    </w:p>
    <w:p w14:paraId="34A1AAC6">
      <w:pPr>
        <w:jc w:val="center"/>
        <w:rPr>
          <w:rFonts w:ascii="宋体" w:hAnsi="宋体" w:eastAsia="宋体"/>
          <w:b/>
          <w:color w:val="auto"/>
          <w:sz w:val="28"/>
          <w:highlight w:val="none"/>
        </w:rPr>
      </w:pPr>
      <w:r>
        <w:rPr>
          <w:rFonts w:ascii="宋体" w:hAnsi="宋体" w:eastAsia="宋体"/>
          <w:b/>
          <w:color w:val="auto"/>
          <w:sz w:val="28"/>
          <w:highlight w:val="none"/>
        </w:rPr>
        <w:t>目</w:t>
      </w:r>
      <w:r>
        <w:rPr>
          <w:rFonts w:hint="eastAsia" w:ascii="宋体" w:hAnsi="宋体" w:eastAsia="宋体"/>
          <w:b/>
          <w:color w:val="auto"/>
          <w:sz w:val="28"/>
          <w:highlight w:val="none"/>
        </w:rPr>
        <w:t xml:space="preserve"> </w:t>
      </w:r>
      <w:r>
        <w:rPr>
          <w:rFonts w:ascii="宋体" w:hAnsi="宋体" w:eastAsia="宋体"/>
          <w:b/>
          <w:color w:val="auto"/>
          <w:sz w:val="28"/>
          <w:highlight w:val="none"/>
        </w:rPr>
        <w:t xml:space="preserve"> </w:t>
      </w:r>
      <w:r>
        <w:rPr>
          <w:rFonts w:hint="eastAsia" w:ascii="宋体" w:hAnsi="宋体" w:eastAsia="宋体"/>
          <w:b/>
          <w:color w:val="auto"/>
          <w:sz w:val="28"/>
          <w:highlight w:val="none"/>
        </w:rPr>
        <w:t>次</w:t>
      </w:r>
    </w:p>
    <w:sdt>
      <w:sdtPr>
        <w:rPr>
          <w:rFonts w:ascii="宋体" w:hAnsi="宋体" w:eastAsia="宋体" w:cs="Times New Roman"/>
          <w:color w:val="auto"/>
          <w:kern w:val="2"/>
          <w:sz w:val="21"/>
          <w:szCs w:val="22"/>
          <w:highlight w:val="none"/>
          <w:lang w:val="en-US" w:eastAsia="zh-CN" w:bidi="ar-SA"/>
        </w:rPr>
        <w:id w:val="147477376"/>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14:paraId="2EB4B069">
          <w:pPr>
            <w:spacing w:before="0" w:beforeLines="0" w:after="0" w:afterLines="0" w:line="240" w:lineRule="auto"/>
            <w:ind w:left="0" w:leftChars="0" w:right="0" w:rightChars="0" w:firstLine="0" w:firstLineChars="0"/>
            <w:jc w:val="center"/>
            <w:rPr>
              <w:color w:val="auto"/>
              <w:highlight w:val="none"/>
            </w:rPr>
          </w:pPr>
        </w:p>
        <w:p w14:paraId="5358653D">
          <w:pPr>
            <w:pStyle w:val="19"/>
            <w:tabs>
              <w:tab w:val="right" w:leader="dot" w:pos="864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D28A29">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术语</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7D7A5E">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基本规定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B02A04">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_Toc19107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4 </w:t>
          </w:r>
          <w:r>
            <w:rPr>
              <w:rFonts w:hint="eastAsia" w:ascii="宋体" w:hAnsi="宋体" w:eastAsia="宋体" w:cs="宋体"/>
              <w:color w:val="auto"/>
              <w:highlight w:val="none"/>
            </w:rPr>
            <w:t>室内主要空间尺寸</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419AE5">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_Toc10487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5 </w:t>
          </w:r>
          <w:r>
            <w:rPr>
              <w:rFonts w:hint="eastAsia" w:ascii="宋体" w:hAnsi="宋体" w:eastAsia="宋体" w:cs="宋体"/>
              <w:color w:val="auto"/>
              <w:highlight w:val="none"/>
            </w:rPr>
            <w:t>地面、墙面、顶棚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77F434">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_Toc29747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5.1 室内地面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B0F2C">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5.2 室内墙面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C9A5D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5.3 室内顶棚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C77BBA">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_Toc5054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6 </w:t>
          </w:r>
          <w:r>
            <w:rPr>
              <w:rFonts w:hint="eastAsia" w:ascii="宋体" w:hAnsi="宋体" w:eastAsia="宋体" w:cs="宋体"/>
              <w:color w:val="auto"/>
              <w:highlight w:val="none"/>
            </w:rPr>
            <w:t>门窗</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86DC1">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7 </w:t>
          </w:r>
          <w:r>
            <w:rPr>
              <w:rFonts w:hint="eastAsia" w:ascii="宋体" w:hAnsi="宋体" w:eastAsia="宋体" w:cs="宋体"/>
              <w:color w:val="auto"/>
              <w:highlight w:val="none"/>
            </w:rPr>
            <w:t>护栏、玻璃安装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2C2217">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8 </w:t>
          </w:r>
          <w:r>
            <w:rPr>
              <w:rFonts w:hint="eastAsia" w:ascii="宋体" w:hAnsi="宋体" w:eastAsia="宋体" w:cs="宋体"/>
              <w:color w:val="auto"/>
              <w:highlight w:val="none"/>
            </w:rPr>
            <w:t>给水排水及消防设施工程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3EBD29">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_Toc25016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8.1 给水工程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9F13E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8.2 排水工程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B482D1">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8.3 太阳能热水系统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E233B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8.4 空气源热泵热水系统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72C009">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_Toc9166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8.5 消防设施工程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DEF5D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_Toc12919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8.6 </w:t>
          </w:r>
          <w:r>
            <w:rPr>
              <w:rFonts w:hint="eastAsia" w:ascii="宋体" w:hAnsi="宋体" w:eastAsia="宋体" w:cs="宋体"/>
              <w:bCs w:val="0"/>
              <w:color w:val="auto"/>
              <w:highlight w:val="none"/>
              <w:lang w:val="en-US" w:eastAsia="zh-CN"/>
            </w:rPr>
            <w:t>厨</w:t>
          </w:r>
          <w:r>
            <w:rPr>
              <w:rFonts w:hint="eastAsia" w:ascii="宋体" w:hAnsi="宋体" w:eastAsia="宋体" w:cs="宋体"/>
              <w:bCs w:val="0"/>
              <w:color w:val="auto"/>
              <w:highlight w:val="none"/>
            </w:rPr>
            <w:t>卫工程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7BA4C0">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_Toc1650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9 </w:t>
          </w:r>
          <w:r>
            <w:rPr>
              <w:rFonts w:hint="eastAsia" w:ascii="宋体" w:hAnsi="宋体" w:eastAsia="宋体" w:cs="宋体"/>
              <w:color w:val="auto"/>
              <w:highlight w:val="none"/>
            </w:rPr>
            <w:t>电气工程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259EBB">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_Toc21259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9.1 一般规定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B062F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_Toc31314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9.2 户内配电箱</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EDF45D">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3</w:t>
          </w:r>
          <w:r>
            <w:rPr>
              <w:rFonts w:hint="eastAsia" w:ascii="宋体" w:hAnsi="宋体" w:eastAsia="宋体" w:cs="宋体"/>
              <w:bCs w:val="0"/>
              <w:color w:val="auto"/>
              <w:highlight w:val="none"/>
            </w:rPr>
            <w:t xml:space="preserve"> </w:t>
          </w:r>
          <w:r>
            <w:rPr>
              <w:rFonts w:hint="eastAsia" w:ascii="宋体" w:hAnsi="宋体" w:eastAsia="宋体" w:cs="宋体"/>
              <w:bCs w:val="0"/>
              <w:color w:val="auto"/>
              <w:highlight w:val="none"/>
              <w:lang w:val="en-US" w:eastAsia="zh-CN"/>
            </w:rPr>
            <w:t>开关、插座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67F2A6">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4</w:t>
          </w:r>
          <w:r>
            <w:rPr>
              <w:rFonts w:hint="eastAsia" w:ascii="宋体" w:hAnsi="宋体" w:eastAsia="宋体" w:cs="宋体"/>
              <w:bCs w:val="0"/>
              <w:color w:val="auto"/>
              <w:highlight w:val="none"/>
            </w:rPr>
            <w:t xml:space="preserve"> </w:t>
          </w:r>
          <w:r>
            <w:rPr>
              <w:rFonts w:hint="eastAsia" w:ascii="宋体" w:hAnsi="宋体" w:eastAsia="宋体" w:cs="宋体"/>
              <w:bCs w:val="0"/>
              <w:color w:val="auto"/>
              <w:highlight w:val="none"/>
              <w:lang w:val="en-US" w:eastAsia="zh-CN"/>
            </w:rPr>
            <w:t>灯具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79BC24">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_Toc18424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10 </w:t>
          </w:r>
          <w:r>
            <w:rPr>
              <w:rFonts w:hint="eastAsia" w:ascii="宋体" w:hAnsi="宋体" w:eastAsia="宋体" w:cs="宋体"/>
              <w:color w:val="auto"/>
              <w:highlight w:val="none"/>
            </w:rPr>
            <w:t>智能建筑工程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89E5AD">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eastAsia="zh-CN"/>
            </w:rPr>
            <w:t>10.1</w:t>
          </w:r>
          <w:r>
            <w:rPr>
              <w:rFonts w:hint="eastAsia" w:ascii="宋体" w:hAnsi="宋体" w:eastAsia="宋体" w:cs="宋体"/>
              <w:bCs/>
              <w:color w:val="auto"/>
              <w:highlight w:val="none"/>
            </w:rPr>
            <w:t xml:space="preserve"> 光纤到户通信设施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E60AB8">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_Toc32741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网络及有线电视设施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7B1D3B">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 可视对讲系统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5B4D4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_Toc6723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 xml:space="preserve"> 报警系统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FD2944">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eastAsia="zh-CN"/>
            </w:rPr>
            <w:t>视频监控</w:t>
          </w:r>
          <w:r>
            <w:rPr>
              <w:rFonts w:hint="eastAsia" w:ascii="宋体" w:hAnsi="宋体" w:eastAsia="宋体" w:cs="宋体"/>
              <w:bCs/>
              <w:color w:val="auto"/>
              <w:highlight w:val="none"/>
            </w:rPr>
            <w:t>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6A01BC">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_Toc7562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10.6 智能家居控制系统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31FDCE">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_Toc14413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11 </w:t>
          </w:r>
          <w:r>
            <w:rPr>
              <w:rFonts w:hint="eastAsia" w:ascii="宋体" w:hAnsi="宋体" w:eastAsia="宋体" w:cs="宋体"/>
              <w:color w:val="auto"/>
              <w:highlight w:val="none"/>
            </w:rPr>
            <w:t>通风与空调工程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B55A74">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_Toc12031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12 </w:t>
          </w:r>
          <w:r>
            <w:rPr>
              <w:rFonts w:hint="eastAsia" w:ascii="宋体" w:hAnsi="宋体" w:eastAsia="宋体" w:cs="宋体"/>
              <w:color w:val="auto"/>
              <w:highlight w:val="none"/>
            </w:rPr>
            <w:t>公共部分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D12F2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_Toc12713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12.1 公共交通部分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9B3840">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12.2 地下室及屋面部分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9AD36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_Toc8018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12.3 无障碍及公共部位装饰装修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D914A2">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_Toc4013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附录A 住宅工程质量分户验收方案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0942B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_Toc19362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附录B 住宅工程质量分户验收记录表（一）</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03C72D">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附录C 住宅工程质量分户验收记录表（二）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6664D6">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_Toc30512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附录D 住宅工程质量分户验收记录表（三）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6615E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附录E 住宅工程质量分户验收记录表（四）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8EC72C">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_Toc18021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附录F 住宅工程质量分户验收汇总表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CC6006">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_Toc11470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rPr>
            <w:t>附录</w:t>
          </w:r>
          <w:r>
            <w:rPr>
              <w:rFonts w:hint="eastAsia" w:ascii="宋体" w:hAnsi="宋体" w:eastAsia="宋体" w:cs="宋体"/>
              <w:bCs/>
              <w:color w:val="auto"/>
              <w:kern w:val="0"/>
              <w:szCs w:val="21"/>
              <w:highlight w:val="none"/>
              <w:lang w:val="en-US" w:eastAsia="zh-CN"/>
            </w:rPr>
            <w:t>G</w:t>
          </w:r>
          <w:r>
            <w:rPr>
              <w:rFonts w:hint="eastAsia" w:ascii="宋体" w:hAnsi="宋体" w:eastAsia="宋体" w:cs="宋体"/>
              <w:bCs/>
              <w:color w:val="auto"/>
              <w:kern w:val="0"/>
              <w:szCs w:val="21"/>
              <w:highlight w:val="none"/>
            </w:rPr>
            <w:t xml:space="preserve"> 住宅工程质量分户验收合格证书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8E0465">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用词说明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DABA16">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引用标准名录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57B272">
          <w:pPr>
            <w:pStyle w:val="19"/>
            <w:tabs>
              <w:tab w:val="right" w:leader="dot" w:pos="864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条文说明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648B2D">
          <w:pPr>
            <w:rPr>
              <w:color w:val="auto"/>
              <w:highlight w:val="none"/>
            </w:rPr>
          </w:pPr>
          <w:r>
            <w:rPr>
              <w:color w:val="auto"/>
              <w:highlight w:val="none"/>
            </w:rPr>
            <w:fldChar w:fldCharType="end"/>
          </w:r>
        </w:p>
        <w:p w14:paraId="66ECF340">
          <w:pPr>
            <w:rPr>
              <w:color w:val="auto"/>
              <w:highlight w:val="none"/>
            </w:rPr>
          </w:pPr>
        </w:p>
        <w:p w14:paraId="6EA4A09F">
          <w:pPr>
            <w:rPr>
              <w:color w:val="auto"/>
              <w:highlight w:val="none"/>
            </w:rPr>
          </w:pPr>
        </w:p>
      </w:sdtContent>
    </w:sdt>
    <w:p w14:paraId="67257ABA">
      <w:pPr>
        <w:pStyle w:val="19"/>
        <w:tabs>
          <w:tab w:val="right" w:leader="dot" w:pos="8636"/>
        </w:tabs>
        <w:jc w:val="center"/>
        <w:rPr>
          <w:rFonts w:ascii="宋体" w:hAnsi="宋体" w:eastAsia="宋体" w:cs="Times New Roman"/>
          <w:b/>
          <w:color w:val="auto"/>
          <w:kern w:val="2"/>
          <w:sz w:val="32"/>
          <w:highlight w:val="none"/>
        </w:rPr>
      </w:pPr>
      <w:bookmarkStart w:id="0" w:name="_Toc46060086"/>
      <w:bookmarkStart w:id="1" w:name="_Toc18394294"/>
      <w:bookmarkStart w:id="2" w:name="_Toc18056638"/>
    </w:p>
    <w:p w14:paraId="30C1FE85">
      <w:pPr>
        <w:pStyle w:val="19"/>
        <w:tabs>
          <w:tab w:val="right" w:leader="dot" w:pos="8636"/>
        </w:tabs>
        <w:jc w:val="center"/>
        <w:rPr>
          <w:rFonts w:ascii="宋体" w:hAnsi="宋体" w:eastAsia="宋体" w:cs="Times New Roman"/>
          <w:b/>
          <w:color w:val="auto"/>
          <w:kern w:val="2"/>
          <w:sz w:val="32"/>
          <w:highlight w:val="none"/>
        </w:rPr>
      </w:pPr>
    </w:p>
    <w:p w14:paraId="2E7CFF2D">
      <w:pPr>
        <w:pStyle w:val="19"/>
        <w:tabs>
          <w:tab w:val="right" w:leader="dot" w:pos="8636"/>
        </w:tabs>
        <w:jc w:val="center"/>
        <w:rPr>
          <w:rFonts w:ascii="宋体" w:hAnsi="宋体" w:eastAsia="宋体" w:cs="Times New Roman"/>
          <w:b/>
          <w:color w:val="auto"/>
          <w:kern w:val="2"/>
          <w:sz w:val="32"/>
          <w:highlight w:val="none"/>
        </w:rPr>
      </w:pPr>
    </w:p>
    <w:p w14:paraId="40DDFFB5">
      <w:pPr>
        <w:pStyle w:val="19"/>
        <w:tabs>
          <w:tab w:val="right" w:leader="dot" w:pos="8636"/>
        </w:tabs>
        <w:jc w:val="center"/>
        <w:rPr>
          <w:rFonts w:ascii="宋体" w:hAnsi="宋体" w:eastAsia="宋体" w:cs="Times New Roman"/>
          <w:b/>
          <w:color w:val="auto"/>
          <w:kern w:val="2"/>
          <w:sz w:val="32"/>
          <w:highlight w:val="none"/>
        </w:rPr>
      </w:pPr>
    </w:p>
    <w:p w14:paraId="3BB4102C">
      <w:pPr>
        <w:rPr>
          <w:color w:val="auto"/>
          <w:highlight w:val="none"/>
        </w:rPr>
      </w:pPr>
    </w:p>
    <w:p w14:paraId="7F638F02">
      <w:pPr>
        <w:pStyle w:val="19"/>
        <w:tabs>
          <w:tab w:val="right" w:leader="dot" w:pos="8636"/>
        </w:tabs>
        <w:jc w:val="center"/>
        <w:rPr>
          <w:rFonts w:ascii="宋体" w:hAnsi="宋体" w:eastAsia="宋体" w:cs="Times New Roman"/>
          <w:b/>
          <w:color w:val="auto"/>
          <w:kern w:val="2"/>
          <w:sz w:val="32"/>
          <w:highlight w:val="none"/>
        </w:rPr>
      </w:pPr>
    </w:p>
    <w:p w14:paraId="7F691FB4">
      <w:pPr>
        <w:pStyle w:val="19"/>
        <w:tabs>
          <w:tab w:val="right" w:leader="dot" w:pos="8636"/>
        </w:tabs>
        <w:jc w:val="center"/>
        <w:rPr>
          <w:rFonts w:ascii="宋体" w:hAnsi="宋体" w:eastAsia="宋体" w:cs="Times New Roman"/>
          <w:b/>
          <w:color w:val="auto"/>
          <w:kern w:val="2"/>
          <w:sz w:val="32"/>
          <w:highlight w:val="none"/>
        </w:rPr>
      </w:pPr>
    </w:p>
    <w:p w14:paraId="1E122A52">
      <w:pPr>
        <w:pStyle w:val="19"/>
        <w:tabs>
          <w:tab w:val="right" w:leader="dot" w:pos="8636"/>
        </w:tabs>
        <w:jc w:val="center"/>
        <w:rPr>
          <w:rFonts w:ascii="宋体" w:hAnsi="宋体" w:eastAsia="宋体" w:cs="Times New Roman"/>
          <w:b/>
          <w:color w:val="auto"/>
          <w:kern w:val="2"/>
          <w:sz w:val="32"/>
          <w:highlight w:val="none"/>
        </w:rPr>
      </w:pPr>
    </w:p>
    <w:p w14:paraId="05049C19">
      <w:pPr>
        <w:pStyle w:val="19"/>
        <w:tabs>
          <w:tab w:val="right" w:leader="dot" w:pos="8636"/>
        </w:tabs>
        <w:jc w:val="center"/>
        <w:rPr>
          <w:rFonts w:ascii="宋体" w:hAnsi="宋体" w:eastAsia="宋体" w:cs="Times New Roman"/>
          <w:b/>
          <w:color w:val="auto"/>
          <w:kern w:val="2"/>
          <w:sz w:val="32"/>
          <w:highlight w:val="none"/>
        </w:rPr>
      </w:pPr>
    </w:p>
    <w:p w14:paraId="598DE51C">
      <w:pPr>
        <w:pStyle w:val="19"/>
        <w:tabs>
          <w:tab w:val="right" w:leader="dot" w:pos="8636"/>
        </w:tabs>
        <w:jc w:val="center"/>
        <w:rPr>
          <w:rFonts w:ascii="宋体" w:hAnsi="宋体" w:eastAsia="宋体" w:cs="Times New Roman"/>
          <w:b/>
          <w:color w:val="auto"/>
          <w:kern w:val="2"/>
          <w:sz w:val="32"/>
          <w:highlight w:val="none"/>
        </w:rPr>
      </w:pPr>
    </w:p>
    <w:p w14:paraId="076A1A22">
      <w:pPr>
        <w:pStyle w:val="19"/>
        <w:tabs>
          <w:tab w:val="right" w:leader="dot" w:pos="8636"/>
        </w:tabs>
        <w:jc w:val="center"/>
        <w:rPr>
          <w:color w:val="auto"/>
          <w:highlight w:val="none"/>
        </w:rPr>
      </w:pPr>
      <w:r>
        <w:rPr>
          <w:rFonts w:ascii="宋体" w:hAnsi="宋体" w:eastAsia="宋体" w:cs="Times New Roman"/>
          <w:b/>
          <w:color w:val="auto"/>
          <w:kern w:val="2"/>
          <w:sz w:val="32"/>
          <w:highlight w:val="none"/>
        </w:rPr>
        <w:t>Contents</w:t>
      </w:r>
    </w:p>
    <w:p w14:paraId="01CAD15E">
      <w:pPr>
        <w:pStyle w:val="19"/>
        <w:tabs>
          <w:tab w:val="right" w:leader="dot" w:pos="864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General Pr</w:t>
      </w:r>
      <w:r>
        <w:rPr>
          <w:rFonts w:hint="eastAsia" w:ascii="Segoe UI" w:hAnsi="Segoe UI" w:eastAsia="宋体" w:cs="Segoe UI"/>
          <w:i w:val="0"/>
          <w:iCs w:val="0"/>
          <w:caps w:val="0"/>
          <w:color w:val="auto"/>
          <w:spacing w:val="0"/>
          <w:sz w:val="22"/>
          <w:szCs w:val="22"/>
          <w:highlight w:val="none"/>
          <w:shd w:val="clear" w:fill="FFFFFF"/>
          <w:lang w:val="en-US" w:eastAsia="zh-CN"/>
        </w:rPr>
        <w:t>ovisions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428226">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Terms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85119D">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xml:space="preserve">Basic </w:t>
      </w:r>
      <w:r>
        <w:rPr>
          <w:rFonts w:hint="eastAsia" w:ascii="Segoe UI" w:hAnsi="Segoe UI" w:eastAsia="宋体" w:cs="Segoe UI"/>
          <w:i w:val="0"/>
          <w:iCs w:val="0"/>
          <w:caps w:val="0"/>
          <w:color w:val="auto"/>
          <w:spacing w:val="0"/>
          <w:sz w:val="22"/>
          <w:szCs w:val="22"/>
          <w:highlight w:val="none"/>
          <w:shd w:val="clear" w:fill="FFFFFF"/>
          <w:lang w:val="en-US" w:eastAsia="zh-CN"/>
        </w:rPr>
        <w:t>requirement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2028D2">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_Toc19107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4 </w:t>
      </w:r>
      <w:r>
        <w:rPr>
          <w:rFonts w:hint="eastAsia" w:ascii="Segoe UI" w:hAnsi="Segoe UI" w:eastAsia="宋体" w:cs="Segoe UI"/>
          <w:i w:val="0"/>
          <w:iCs w:val="0"/>
          <w:caps w:val="0"/>
          <w:color w:val="auto"/>
          <w:spacing w:val="0"/>
          <w:sz w:val="22"/>
          <w:szCs w:val="22"/>
          <w:highlight w:val="none"/>
          <w:shd w:val="clear" w:fill="FFFFFF"/>
        </w:rPr>
        <w:t>Dimensions of Main Indoor Spaces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229212">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_Toc10487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5 </w:t>
      </w:r>
      <w:r>
        <w:rPr>
          <w:rFonts w:ascii="Segoe UI" w:hAnsi="Segoe UI" w:eastAsia="Segoe UI" w:cs="Segoe UI"/>
          <w:i w:val="0"/>
          <w:iCs w:val="0"/>
          <w:caps w:val="0"/>
          <w:color w:val="auto"/>
          <w:spacing w:val="0"/>
          <w:sz w:val="22"/>
          <w:szCs w:val="22"/>
          <w:highlight w:val="none"/>
          <w:shd w:val="clear" w:fill="FFFFFF"/>
        </w:rPr>
        <w:t>Floors, Walls and Ceilings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532A1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_Toc29747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5.1 </w:t>
      </w:r>
      <w:r>
        <w:rPr>
          <w:rFonts w:ascii="Segoe UI" w:hAnsi="Segoe UI" w:eastAsia="Segoe UI" w:cs="Segoe UI"/>
          <w:i w:val="0"/>
          <w:iCs w:val="0"/>
          <w:caps w:val="0"/>
          <w:color w:val="auto"/>
          <w:spacing w:val="0"/>
          <w:sz w:val="22"/>
          <w:szCs w:val="22"/>
          <w:highlight w:val="none"/>
          <w:shd w:val="clear" w:fill="FFFFFF"/>
        </w:rPr>
        <w:t>Indoor Floors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8BF72E">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5.2 </w:t>
      </w:r>
      <w:r>
        <w:rPr>
          <w:rFonts w:ascii="Segoe UI" w:hAnsi="Segoe UI" w:eastAsia="Segoe UI" w:cs="Segoe UI"/>
          <w:i w:val="0"/>
          <w:iCs w:val="0"/>
          <w:caps w:val="0"/>
          <w:color w:val="auto"/>
          <w:spacing w:val="0"/>
          <w:sz w:val="22"/>
          <w:szCs w:val="22"/>
          <w:highlight w:val="none"/>
          <w:shd w:val="clear" w:fill="FFFFFF"/>
        </w:rPr>
        <w:t>Indoor Walls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362C8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5.3 </w:t>
      </w:r>
      <w:r>
        <w:rPr>
          <w:rFonts w:ascii="Segoe UI" w:hAnsi="Segoe UI" w:eastAsia="Segoe UI" w:cs="Segoe UI"/>
          <w:i w:val="0"/>
          <w:iCs w:val="0"/>
          <w:caps w:val="0"/>
          <w:color w:val="auto"/>
          <w:spacing w:val="0"/>
          <w:sz w:val="22"/>
          <w:szCs w:val="22"/>
          <w:highlight w:val="none"/>
          <w:shd w:val="clear" w:fill="FFFFFF"/>
        </w:rPr>
        <w:t>Indoor Ceilings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64393A">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_Toc5054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6 </w:t>
      </w:r>
      <w:r>
        <w:rPr>
          <w:rFonts w:ascii="Segoe UI" w:hAnsi="Segoe UI" w:eastAsia="Segoe UI" w:cs="Segoe UI"/>
          <w:i w:val="0"/>
          <w:iCs w:val="0"/>
          <w:caps w:val="0"/>
          <w:color w:val="auto"/>
          <w:spacing w:val="0"/>
          <w:sz w:val="22"/>
          <w:szCs w:val="22"/>
          <w:highlight w:val="none"/>
          <w:shd w:val="clear" w:fill="FFFFFF"/>
        </w:rPr>
        <w:t>Doors and Windows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BE3A5A">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7 </w:t>
      </w:r>
      <w:r>
        <w:rPr>
          <w:rFonts w:ascii="Segoe UI" w:hAnsi="Segoe UI" w:eastAsia="Segoe UI" w:cs="Segoe UI"/>
          <w:i w:val="0"/>
          <w:iCs w:val="0"/>
          <w:caps w:val="0"/>
          <w:color w:val="auto"/>
          <w:spacing w:val="0"/>
          <w:sz w:val="22"/>
          <w:szCs w:val="22"/>
          <w:highlight w:val="none"/>
          <w:shd w:val="clear" w:fill="FFFFFF"/>
        </w:rPr>
        <w:t>Handrails, Glass Installation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96E093">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8 </w:t>
      </w:r>
      <w:r>
        <w:rPr>
          <w:rFonts w:ascii="Segoe UI" w:hAnsi="Segoe UI" w:eastAsia="Segoe UI" w:cs="Segoe UI"/>
          <w:i w:val="0"/>
          <w:iCs w:val="0"/>
          <w:caps w:val="0"/>
          <w:color w:val="auto"/>
          <w:spacing w:val="0"/>
          <w:sz w:val="22"/>
          <w:szCs w:val="22"/>
          <w:highlight w:val="none"/>
          <w:shd w:val="clear" w:fill="FFFFFF"/>
        </w:rPr>
        <w:t>Water Supply and Drainage and Fire Protection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ACD58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_Toc25016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8.1 </w:t>
      </w:r>
      <w:r>
        <w:rPr>
          <w:rFonts w:ascii="Segoe UI" w:hAnsi="Segoe UI" w:eastAsia="Segoe UI" w:cs="Segoe UI"/>
          <w:i w:val="0"/>
          <w:iCs w:val="0"/>
          <w:caps w:val="0"/>
          <w:color w:val="auto"/>
          <w:spacing w:val="0"/>
          <w:sz w:val="22"/>
          <w:szCs w:val="22"/>
          <w:highlight w:val="none"/>
          <w:shd w:val="clear" w:fill="FFFFFF"/>
        </w:rPr>
        <w:t>Water Supply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8A00B2">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8.2 </w:t>
      </w:r>
      <w:r>
        <w:rPr>
          <w:rFonts w:ascii="Segoe UI" w:hAnsi="Segoe UI" w:eastAsia="Segoe UI" w:cs="Segoe UI"/>
          <w:i w:val="0"/>
          <w:iCs w:val="0"/>
          <w:caps w:val="0"/>
          <w:color w:val="auto"/>
          <w:spacing w:val="0"/>
          <w:sz w:val="22"/>
          <w:szCs w:val="22"/>
          <w:highlight w:val="none"/>
          <w:shd w:val="clear" w:fill="FFFFFF"/>
        </w:rPr>
        <w:t>Water Drainage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758E0B">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8.3 </w:t>
      </w:r>
      <w:r>
        <w:rPr>
          <w:rFonts w:ascii="Segoe UI" w:hAnsi="Segoe UI" w:eastAsia="Segoe UI" w:cs="Segoe UI"/>
          <w:i w:val="0"/>
          <w:iCs w:val="0"/>
          <w:caps w:val="0"/>
          <w:color w:val="auto"/>
          <w:spacing w:val="0"/>
          <w:sz w:val="22"/>
          <w:szCs w:val="22"/>
          <w:highlight w:val="none"/>
          <w:shd w:val="clear" w:fill="FFFFFF"/>
        </w:rPr>
        <w:t>Solar Water Heating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225A29">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8.4 </w:t>
      </w:r>
      <w:r>
        <w:rPr>
          <w:rFonts w:ascii="Segoe UI" w:hAnsi="Segoe UI" w:eastAsia="Segoe UI" w:cs="Segoe UI"/>
          <w:i w:val="0"/>
          <w:iCs w:val="0"/>
          <w:caps w:val="0"/>
          <w:color w:val="auto"/>
          <w:spacing w:val="0"/>
          <w:sz w:val="22"/>
          <w:szCs w:val="22"/>
          <w:highlight w:val="none"/>
          <w:shd w:val="clear" w:fill="FFFFFF"/>
        </w:rPr>
        <w:t>Air Source Heat Pump Water Heating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B3BA5D">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_Toc9166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8.5 </w:t>
      </w:r>
      <w:r>
        <w:rPr>
          <w:rFonts w:ascii="Segoe UI" w:hAnsi="Segoe UI" w:eastAsia="Segoe UI" w:cs="Segoe UI"/>
          <w:i w:val="0"/>
          <w:iCs w:val="0"/>
          <w:caps w:val="0"/>
          <w:color w:val="auto"/>
          <w:spacing w:val="0"/>
          <w:sz w:val="22"/>
          <w:szCs w:val="22"/>
          <w:highlight w:val="none"/>
          <w:shd w:val="clear" w:fill="FFFFFF"/>
        </w:rPr>
        <w:t>Fire Protection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D84811">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_Toc12919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8.6 </w:t>
      </w:r>
      <w:r>
        <w:rPr>
          <w:rFonts w:ascii="Segoe UI" w:hAnsi="Segoe UI" w:eastAsia="Segoe UI" w:cs="Segoe UI"/>
          <w:i w:val="0"/>
          <w:iCs w:val="0"/>
          <w:caps w:val="0"/>
          <w:color w:val="auto"/>
          <w:spacing w:val="0"/>
          <w:sz w:val="22"/>
          <w:szCs w:val="22"/>
          <w:highlight w:val="none"/>
          <w:shd w:val="clear" w:fill="FFFFFF"/>
        </w:rPr>
        <w:t>Kitchen and Bathroom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3C0029">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_Toc1650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9 </w:t>
      </w:r>
      <w:r>
        <w:rPr>
          <w:rFonts w:ascii="Segoe UI" w:hAnsi="Segoe UI" w:eastAsia="Segoe UI" w:cs="Segoe UI"/>
          <w:i w:val="0"/>
          <w:iCs w:val="0"/>
          <w:caps w:val="0"/>
          <w:color w:val="auto"/>
          <w:spacing w:val="0"/>
          <w:sz w:val="22"/>
          <w:szCs w:val="22"/>
          <w:highlight w:val="none"/>
          <w:shd w:val="clear" w:fill="FFFFFF"/>
        </w:rPr>
        <w:t>Electrical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D61598">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_Toc21259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9.1 </w:t>
      </w:r>
      <w:r>
        <w:rPr>
          <w:rFonts w:ascii="Segoe UI" w:hAnsi="Segoe UI" w:eastAsia="Segoe UI" w:cs="Segoe UI"/>
          <w:i w:val="0"/>
          <w:iCs w:val="0"/>
          <w:caps w:val="0"/>
          <w:color w:val="auto"/>
          <w:spacing w:val="0"/>
          <w:sz w:val="22"/>
          <w:szCs w:val="22"/>
          <w:highlight w:val="none"/>
          <w:shd w:val="clear" w:fill="FFFFFF"/>
        </w:rPr>
        <w:t xml:space="preserve">General </w:t>
      </w:r>
      <w:r>
        <w:rPr>
          <w:rFonts w:hint="eastAsia" w:ascii="Segoe UI" w:hAnsi="Segoe UI" w:eastAsia="宋体" w:cs="Segoe UI"/>
          <w:i w:val="0"/>
          <w:iCs w:val="0"/>
          <w:caps w:val="0"/>
          <w:color w:val="auto"/>
          <w:spacing w:val="0"/>
          <w:sz w:val="22"/>
          <w:szCs w:val="22"/>
          <w:highlight w:val="none"/>
          <w:shd w:val="clear" w:fill="FFFFFF"/>
          <w:lang w:val="en-US" w:eastAsia="zh-CN"/>
        </w:rPr>
        <w:t>requirement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4289E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_Toc31314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9.2 </w:t>
      </w:r>
      <w:r>
        <w:rPr>
          <w:rFonts w:ascii="Segoe UI" w:hAnsi="Segoe UI" w:eastAsia="Segoe UI" w:cs="Segoe UI"/>
          <w:i w:val="0"/>
          <w:iCs w:val="0"/>
          <w:caps w:val="0"/>
          <w:color w:val="auto"/>
          <w:spacing w:val="0"/>
          <w:sz w:val="22"/>
          <w:szCs w:val="22"/>
          <w:highlight w:val="none"/>
          <w:shd w:val="clear" w:fill="FFFFFF"/>
        </w:rPr>
        <w:t>Indoor Distribution Box</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65E9C3">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3</w:t>
      </w:r>
      <w:r>
        <w:rPr>
          <w:rFonts w:hint="eastAsia" w:ascii="宋体" w:hAnsi="宋体" w:eastAsia="宋体" w:cs="宋体"/>
          <w:bCs w:val="0"/>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Switches and Sockets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55DE56">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4</w:t>
      </w:r>
      <w:r>
        <w:rPr>
          <w:rFonts w:hint="eastAsia" w:ascii="宋体" w:hAnsi="宋体" w:eastAsia="宋体" w:cs="宋体"/>
          <w:bCs w:val="0"/>
          <w:color w:val="auto"/>
          <w:highlight w:val="none"/>
        </w:rPr>
        <w:t xml:space="preserve"> </w:t>
      </w:r>
      <w:r>
        <w:rPr>
          <w:rFonts w:hint="default" w:ascii="Segoe UI" w:hAnsi="Segoe UI" w:eastAsia="Segoe UI" w:cs="Segoe UI"/>
          <w:bCs w:val="0"/>
          <w:color w:val="auto"/>
          <w:highlight w:val="none"/>
          <w:shd w:val="clear" w:fill="FFFFFF"/>
        </w:rPr>
        <w:t>luminaires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3B339D">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_Toc18424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10 </w:t>
      </w:r>
      <w:r>
        <w:rPr>
          <w:rFonts w:ascii="Segoe UI" w:hAnsi="Segoe UI" w:eastAsia="Segoe UI" w:cs="Segoe UI"/>
          <w:i w:val="0"/>
          <w:iCs w:val="0"/>
          <w:caps w:val="0"/>
          <w:color w:val="auto"/>
          <w:spacing w:val="0"/>
          <w:sz w:val="22"/>
          <w:szCs w:val="22"/>
          <w:highlight w:val="none"/>
          <w:shd w:val="clear" w:fill="FFFFFF"/>
        </w:rPr>
        <w:t>Intelligent Building Construction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1C2844">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eastAsia="zh-CN"/>
        </w:rPr>
        <w:t>10.1</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Fiber to the Home Communication Facilities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E7E6F7">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_Toc32741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Network and Cable TV Facilities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6C20F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w:t>
      </w:r>
      <w:r>
        <w:rPr>
          <w:rFonts w:hint="default" w:ascii="Segoe UI" w:hAnsi="Segoe UI" w:eastAsia="Segoe UI" w:cs="Segoe UI"/>
          <w:i w:val="0"/>
          <w:iCs w:val="0"/>
          <w:caps w:val="0"/>
          <w:color w:val="auto"/>
          <w:spacing w:val="0"/>
          <w:sz w:val="22"/>
          <w:szCs w:val="22"/>
          <w:highlight w:val="none"/>
          <w:shd w:val="clear" w:fill="FFFFFF"/>
        </w:rPr>
        <w:t>Video Intercom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C0C6FD">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_Toc6723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Alarm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FCCC66">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Video Surveillance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9227D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_Toc7562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 xml:space="preserve">10.6 </w:t>
      </w:r>
      <w:r>
        <w:rPr>
          <w:rFonts w:ascii="Segoe UI" w:hAnsi="Segoe UI" w:eastAsia="Segoe UI" w:cs="Segoe UI"/>
          <w:i w:val="0"/>
          <w:iCs w:val="0"/>
          <w:caps w:val="0"/>
          <w:color w:val="auto"/>
          <w:spacing w:val="0"/>
          <w:sz w:val="22"/>
          <w:szCs w:val="22"/>
          <w:highlight w:val="none"/>
          <w:shd w:val="clear" w:fill="FFFFFF"/>
        </w:rPr>
        <w:t>Smart Home Control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29FB0D">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_Toc14413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11 </w:t>
      </w:r>
      <w:r>
        <w:rPr>
          <w:rFonts w:ascii="Segoe UI" w:hAnsi="Segoe UI" w:eastAsia="Segoe UI" w:cs="Segoe UI"/>
          <w:i w:val="0"/>
          <w:iCs w:val="0"/>
          <w:caps w:val="0"/>
          <w:color w:val="auto"/>
          <w:spacing w:val="0"/>
          <w:sz w:val="22"/>
          <w:szCs w:val="22"/>
          <w:highlight w:val="none"/>
          <w:shd w:val="clear" w:fill="FFFFFF"/>
        </w:rPr>
        <w:t>Ventilation and Air Conditioning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FCB9BF">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_Toc12031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12 </w:t>
      </w:r>
      <w:r>
        <w:rPr>
          <w:rFonts w:ascii="Segoe UI" w:hAnsi="Segoe UI" w:eastAsia="Segoe UI" w:cs="Segoe UI"/>
          <w:i w:val="0"/>
          <w:iCs w:val="0"/>
          <w:caps w:val="0"/>
          <w:color w:val="auto"/>
          <w:spacing w:val="0"/>
          <w:sz w:val="22"/>
          <w:szCs w:val="22"/>
          <w:highlight w:val="none"/>
          <w:shd w:val="clear" w:fill="FFFFFF"/>
        </w:rPr>
        <w:t> </w:t>
      </w:r>
      <w:r>
        <w:rPr>
          <w:rFonts w:hint="default" w:ascii="Segoe UI" w:hAnsi="Segoe UI" w:eastAsia="Segoe UI" w:cs="Segoe UI"/>
          <w:i w:val="0"/>
          <w:iCs w:val="0"/>
          <w:caps w:val="0"/>
          <w:color w:val="auto"/>
          <w:spacing w:val="0"/>
          <w:sz w:val="22"/>
          <w:szCs w:val="22"/>
          <w:highlight w:val="none"/>
          <w:shd w:val="clear" w:fill="FFFFFF"/>
        </w:rPr>
        <w:t>Public Areas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CF72C4">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_Toc12713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12.1 </w:t>
      </w:r>
      <w:r>
        <w:rPr>
          <w:rFonts w:ascii="Segoe UI" w:hAnsi="Segoe UI" w:eastAsia="Segoe UI" w:cs="Segoe UI"/>
          <w:i w:val="0"/>
          <w:iCs w:val="0"/>
          <w:caps w:val="0"/>
          <w:color w:val="auto"/>
          <w:spacing w:val="0"/>
          <w:sz w:val="22"/>
          <w:szCs w:val="22"/>
          <w:highlight w:val="none"/>
          <w:shd w:val="clear" w:fill="FFFFFF"/>
        </w:rPr>
        <w:t>Public Transportation Areas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2F3BB7">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12.2 </w:t>
      </w:r>
      <w:r>
        <w:rPr>
          <w:rFonts w:ascii="Segoe UI" w:hAnsi="Segoe UI" w:eastAsia="Segoe UI" w:cs="Segoe UI"/>
          <w:i w:val="0"/>
          <w:iCs w:val="0"/>
          <w:caps w:val="0"/>
          <w:color w:val="auto"/>
          <w:spacing w:val="0"/>
          <w:sz w:val="22"/>
          <w:szCs w:val="22"/>
          <w:highlight w:val="none"/>
          <w:shd w:val="clear" w:fill="FFFFFF"/>
        </w:rPr>
        <w:t>Basement and Rooftop Sections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5D55C2">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_Toc8018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12.3 </w:t>
      </w:r>
      <w:r>
        <w:rPr>
          <w:rFonts w:ascii="Segoe UI" w:hAnsi="Segoe UI" w:eastAsia="Segoe UI" w:cs="Segoe UI"/>
          <w:i w:val="0"/>
          <w:iCs w:val="0"/>
          <w:caps w:val="0"/>
          <w:color w:val="auto"/>
          <w:spacing w:val="0"/>
          <w:sz w:val="22"/>
          <w:szCs w:val="22"/>
          <w:highlight w:val="none"/>
          <w:shd w:val="clear" w:fill="FFFFFF"/>
        </w:rPr>
        <w:t>Accessibility and Public Area Decoration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987E61">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_Toc4013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A </w:t>
      </w:r>
      <w:r>
        <w:rPr>
          <w:rFonts w:ascii="Helvetica" w:hAnsi="Helvetica" w:eastAsia="Helvetica" w:cs="Helvetica"/>
          <w:i w:val="0"/>
          <w:iCs w:val="0"/>
          <w:caps w:val="0"/>
          <w:color w:val="auto"/>
          <w:spacing w:val="0"/>
          <w:sz w:val="21"/>
          <w:szCs w:val="21"/>
          <w:highlight w:val="none"/>
        </w:rPr>
        <w:t>Residential Project household</w:t>
      </w:r>
      <w:r>
        <w:rPr>
          <w:rFonts w:hint="eastAsia" w:ascii="Helvetica" w:hAnsi="Helvetica" w:eastAsia="宋体" w:cs="Helvetica"/>
          <w:i w:val="0"/>
          <w:iCs w:val="0"/>
          <w:caps w:val="0"/>
          <w:color w:val="auto"/>
          <w:spacing w:val="0"/>
          <w:sz w:val="21"/>
          <w:szCs w:val="21"/>
          <w:highlight w:val="none"/>
          <w:lang w:val="en-US" w:eastAsia="zh-CN"/>
        </w:rPr>
        <w:t xml:space="preserve"> </w:t>
      </w:r>
      <w:r>
        <w:rPr>
          <w:rFonts w:ascii="Helvetica" w:hAnsi="Helvetica" w:eastAsia="Helvetica" w:cs="Helvetica"/>
          <w:i w:val="0"/>
          <w:iCs w:val="0"/>
          <w:caps w:val="0"/>
          <w:color w:val="auto"/>
          <w:spacing w:val="0"/>
          <w:sz w:val="21"/>
          <w:szCs w:val="21"/>
          <w:highlight w:val="none"/>
        </w:rPr>
        <w:t xml:space="preserve">Quality Inspection </w:t>
      </w:r>
      <w:r>
        <w:rPr>
          <w:rFonts w:hint="eastAsia" w:ascii="Helvetica" w:hAnsi="Helvetica" w:eastAsia="宋体" w:cs="Helvetica"/>
          <w:i w:val="0"/>
          <w:iCs w:val="0"/>
          <w:caps w:val="0"/>
          <w:color w:val="auto"/>
          <w:spacing w:val="0"/>
          <w:sz w:val="21"/>
          <w:szCs w:val="21"/>
          <w:highlight w:val="none"/>
          <w:lang w:val="en-US" w:eastAsia="zh-CN"/>
        </w:rPr>
        <w:t>Scheme</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F4CE5F">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_Toc19362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B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24017E">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_Toc2211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C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0987C5">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_Toc30512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D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51AAFA">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E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5E7FC0">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_Toc18021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F </w:t>
      </w:r>
      <w:r>
        <w:rPr>
          <w:rFonts w:ascii="Helvetica" w:hAnsi="Helvetica" w:eastAsia="Helvetica" w:cs="Helvetica"/>
          <w:i w:val="0"/>
          <w:iCs w:val="0"/>
          <w:caps w:val="0"/>
          <w:color w:val="auto"/>
          <w:spacing w:val="0"/>
          <w:sz w:val="21"/>
          <w:szCs w:val="21"/>
          <w:highlight w:val="none"/>
        </w:rPr>
        <w:t>Summary Form for Household Quality Inspection of Residential Projects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19092C">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_Toc11470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Appendix G</w:t>
      </w:r>
      <w:r>
        <w:rPr>
          <w:rFonts w:hint="default" w:ascii="Helvetica" w:hAnsi="Helvetica" w:eastAsia="Helvetica" w:cs="Helvetica"/>
          <w:bCs w:val="0"/>
          <w:color w:val="auto"/>
          <w:kern w:val="0"/>
          <w:sz w:val="21"/>
          <w:szCs w:val="21"/>
          <w:highlight w:val="none"/>
        </w:rPr>
        <w:t xml:space="preserve"> Certificate of Approval for Household Quality Inspection of Residential Project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F6EDB1">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_Toc30875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 xml:space="preserve">Explanation of </w:t>
      </w:r>
      <w:r>
        <w:rPr>
          <w:rFonts w:hint="eastAsia" w:ascii="Segoe UI" w:hAnsi="Segoe UI" w:eastAsia="宋体" w:cs="Segoe UI"/>
          <w:i w:val="0"/>
          <w:iCs w:val="0"/>
          <w:caps w:val="0"/>
          <w:color w:val="auto"/>
          <w:spacing w:val="0"/>
          <w:sz w:val="22"/>
          <w:szCs w:val="22"/>
          <w:highlight w:val="none"/>
          <w:shd w:val="clear" w:fill="FFFFFF"/>
          <w:lang w:val="en-US" w:eastAsia="zh-CN"/>
        </w:rPr>
        <w:t>Wording</w:t>
      </w:r>
      <w:r>
        <w:rPr>
          <w:rFonts w:ascii="Segoe UI" w:hAnsi="Segoe UI" w:eastAsia="Segoe UI" w:cs="Segoe UI"/>
          <w:i w:val="0"/>
          <w:iCs w:val="0"/>
          <w:caps w:val="0"/>
          <w:color w:val="auto"/>
          <w:spacing w:val="0"/>
          <w:sz w:val="22"/>
          <w:szCs w:val="22"/>
          <w:highlight w:val="none"/>
          <w:shd w:val="clear" w:fill="FFFFFF"/>
        </w:rPr>
        <w:t xml:space="preserve"> in This S</w:t>
      </w:r>
      <w:r>
        <w:rPr>
          <w:rFonts w:hint="eastAsia" w:ascii="Segoe UI" w:hAnsi="Segoe UI" w:eastAsia="宋体" w:cs="Segoe UI"/>
          <w:i w:val="0"/>
          <w:iCs w:val="0"/>
          <w:caps w:val="0"/>
          <w:color w:val="auto"/>
          <w:spacing w:val="0"/>
          <w:sz w:val="22"/>
          <w:szCs w:val="22"/>
          <w:highlight w:val="none"/>
          <w:shd w:val="clear" w:fill="FFFFFF"/>
          <w:lang w:val="en-US" w:eastAsia="zh-CN"/>
        </w:rPr>
        <w:t>tandard</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BA04BD">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_Toc17037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 xml:space="preserve">List of </w:t>
      </w:r>
      <w:r>
        <w:rPr>
          <w:rFonts w:hint="eastAsia" w:ascii="Segoe UI" w:hAnsi="Segoe UI" w:eastAsia="宋体" w:cs="Segoe UI"/>
          <w:i w:val="0"/>
          <w:iCs w:val="0"/>
          <w:caps w:val="0"/>
          <w:color w:val="auto"/>
          <w:spacing w:val="0"/>
          <w:sz w:val="22"/>
          <w:szCs w:val="22"/>
          <w:highlight w:val="none"/>
          <w:shd w:val="clear" w:fill="FFFFFF"/>
          <w:lang w:val="en-US" w:eastAsia="zh-CN"/>
        </w:rPr>
        <w:t>quoted</w:t>
      </w:r>
      <w:r>
        <w:rPr>
          <w:rFonts w:ascii="Segoe UI" w:hAnsi="Segoe UI" w:eastAsia="Segoe UI" w:cs="Segoe UI"/>
          <w:i w:val="0"/>
          <w:iCs w:val="0"/>
          <w:caps w:val="0"/>
          <w:color w:val="auto"/>
          <w:spacing w:val="0"/>
          <w:sz w:val="22"/>
          <w:szCs w:val="22"/>
          <w:highlight w:val="none"/>
          <w:shd w:val="clear" w:fill="FFFFFF"/>
        </w:rPr>
        <w:t xml:space="preserve"> Standards </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842219">
      <w:pPr>
        <w:pStyle w:val="19"/>
        <w:tabs>
          <w:tab w:val="right" w:leader="dot" w:pos="864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_Toc7517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Explanation</w:t>
      </w:r>
      <w:r>
        <w:rPr>
          <w:rFonts w:hint="eastAsia" w:ascii="Segoe UI" w:hAnsi="Segoe UI" w:eastAsia="宋体" w:cs="Segoe UI"/>
          <w:i w:val="0"/>
          <w:iCs w:val="0"/>
          <w:caps w:val="0"/>
          <w:color w:val="auto"/>
          <w:spacing w:val="0"/>
          <w:sz w:val="22"/>
          <w:szCs w:val="22"/>
          <w:highlight w:val="none"/>
          <w:shd w:val="clear" w:fill="FFFFFF"/>
          <w:lang w:val="en-US" w:eastAsia="zh-CN"/>
        </w:rPr>
        <w:t xml:space="preserve"> of provisions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A9D8A9">
      <w:pPr>
        <w:rPr>
          <w:color w:val="auto"/>
          <w:highlight w:val="none"/>
        </w:rPr>
      </w:pPr>
      <w:r>
        <w:rPr>
          <w:color w:val="auto"/>
          <w:highlight w:val="none"/>
        </w:rPr>
        <w:fldChar w:fldCharType="end"/>
      </w:r>
    </w:p>
    <w:p w14:paraId="56E98FE8">
      <w:pPr>
        <w:rPr>
          <w:color w:val="auto"/>
          <w:highlight w:val="none"/>
        </w:rPr>
      </w:pPr>
    </w:p>
    <w:p w14:paraId="2218DB2B">
      <w:pPr>
        <w:rPr>
          <w:color w:val="auto"/>
          <w:highlight w:val="none"/>
        </w:rPr>
      </w:pPr>
    </w:p>
    <w:p w14:paraId="094A27EE">
      <w:pPr>
        <w:rPr>
          <w:color w:val="auto"/>
          <w:highlight w:val="none"/>
        </w:rPr>
      </w:pPr>
    </w:p>
    <w:p w14:paraId="747C2138">
      <w:pPr>
        <w:rPr>
          <w:color w:val="auto"/>
          <w:highlight w:val="none"/>
        </w:rPr>
      </w:pPr>
    </w:p>
    <w:p w14:paraId="6A38B3CB">
      <w:pPr>
        <w:rPr>
          <w:color w:val="auto"/>
          <w:highlight w:val="none"/>
        </w:rPr>
      </w:pPr>
    </w:p>
    <w:p w14:paraId="13982E4E">
      <w:pPr>
        <w:rPr>
          <w:color w:val="auto"/>
          <w:highlight w:val="none"/>
        </w:rPr>
      </w:pPr>
    </w:p>
    <w:p w14:paraId="0356DC7E">
      <w:pPr>
        <w:rPr>
          <w:color w:val="auto"/>
          <w:highlight w:val="none"/>
        </w:rPr>
      </w:pPr>
    </w:p>
    <w:p w14:paraId="740AC603">
      <w:pPr>
        <w:rPr>
          <w:rFonts w:ascii="宋体" w:hAnsi="宋体" w:eastAsia="宋体" w:cs="宋体"/>
          <w:color w:val="auto"/>
          <w:highlight w:val="none"/>
        </w:rPr>
        <w:sectPr>
          <w:footerReference r:id="rId8" w:type="first"/>
          <w:footerReference r:id="rId7" w:type="default"/>
          <w:type w:val="nextColumn"/>
          <w:pgSz w:w="12240" w:h="15840"/>
          <w:pgMar w:top="1440" w:right="1797" w:bottom="1440" w:left="1797" w:header="720" w:footer="720" w:gutter="0"/>
          <w:pgNumType w:start="1"/>
          <w:cols w:space="720" w:num="1"/>
          <w:titlePg/>
          <w:docGrid w:linePitch="286" w:charSpace="0"/>
        </w:sectPr>
      </w:pPr>
    </w:p>
    <w:p w14:paraId="1F18D832">
      <w:pPr>
        <w:pStyle w:val="2"/>
        <w:spacing w:before="240" w:after="240"/>
        <w:rPr>
          <w:rFonts w:ascii="宋体" w:hAnsi="宋体" w:eastAsia="宋体" w:cs="宋体"/>
          <w:color w:val="auto"/>
          <w:highlight w:val="none"/>
        </w:rPr>
      </w:pPr>
      <w:bookmarkStart w:id="3" w:name="_Toc14311"/>
      <w:bookmarkStart w:id="4" w:name="_Toc25821"/>
      <w:bookmarkStart w:id="5" w:name="_Toc2423"/>
      <w:bookmarkStart w:id="6" w:name="_Toc133572701"/>
      <w:bookmarkStart w:id="7" w:name="_Toc31222"/>
      <w:bookmarkStart w:id="8" w:name="_Toc9280"/>
      <w:bookmarkStart w:id="9" w:name="_Toc9365"/>
      <w:bookmarkStart w:id="10" w:name="_Toc60935824"/>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总则</w:t>
      </w:r>
      <w:bookmarkEnd w:id="0"/>
      <w:bookmarkEnd w:id="1"/>
      <w:bookmarkEnd w:id="2"/>
      <w:bookmarkEnd w:id="3"/>
      <w:bookmarkEnd w:id="4"/>
      <w:bookmarkEnd w:id="5"/>
      <w:bookmarkEnd w:id="6"/>
      <w:bookmarkEnd w:id="7"/>
      <w:bookmarkEnd w:id="8"/>
      <w:bookmarkEnd w:id="9"/>
      <w:bookmarkEnd w:id="10"/>
    </w:p>
    <w:p w14:paraId="27275814">
      <w:pPr>
        <w:spacing w:line="360" w:lineRule="auto"/>
        <w:rPr>
          <w:rFonts w:ascii="宋体" w:hAnsi="宋体" w:eastAsia="宋体" w:cs="宋体"/>
          <w:color w:val="auto"/>
          <w:kern w:val="0"/>
          <w:sz w:val="28"/>
          <w:szCs w:val="28"/>
          <w:highlight w:val="none"/>
        </w:rPr>
      </w:pPr>
      <w:r>
        <w:rPr>
          <w:rFonts w:ascii="宋体" w:hAnsi="宋体" w:eastAsia="宋体" w:cs="宋体"/>
          <w:bCs/>
          <w:color w:val="auto"/>
          <w:sz w:val="28"/>
          <w:szCs w:val="28"/>
          <w:highlight w:val="none"/>
        </w:rPr>
        <w:t xml:space="preserve">1.0.1 </w:t>
      </w:r>
      <w:r>
        <w:rPr>
          <w:rFonts w:hint="eastAsia" w:ascii="宋体" w:hAnsi="宋体" w:eastAsia="宋体" w:cs="宋体"/>
          <w:bCs/>
          <w:color w:val="auto"/>
          <w:sz w:val="28"/>
          <w:szCs w:val="28"/>
          <w:highlight w:val="none"/>
        </w:rPr>
        <w:t>为加强住宅工程质量管理，规范住宅工程质量分户验收的内容和方法，保证住宅工程的交付质量，制定本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w:t>
      </w:r>
    </w:p>
    <w:p w14:paraId="14668168">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w:t>
      </w:r>
      <w:r>
        <w:rPr>
          <w:rFonts w:ascii="宋体" w:hAnsi="宋体" w:eastAsia="宋体" w:cs="宋体"/>
          <w:color w:val="auto"/>
          <w:kern w:val="0"/>
          <w:sz w:val="28"/>
          <w:szCs w:val="28"/>
          <w:highlight w:val="none"/>
          <w:shd w:val="pct10" w:color="auto" w:fill="FFFFFF"/>
        </w:rPr>
        <w:t>1.0.1 本条明确</w:t>
      </w:r>
      <w:r>
        <w:rPr>
          <w:rFonts w:hint="eastAsia" w:ascii="宋体" w:hAnsi="宋体" w:eastAsia="宋体" w:cs="宋体"/>
          <w:color w:val="auto"/>
          <w:kern w:val="0"/>
          <w:sz w:val="28"/>
          <w:szCs w:val="28"/>
          <w:highlight w:val="none"/>
          <w:shd w:val="pct10" w:color="auto" w:fill="FFFFFF"/>
          <w:lang w:eastAsia="zh-CN"/>
        </w:rPr>
        <w:t>标准</w:t>
      </w:r>
      <w:r>
        <w:rPr>
          <w:rFonts w:ascii="宋体" w:hAnsi="宋体" w:eastAsia="宋体" w:cs="宋体"/>
          <w:color w:val="auto"/>
          <w:kern w:val="0"/>
          <w:sz w:val="28"/>
          <w:szCs w:val="28"/>
          <w:highlight w:val="none"/>
          <w:shd w:val="pct10" w:color="auto" w:fill="FFFFFF"/>
        </w:rPr>
        <w:t>制定的目的。</w:t>
      </w:r>
    </w:p>
    <w:p w14:paraId="6101FFFD">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1.0.2 </w:t>
      </w:r>
      <w:r>
        <w:rPr>
          <w:rFonts w:hint="eastAsia" w:ascii="宋体" w:hAnsi="宋体" w:eastAsia="宋体" w:cs="宋体"/>
          <w:bCs/>
          <w:color w:val="auto"/>
          <w:sz w:val="28"/>
          <w:szCs w:val="28"/>
          <w:highlight w:val="none"/>
        </w:rPr>
        <w:t>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适用于广东省行政区域内的新建住宅工程质量分户验收。改建和扩建的住宅工程质量分户验收可参照执行。</w:t>
      </w:r>
    </w:p>
    <w:p w14:paraId="733D55FF">
      <w:pPr>
        <w:spacing w:line="360" w:lineRule="auto"/>
        <w:rPr>
          <w:rFonts w:ascii="宋体" w:hAnsi="宋体" w:eastAsia="宋体" w:cs="宋体"/>
          <w:bCs/>
          <w:color w:val="auto"/>
          <w:sz w:val="28"/>
          <w:szCs w:val="28"/>
          <w:highlight w:val="none"/>
          <w:shd w:val="pct10" w:color="auto" w:fill="FFFFFF"/>
        </w:rPr>
      </w:pPr>
      <w:r>
        <w:rPr>
          <w:rFonts w:hint="eastAsia" w:ascii="宋体" w:hAnsi="宋体" w:eastAsia="宋体" w:cs="宋体"/>
          <w:bCs/>
          <w:color w:val="auto"/>
          <w:sz w:val="28"/>
          <w:szCs w:val="28"/>
          <w:highlight w:val="none"/>
          <w:shd w:val="pct10" w:color="auto" w:fill="FFFFFF"/>
        </w:rPr>
        <w:t>【条文说明】</w:t>
      </w:r>
      <w:r>
        <w:rPr>
          <w:rFonts w:ascii="宋体" w:hAnsi="宋体" w:eastAsia="宋体" w:cs="宋体"/>
          <w:bCs/>
          <w:color w:val="auto"/>
          <w:sz w:val="28"/>
          <w:szCs w:val="28"/>
          <w:highlight w:val="none"/>
          <w:shd w:val="pct10" w:color="auto" w:fill="FFFFFF"/>
        </w:rPr>
        <w:t>1.0.2 本条明确</w:t>
      </w:r>
      <w:r>
        <w:rPr>
          <w:rFonts w:hint="eastAsia" w:ascii="宋体" w:hAnsi="宋体" w:eastAsia="宋体" w:cs="宋体"/>
          <w:bCs/>
          <w:color w:val="auto"/>
          <w:sz w:val="28"/>
          <w:szCs w:val="28"/>
          <w:highlight w:val="none"/>
          <w:shd w:val="pct10" w:color="auto" w:fill="FFFFFF"/>
          <w:lang w:eastAsia="zh-CN"/>
        </w:rPr>
        <w:t>标准</w:t>
      </w:r>
      <w:r>
        <w:rPr>
          <w:rFonts w:ascii="宋体" w:hAnsi="宋体" w:eastAsia="宋体" w:cs="宋体"/>
          <w:bCs/>
          <w:color w:val="auto"/>
          <w:sz w:val="28"/>
          <w:szCs w:val="28"/>
          <w:highlight w:val="none"/>
          <w:shd w:val="pct10" w:color="auto" w:fill="FFFFFF"/>
        </w:rPr>
        <w:t>适用范围。</w:t>
      </w:r>
    </w:p>
    <w:p w14:paraId="6ACBBC11">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1.0.3 </w:t>
      </w:r>
      <w:r>
        <w:rPr>
          <w:rFonts w:hint="eastAsia" w:ascii="宋体" w:hAnsi="宋体" w:eastAsia="宋体" w:cs="宋体"/>
          <w:bCs/>
          <w:color w:val="auto"/>
          <w:sz w:val="28"/>
          <w:szCs w:val="28"/>
          <w:highlight w:val="none"/>
        </w:rPr>
        <w:t>住宅工程质量分户验收，除应执行本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外，尚应符合国家、行业和广东省现行有关标准、规定的要求。</w:t>
      </w:r>
    </w:p>
    <w:p w14:paraId="779E2E73">
      <w:pPr>
        <w:widowControl/>
        <w:jc w:val="left"/>
        <w:rPr>
          <w:rFonts w:ascii="宋体" w:hAnsi="宋体" w:eastAsia="宋体" w:cs="宋体"/>
          <w:bCs/>
          <w:color w:val="auto"/>
          <w:sz w:val="28"/>
          <w:szCs w:val="28"/>
          <w:highlight w:val="none"/>
        </w:rPr>
      </w:pPr>
      <w:bookmarkStart w:id="11" w:name="_Toc18056639"/>
      <w:bookmarkStart w:id="12" w:name="_Toc18394295"/>
      <w:r>
        <w:rPr>
          <w:rFonts w:ascii="宋体" w:hAnsi="宋体" w:eastAsia="宋体" w:cs="宋体"/>
          <w:b/>
          <w:bCs/>
          <w:color w:val="auto"/>
          <w:highlight w:val="none"/>
        </w:rPr>
        <w:br w:type="page"/>
      </w:r>
    </w:p>
    <w:p w14:paraId="77C6E7DB">
      <w:pPr>
        <w:pStyle w:val="2"/>
        <w:spacing w:before="240" w:after="240"/>
        <w:rPr>
          <w:rFonts w:ascii="宋体" w:hAnsi="宋体" w:eastAsia="宋体" w:cs="宋体"/>
          <w:color w:val="auto"/>
          <w:highlight w:val="none"/>
        </w:rPr>
      </w:pPr>
      <w:bookmarkStart w:id="13" w:name="_Toc2683"/>
      <w:bookmarkStart w:id="14" w:name="_Toc46060087"/>
      <w:bookmarkStart w:id="15" w:name="_Toc60935825"/>
      <w:bookmarkStart w:id="16" w:name="_Toc7358"/>
      <w:bookmarkStart w:id="17" w:name="_Toc7775"/>
      <w:bookmarkStart w:id="18" w:name="_Toc5914"/>
      <w:bookmarkStart w:id="19" w:name="_Toc29742"/>
      <w:bookmarkStart w:id="20" w:name="_Toc2990"/>
      <w:bookmarkStart w:id="21" w:name="_Toc133572702"/>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术语</w:t>
      </w:r>
      <w:bookmarkEnd w:id="11"/>
      <w:bookmarkEnd w:id="12"/>
      <w:bookmarkEnd w:id="13"/>
      <w:bookmarkEnd w:id="14"/>
      <w:bookmarkEnd w:id="15"/>
      <w:bookmarkEnd w:id="16"/>
      <w:bookmarkEnd w:id="17"/>
      <w:bookmarkEnd w:id="18"/>
      <w:bookmarkEnd w:id="19"/>
      <w:bookmarkEnd w:id="20"/>
      <w:bookmarkEnd w:id="21"/>
    </w:p>
    <w:p w14:paraId="0CDACD5B">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 </w:t>
      </w:r>
      <w:r>
        <w:rPr>
          <w:rFonts w:hint="eastAsia" w:ascii="宋体" w:hAnsi="宋体" w:eastAsia="宋体" w:cs="宋体"/>
          <w:bCs/>
          <w:color w:val="auto"/>
          <w:sz w:val="28"/>
          <w:szCs w:val="28"/>
          <w:highlight w:val="none"/>
        </w:rPr>
        <w:t>住宅工程质量分户验收 household quality inspection of residential projects</w:t>
      </w:r>
    </w:p>
    <w:p w14:paraId="7568E9B6">
      <w:pPr>
        <w:pStyle w:val="9"/>
        <w:spacing w:before="115" w:line="360" w:lineRule="auto"/>
        <w:ind w:left="0" w:firstLine="560" w:firstLineChars="200"/>
        <w:rPr>
          <w:rFonts w:cs="宋体"/>
          <w:color w:val="auto"/>
          <w:sz w:val="28"/>
          <w:szCs w:val="28"/>
          <w:highlight w:val="none"/>
          <w:lang w:eastAsia="zh-CN"/>
        </w:rPr>
      </w:pPr>
      <w:r>
        <w:rPr>
          <w:rFonts w:hint="eastAsia" w:cs="宋体"/>
          <w:color w:val="auto"/>
          <w:sz w:val="28"/>
          <w:szCs w:val="28"/>
          <w:highlight w:val="none"/>
          <w:lang w:eastAsia="zh-CN"/>
        </w:rPr>
        <w:t>住宅工程在各检验批、分项、分部工程质量验收合格、常见质量问题专项治理验收合格的基础上，依据经审查合格的施工图设计文件、国家及省现行的工程质量验收标准规范，对每户住宅及相关公共部位的外在质量和使用功能状态等进行检查验收并出具验收合格证明。</w:t>
      </w:r>
    </w:p>
    <w:p w14:paraId="311EBE4E">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w:t>
      </w:r>
      <w:r>
        <w:rPr>
          <w:rFonts w:ascii="宋体" w:hAnsi="宋体" w:eastAsia="宋体" w:cs="宋体"/>
          <w:color w:val="auto"/>
          <w:kern w:val="0"/>
          <w:sz w:val="28"/>
          <w:szCs w:val="28"/>
          <w:highlight w:val="none"/>
          <w:shd w:val="pct10" w:color="auto" w:fill="FFFFFF"/>
        </w:rPr>
        <w:t>2</w:t>
      </w:r>
      <w:r>
        <w:rPr>
          <w:rFonts w:hint="eastAsia" w:ascii="宋体" w:hAnsi="宋体" w:eastAsia="宋体" w:cs="宋体"/>
          <w:color w:val="auto"/>
          <w:kern w:val="0"/>
          <w:sz w:val="28"/>
          <w:szCs w:val="28"/>
          <w:highlight w:val="none"/>
          <w:shd w:val="pct10" w:color="auto" w:fill="FFFFFF"/>
        </w:rPr>
        <w:t>.0.</w:t>
      </w:r>
      <w:r>
        <w:rPr>
          <w:rFonts w:ascii="宋体" w:hAnsi="宋体" w:eastAsia="宋体" w:cs="宋体"/>
          <w:color w:val="auto"/>
          <w:kern w:val="0"/>
          <w:sz w:val="28"/>
          <w:szCs w:val="28"/>
          <w:highlight w:val="none"/>
          <w:shd w:val="pct10" w:color="auto" w:fill="FFFFFF"/>
        </w:rPr>
        <w:t>1</w:t>
      </w:r>
      <w:r>
        <w:rPr>
          <w:rFonts w:hint="eastAsia" w:ascii="宋体" w:hAnsi="宋体" w:eastAsia="宋体" w:cs="宋体"/>
          <w:color w:val="auto"/>
          <w:kern w:val="0"/>
          <w:sz w:val="28"/>
          <w:szCs w:val="28"/>
          <w:highlight w:val="none"/>
          <w:shd w:val="pct10" w:color="auto" w:fill="FFFFFF"/>
        </w:rPr>
        <w:t xml:space="preserve"> 本条明确了分户验收实施的时间段</w:t>
      </w:r>
      <w:r>
        <w:rPr>
          <w:rFonts w:hint="eastAsia" w:ascii="宋体" w:hAnsi="宋体" w:eastAsia="宋体" w:cs="宋体"/>
          <w:color w:val="auto"/>
          <w:kern w:val="0"/>
          <w:sz w:val="28"/>
          <w:szCs w:val="28"/>
          <w:highlight w:val="none"/>
          <w:shd w:val="pct10" w:color="auto" w:fill="FFFFFF"/>
          <w:lang w:eastAsia="zh-CN"/>
        </w:rPr>
        <w:t>、</w:t>
      </w:r>
      <w:r>
        <w:rPr>
          <w:rFonts w:hint="eastAsia" w:ascii="宋体" w:hAnsi="宋体" w:eastAsia="宋体" w:cs="宋体"/>
          <w:color w:val="auto"/>
          <w:kern w:val="0"/>
          <w:sz w:val="28"/>
          <w:szCs w:val="28"/>
          <w:highlight w:val="none"/>
          <w:shd w:val="pct10" w:color="auto" w:fill="FFFFFF"/>
        </w:rPr>
        <w:t>检验内容</w:t>
      </w:r>
      <w:r>
        <w:rPr>
          <w:rFonts w:hint="eastAsia" w:ascii="宋体" w:hAnsi="宋体" w:eastAsia="宋体" w:cs="宋体"/>
          <w:color w:val="auto"/>
          <w:kern w:val="0"/>
          <w:sz w:val="28"/>
          <w:szCs w:val="28"/>
          <w:highlight w:val="none"/>
          <w:shd w:val="pct10" w:color="auto" w:fill="FFFFFF"/>
          <w:lang w:val="en-US" w:eastAsia="zh-CN"/>
        </w:rPr>
        <w:t>和</w:t>
      </w:r>
      <w:r>
        <w:rPr>
          <w:rFonts w:hint="eastAsia" w:ascii="宋体" w:hAnsi="宋体" w:eastAsia="宋体" w:cs="宋体"/>
          <w:color w:val="auto"/>
          <w:kern w:val="0"/>
          <w:sz w:val="28"/>
          <w:szCs w:val="28"/>
          <w:highlight w:val="none"/>
          <w:shd w:val="pct10" w:color="auto" w:fill="FFFFFF"/>
        </w:rPr>
        <w:t>重点，说明了住宅工程质量分户验收的前提条件是在住宅工程各检验批、分项、分部工程验收合格、常见质量问题专项治理验收合格的基础上开展的。住宅工程质量分户验收应重点关注检验对象的观感质量、使用功能、使用安全等内容。</w:t>
      </w:r>
    </w:p>
    <w:p w14:paraId="7B969306">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.0.2 </w:t>
      </w:r>
      <w:r>
        <w:rPr>
          <w:rFonts w:hint="eastAsia" w:ascii="宋体" w:hAnsi="宋体" w:cs="宋体"/>
          <w:color w:val="auto"/>
          <w:highlight w:val="none"/>
        </w:rPr>
        <w:t>空间尺寸 space</w:t>
      </w:r>
      <w:r>
        <w:rPr>
          <w:rFonts w:ascii="宋体" w:hAnsi="宋体" w:cs="宋体"/>
          <w:color w:val="auto"/>
          <w:highlight w:val="none"/>
        </w:rPr>
        <w:t xml:space="preserve"> </w:t>
      </w:r>
      <w:r>
        <w:rPr>
          <w:rFonts w:hint="eastAsia" w:ascii="宋体" w:hAnsi="宋体" w:cs="宋体"/>
          <w:color w:val="auto"/>
          <w:highlight w:val="none"/>
        </w:rPr>
        <w:t>size</w:t>
      </w:r>
    </w:p>
    <w:p w14:paraId="07B7E340">
      <w:pPr>
        <w:pStyle w:val="46"/>
        <w:spacing w:line="360" w:lineRule="auto"/>
        <w:rPr>
          <w:rFonts w:ascii="宋体" w:hAnsi="宋体" w:cs="宋体"/>
          <w:color w:val="auto"/>
          <w:highlight w:val="none"/>
        </w:rPr>
      </w:pPr>
      <w:r>
        <w:rPr>
          <w:rFonts w:hint="eastAsia" w:ascii="宋体" w:hAnsi="宋体" w:cs="宋体"/>
          <w:color w:val="auto"/>
          <w:highlight w:val="none"/>
        </w:rPr>
        <w:t>住宅工程户内各自然间相对应完成面之间的距离，主要包括净开间、</w:t>
      </w:r>
      <w:r>
        <w:rPr>
          <w:rFonts w:hint="eastAsia" w:ascii="宋体" w:hAnsi="宋体" w:cs="宋体"/>
          <w:color w:val="auto"/>
          <w:highlight w:val="none"/>
          <w:lang w:val="en-US" w:eastAsia="zh-CN"/>
        </w:rPr>
        <w:t>净</w:t>
      </w:r>
      <w:r>
        <w:rPr>
          <w:rFonts w:hint="eastAsia" w:ascii="宋体" w:hAnsi="宋体" w:cs="宋体"/>
          <w:color w:val="auto"/>
          <w:highlight w:val="none"/>
        </w:rPr>
        <w:t>进深、净高度尺寸。</w:t>
      </w:r>
    </w:p>
    <w:p w14:paraId="0AA3EB1D">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.0.3 </w:t>
      </w:r>
      <w:r>
        <w:rPr>
          <w:rFonts w:hint="eastAsia" w:ascii="宋体" w:hAnsi="宋体" w:cs="宋体"/>
          <w:color w:val="auto"/>
          <w:highlight w:val="none"/>
        </w:rPr>
        <w:t>推算值 presumed</w:t>
      </w:r>
      <w:r>
        <w:rPr>
          <w:rFonts w:ascii="宋体" w:hAnsi="宋体" w:cs="宋体"/>
          <w:color w:val="auto"/>
          <w:highlight w:val="none"/>
        </w:rPr>
        <w:t xml:space="preserve"> </w:t>
      </w:r>
      <w:r>
        <w:rPr>
          <w:rFonts w:hint="eastAsia" w:ascii="宋体" w:hAnsi="宋体" w:cs="宋体"/>
          <w:color w:val="auto"/>
          <w:highlight w:val="none"/>
        </w:rPr>
        <w:t>value</w:t>
      </w:r>
    </w:p>
    <w:p w14:paraId="10487F4F">
      <w:pPr>
        <w:pStyle w:val="46"/>
        <w:spacing w:line="360" w:lineRule="auto"/>
        <w:rPr>
          <w:rFonts w:ascii="宋体" w:hAnsi="宋体" w:cs="宋体"/>
          <w:color w:val="auto"/>
          <w:highlight w:val="none"/>
        </w:rPr>
      </w:pPr>
      <w:r>
        <w:rPr>
          <w:rFonts w:hint="eastAsia" w:ascii="宋体" w:hAnsi="宋体" w:cs="宋体"/>
          <w:color w:val="auto"/>
          <w:highlight w:val="none"/>
        </w:rPr>
        <w:t>根据设计文件，由轴线位置、建筑设计层高等尺寸以及楼板厚度，梁、柱、墙等构件尺寸和装修层厚度等计算得出的数值。</w:t>
      </w:r>
    </w:p>
    <w:p w14:paraId="071DA090">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.0.4 </w:t>
      </w:r>
      <w:r>
        <w:rPr>
          <w:rFonts w:hint="eastAsia" w:ascii="宋体" w:hAnsi="宋体" w:cs="宋体"/>
          <w:color w:val="auto"/>
          <w:highlight w:val="none"/>
        </w:rPr>
        <w:t>偏差 deviation value</w:t>
      </w:r>
    </w:p>
    <w:p w14:paraId="7E22E8B3">
      <w:pPr>
        <w:pStyle w:val="46"/>
        <w:spacing w:line="360" w:lineRule="auto"/>
        <w:rPr>
          <w:rFonts w:ascii="宋体" w:hAnsi="宋体" w:cs="宋体"/>
          <w:color w:val="auto"/>
          <w:highlight w:val="none"/>
        </w:rPr>
      </w:pPr>
      <w:r>
        <w:rPr>
          <w:rFonts w:hint="eastAsia" w:ascii="宋体" w:hAnsi="宋体" w:cs="宋体"/>
          <w:color w:val="auto"/>
          <w:highlight w:val="none"/>
        </w:rPr>
        <w:t>测量值与推算值之差。</w:t>
      </w:r>
    </w:p>
    <w:p w14:paraId="555B6316">
      <w:pPr>
        <w:pStyle w:val="46"/>
        <w:spacing w:line="360" w:lineRule="auto"/>
        <w:ind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2</w:t>
      </w:r>
      <w:r>
        <w:rPr>
          <w:rFonts w:ascii="宋体" w:hAnsi="宋体" w:cs="宋体"/>
          <w:color w:val="auto"/>
          <w:highlight w:val="none"/>
        </w:rPr>
        <w:t xml:space="preserve">.0.5 </w:t>
      </w:r>
      <w:r>
        <w:rPr>
          <w:rFonts w:hint="eastAsia" w:ascii="宋体" w:hAnsi="宋体" w:cs="宋体"/>
          <w:color w:val="auto"/>
          <w:highlight w:val="none"/>
        </w:rPr>
        <w:t xml:space="preserve">极差 </w:t>
      </w:r>
      <w:r>
        <w:rPr>
          <w:rFonts w:hint="eastAsia" w:ascii="宋体" w:hAnsi="宋体" w:cs="宋体"/>
          <w:color w:val="auto"/>
          <w:highlight w:val="none"/>
          <w:lang w:val="en-US" w:eastAsia="zh-CN"/>
        </w:rPr>
        <w:t>extreme error</w:t>
      </w:r>
    </w:p>
    <w:p w14:paraId="3249D2A8">
      <w:pPr>
        <w:pStyle w:val="46"/>
        <w:spacing w:line="360" w:lineRule="auto"/>
        <w:rPr>
          <w:rFonts w:ascii="宋体" w:hAnsi="宋体" w:cs="宋体"/>
          <w:color w:val="auto"/>
          <w:highlight w:val="none"/>
        </w:rPr>
      </w:pPr>
      <w:r>
        <w:rPr>
          <w:rFonts w:hint="eastAsia" w:ascii="宋体" w:hAnsi="宋体" w:cs="宋体"/>
          <w:color w:val="auto"/>
          <w:highlight w:val="none"/>
        </w:rPr>
        <w:t>一组测量值最大值与最小值之差。</w:t>
      </w:r>
    </w:p>
    <w:p w14:paraId="74875A76">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.0.6 </w:t>
      </w:r>
      <w:r>
        <w:rPr>
          <w:rFonts w:hint="eastAsia" w:ascii="宋体" w:hAnsi="宋体" w:cs="宋体"/>
          <w:color w:val="auto"/>
          <w:highlight w:val="none"/>
        </w:rPr>
        <w:t>积水</w:t>
      </w:r>
      <w:r>
        <w:rPr>
          <w:rFonts w:ascii="宋体" w:hAnsi="宋体" w:cs="宋体"/>
          <w:color w:val="auto"/>
          <w:highlight w:val="none"/>
        </w:rPr>
        <w:t xml:space="preserve"> siltation of water</w:t>
      </w:r>
    </w:p>
    <w:p w14:paraId="19683C43">
      <w:pPr>
        <w:pStyle w:val="46"/>
        <w:spacing w:line="360" w:lineRule="auto"/>
        <w:rPr>
          <w:rFonts w:ascii="宋体" w:hAnsi="宋体" w:cs="宋体"/>
          <w:color w:val="auto"/>
          <w:highlight w:val="none"/>
        </w:rPr>
      </w:pPr>
      <w:r>
        <w:rPr>
          <w:rFonts w:hint="eastAsia" w:ascii="宋体" w:hAnsi="宋体" w:cs="宋体"/>
          <w:color w:val="auto"/>
          <w:highlight w:val="none"/>
        </w:rPr>
        <w:t>楼地面自然排水后，残留水最大深度大于</w:t>
      </w:r>
      <w:r>
        <w:rPr>
          <w:rFonts w:ascii="宋体" w:hAnsi="宋体" w:cs="宋体"/>
          <w:color w:val="auto"/>
          <w:highlight w:val="none"/>
        </w:rPr>
        <w:t>5mm的水体。</w:t>
      </w:r>
      <w:r>
        <w:rPr>
          <w:rFonts w:hint="eastAsia" w:ascii="宋体" w:hAnsi="宋体" w:cs="宋体"/>
          <w:color w:val="auto"/>
          <w:highlight w:val="none"/>
        </w:rPr>
        <w:br w:type="page"/>
      </w:r>
    </w:p>
    <w:p w14:paraId="570872E2">
      <w:pPr>
        <w:pStyle w:val="2"/>
        <w:spacing w:before="240" w:after="240"/>
        <w:rPr>
          <w:rFonts w:ascii="宋体" w:hAnsi="宋体" w:eastAsia="宋体" w:cs="宋体"/>
          <w:color w:val="auto"/>
          <w:highlight w:val="none"/>
        </w:rPr>
      </w:pPr>
      <w:bookmarkStart w:id="22" w:name="_Toc24484"/>
      <w:bookmarkStart w:id="23" w:name="_Toc18394296"/>
      <w:bookmarkStart w:id="24" w:name="_Toc18056640"/>
      <w:bookmarkStart w:id="25" w:name="_Toc28458"/>
      <w:bookmarkStart w:id="26" w:name="_Toc17316"/>
      <w:bookmarkStart w:id="27" w:name="_Toc29667"/>
      <w:bookmarkStart w:id="28" w:name="_Toc16308"/>
      <w:bookmarkStart w:id="29" w:name="_Toc60935826"/>
      <w:bookmarkStart w:id="30" w:name="_Toc133572703"/>
      <w:bookmarkStart w:id="31" w:name="_Toc46060088"/>
      <w:bookmarkStart w:id="32" w:name="_Toc28830"/>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基本规定</w:t>
      </w:r>
      <w:bookmarkEnd w:id="22"/>
      <w:bookmarkEnd w:id="23"/>
      <w:bookmarkEnd w:id="24"/>
      <w:bookmarkEnd w:id="25"/>
      <w:bookmarkEnd w:id="26"/>
      <w:bookmarkEnd w:id="27"/>
      <w:bookmarkEnd w:id="28"/>
      <w:bookmarkEnd w:id="29"/>
      <w:bookmarkEnd w:id="30"/>
      <w:bookmarkEnd w:id="31"/>
      <w:bookmarkEnd w:id="32"/>
    </w:p>
    <w:p w14:paraId="4E9EB642">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.0.1 </w:t>
      </w:r>
      <w:r>
        <w:rPr>
          <w:rFonts w:hint="eastAsia" w:ascii="宋体" w:hAnsi="宋体" w:eastAsia="宋体" w:cs="宋体"/>
          <w:bCs/>
          <w:color w:val="auto"/>
          <w:sz w:val="28"/>
          <w:szCs w:val="28"/>
          <w:highlight w:val="none"/>
        </w:rPr>
        <w:t>进行住宅工程质量分户验收应具备以下条件：</w:t>
      </w:r>
    </w:p>
    <w:p w14:paraId="2B0CEE12">
      <w:pPr>
        <w:pStyle w:val="46"/>
        <w:spacing w:line="36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住宅工程已完成设计文件及合同约定的全部工程内容且具备水、电</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燃气及光纤到户等</w:t>
      </w:r>
      <w:r>
        <w:rPr>
          <w:rFonts w:hint="eastAsia" w:ascii="宋体" w:hAnsi="宋体" w:cs="宋体"/>
          <w:color w:val="auto"/>
          <w:highlight w:val="none"/>
        </w:rPr>
        <w:t>检查条件；</w:t>
      </w:r>
    </w:p>
    <w:p w14:paraId="572601F9">
      <w:pPr>
        <w:pStyle w:val="46"/>
        <w:spacing w:line="360" w:lineRule="auto"/>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各检验批、分项、分部工程质量验收合格，符合</w:t>
      </w:r>
      <w:r>
        <w:rPr>
          <w:rFonts w:hint="eastAsia" w:ascii="宋体" w:hAnsi="宋体" w:cs="宋体"/>
          <w:color w:val="auto"/>
          <w:highlight w:val="none"/>
          <w:lang w:eastAsia="zh-CN"/>
        </w:rPr>
        <w:t>标准</w:t>
      </w:r>
      <w:r>
        <w:rPr>
          <w:rFonts w:hint="eastAsia" w:ascii="宋体" w:hAnsi="宋体" w:cs="宋体"/>
          <w:color w:val="auto"/>
          <w:highlight w:val="none"/>
        </w:rPr>
        <w:t>和设计要求；</w:t>
      </w:r>
    </w:p>
    <w:p w14:paraId="21DA5749">
      <w:pPr>
        <w:pStyle w:val="46"/>
        <w:spacing w:line="360" w:lineRule="auto"/>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 xml:space="preserve"> </w:t>
      </w:r>
      <w:r>
        <w:rPr>
          <w:rFonts w:hint="eastAsia" w:ascii="宋体" w:hAnsi="宋体" w:cs="宋体"/>
          <w:color w:val="auto"/>
          <w:highlight w:val="none"/>
        </w:rPr>
        <w:t>工程质量控制资料完整，安全、节能、环境保护和主要使用功能的检验资料应完整；</w:t>
      </w:r>
    </w:p>
    <w:p w14:paraId="7CA99CDB">
      <w:pPr>
        <w:pStyle w:val="46"/>
        <w:spacing w:line="360" w:lineRule="auto"/>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主要使用功能的抽查结果应符合相关专业验收标准（规范）和本标准的规定。</w:t>
      </w:r>
    </w:p>
    <w:p w14:paraId="7359D361">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 xml:space="preserve">.0.2 </w:t>
      </w:r>
      <w:r>
        <w:rPr>
          <w:rFonts w:hint="eastAsia" w:ascii="宋体" w:hAnsi="宋体" w:cs="宋体"/>
          <w:color w:val="auto"/>
          <w:highlight w:val="none"/>
        </w:rPr>
        <w:t>建设单位作为实施住宅工程质量分户验收的第一责任人，对分户验收的组织、实施以及维保承担全面责任。</w:t>
      </w:r>
    </w:p>
    <w:p w14:paraId="24620942">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w:t>
      </w:r>
      <w:r>
        <w:rPr>
          <w:rFonts w:ascii="宋体" w:hAnsi="宋体" w:eastAsia="宋体" w:cs="宋体"/>
          <w:color w:val="auto"/>
          <w:kern w:val="0"/>
          <w:sz w:val="28"/>
          <w:szCs w:val="28"/>
          <w:highlight w:val="none"/>
          <w:shd w:val="pct10" w:color="auto" w:fill="FFFFFF"/>
        </w:rPr>
        <w:t>.0.2</w:t>
      </w:r>
      <w:r>
        <w:rPr>
          <w:rFonts w:hint="eastAsia" w:ascii="宋体" w:hAnsi="宋体" w:eastAsia="宋体" w:cs="宋体"/>
          <w:color w:val="auto"/>
          <w:kern w:val="0"/>
          <w:sz w:val="28"/>
          <w:szCs w:val="28"/>
          <w:highlight w:val="none"/>
          <w:shd w:val="pct10" w:color="auto" w:fill="FFFFFF"/>
        </w:rPr>
        <w:t>住宅工程质量分户验收应严格落实住宅工程参建各方主体责任和质量管理职责，突出建设单位首要责任和勘察、设计、监理、施工单位主体责任。</w:t>
      </w:r>
    </w:p>
    <w:p w14:paraId="124F0BE7">
      <w:pPr>
        <w:pStyle w:val="46"/>
        <w:spacing w:line="360" w:lineRule="auto"/>
        <w:ind w:firstLine="0" w:firstLineChars="0"/>
        <w:rPr>
          <w:rFonts w:ascii="宋体" w:hAnsi="宋体" w:cs="宋体"/>
          <w:bCs/>
          <w:color w:val="auto"/>
          <w:highlight w:val="none"/>
        </w:rPr>
      </w:pPr>
      <w:r>
        <w:rPr>
          <w:rFonts w:hint="eastAsia" w:ascii="宋体" w:hAnsi="宋体" w:cs="宋体"/>
          <w:bCs/>
          <w:color w:val="auto"/>
          <w:highlight w:val="none"/>
        </w:rPr>
        <w:t>3</w:t>
      </w:r>
      <w:r>
        <w:rPr>
          <w:rFonts w:ascii="宋体" w:hAnsi="宋体" w:cs="宋体"/>
          <w:bCs/>
          <w:color w:val="auto"/>
          <w:highlight w:val="none"/>
        </w:rPr>
        <w:t>.0.3</w:t>
      </w:r>
      <w:r>
        <w:rPr>
          <w:rFonts w:hint="eastAsia" w:ascii="宋体" w:hAnsi="宋体" w:cs="宋体"/>
          <w:bCs/>
          <w:color w:val="auto"/>
          <w:highlight w:val="none"/>
        </w:rPr>
        <w:t xml:space="preserve"> 验收组成员应由下列人员构成，已选定物业管理单位的，物业管理单位应当参加住宅工程质量分户验收工作：</w:t>
      </w:r>
    </w:p>
    <w:p w14:paraId="1F723ED1">
      <w:pPr>
        <w:pStyle w:val="46"/>
        <w:spacing w:line="360" w:lineRule="auto"/>
        <w:rPr>
          <w:rFonts w:ascii="宋体" w:hAnsi="宋体" w:cs="宋体"/>
          <w:color w:val="auto"/>
          <w:highlight w:val="none"/>
        </w:rPr>
      </w:pPr>
      <w:r>
        <w:rPr>
          <w:rFonts w:ascii="宋体" w:hAnsi="宋体" w:cs="宋体"/>
          <w:color w:val="auto"/>
          <w:highlight w:val="none"/>
        </w:rPr>
        <w:t>1 建设单位项目负责人和各专业负责人；</w:t>
      </w:r>
    </w:p>
    <w:p w14:paraId="41CCE2AC">
      <w:pPr>
        <w:pStyle w:val="46"/>
        <w:spacing w:line="360" w:lineRule="auto"/>
        <w:rPr>
          <w:rFonts w:ascii="宋体" w:hAnsi="宋体" w:cs="宋体"/>
          <w:color w:val="auto"/>
          <w:highlight w:val="none"/>
        </w:rPr>
      </w:pPr>
      <w:r>
        <w:rPr>
          <w:rFonts w:ascii="宋体" w:hAnsi="宋体" w:cs="宋体"/>
          <w:color w:val="auto"/>
          <w:highlight w:val="none"/>
        </w:rPr>
        <w:t>2 监理单位总监理工程师和各专业监理工程师；</w:t>
      </w:r>
    </w:p>
    <w:p w14:paraId="1B2C28D9">
      <w:pPr>
        <w:pStyle w:val="46"/>
        <w:spacing w:line="360" w:lineRule="auto"/>
        <w:rPr>
          <w:rFonts w:ascii="宋体" w:hAnsi="宋体" w:cs="宋体"/>
          <w:color w:val="auto"/>
          <w:highlight w:val="none"/>
        </w:rPr>
      </w:pPr>
      <w:r>
        <w:rPr>
          <w:rFonts w:ascii="宋体" w:hAnsi="宋体" w:cs="宋体"/>
          <w:color w:val="auto"/>
          <w:highlight w:val="none"/>
        </w:rPr>
        <w:t>3 施工单位（含装修、机电设备安装等分包单位）项目负责人、项目技术负责人、质检员和各专业技术人员；</w:t>
      </w:r>
    </w:p>
    <w:p w14:paraId="332BB1D2">
      <w:pPr>
        <w:pStyle w:val="46"/>
        <w:spacing w:line="360" w:lineRule="auto"/>
        <w:rPr>
          <w:rFonts w:ascii="宋体" w:hAns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设计单位负责人、土建和机电设备等专业设计负责人</w:t>
      </w:r>
      <w:r>
        <w:rPr>
          <w:rFonts w:ascii="宋体" w:hAnsi="宋体" w:cs="宋体"/>
          <w:color w:val="auto"/>
          <w:highlight w:val="none"/>
        </w:rPr>
        <w:t>；</w:t>
      </w:r>
    </w:p>
    <w:p w14:paraId="3B791B69">
      <w:pPr>
        <w:pStyle w:val="46"/>
        <w:spacing w:line="360" w:lineRule="auto"/>
        <w:rPr>
          <w:rFonts w:ascii="宋体" w:hAnsi="宋体" w:cs="宋体"/>
          <w:color w:val="auto"/>
          <w:highlight w:val="none"/>
        </w:rPr>
      </w:pPr>
      <w:r>
        <w:rPr>
          <w:rFonts w:ascii="宋体" w:hAnsi="宋体" w:cs="宋体"/>
          <w:color w:val="auto"/>
          <w:highlight w:val="none"/>
        </w:rPr>
        <w:t>5 物业管理单位项目负责人和各专业物业管理人员</w:t>
      </w:r>
      <w:r>
        <w:rPr>
          <w:rFonts w:hint="eastAsia" w:ascii="宋体" w:hAnsi="宋体" w:cs="宋体"/>
          <w:color w:val="auto"/>
          <w:highlight w:val="none"/>
        </w:rPr>
        <w:t>；</w:t>
      </w:r>
    </w:p>
    <w:p w14:paraId="64D6861C">
      <w:pPr>
        <w:pStyle w:val="46"/>
        <w:spacing w:line="360" w:lineRule="auto"/>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 xml:space="preserve"> </w:t>
      </w:r>
      <w:bookmarkStart w:id="33" w:name="_Hlk133510952"/>
      <w:r>
        <w:rPr>
          <w:rFonts w:hint="eastAsia" w:ascii="宋体" w:hAnsi="宋体" w:cs="宋体"/>
          <w:color w:val="auto"/>
          <w:highlight w:val="none"/>
        </w:rPr>
        <w:t>检验检测单位项目负责人和专业技术人员</w:t>
      </w:r>
      <w:bookmarkEnd w:id="33"/>
      <w:r>
        <w:rPr>
          <w:rFonts w:ascii="宋体" w:hAnsi="宋体" w:cs="宋体"/>
          <w:color w:val="auto"/>
          <w:highlight w:val="none"/>
        </w:rPr>
        <w:t>。</w:t>
      </w:r>
    </w:p>
    <w:p w14:paraId="5D30518E">
      <w:pPr>
        <w:widowControl/>
        <w:spacing w:line="360" w:lineRule="auto"/>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lang w:val="en-US" w:eastAsia="zh-CN"/>
        </w:rPr>
        <w:t>0</w:t>
      </w: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在</w:t>
      </w:r>
      <w:r>
        <w:rPr>
          <w:rFonts w:hint="eastAsia" w:ascii="宋体" w:hAnsi="宋体" w:eastAsia="宋体" w:cs="宋体"/>
          <w:bCs/>
          <w:color w:val="auto"/>
          <w:sz w:val="28"/>
          <w:szCs w:val="28"/>
          <w:highlight w:val="none"/>
        </w:rPr>
        <w:t>住宅工程质量分户</w:t>
      </w:r>
      <w:r>
        <w:rPr>
          <w:rFonts w:hint="eastAsia" w:ascii="宋体" w:hAnsi="宋体" w:eastAsia="宋体" w:cs="宋体"/>
          <w:bCs/>
          <w:color w:val="auto"/>
          <w:sz w:val="28"/>
          <w:szCs w:val="28"/>
          <w:highlight w:val="none"/>
          <w:lang w:val="en-US" w:eastAsia="zh-CN"/>
        </w:rPr>
        <w:t>整体</w:t>
      </w:r>
      <w:r>
        <w:rPr>
          <w:rFonts w:hint="eastAsia" w:ascii="宋体" w:hAnsi="宋体" w:eastAsia="宋体" w:cs="宋体"/>
          <w:bCs/>
          <w:color w:val="auto"/>
          <w:sz w:val="28"/>
          <w:szCs w:val="28"/>
          <w:highlight w:val="none"/>
        </w:rPr>
        <w:t>验收前，建设单位应委托具有相应资质的第三方检验检测机构对住宅户内的使用功能、使用安全、室内环境等内容进行质量检验，检验内容应符合本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的要求。</w:t>
      </w:r>
    </w:p>
    <w:p w14:paraId="57DF3D52">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【条文说明】3.0.</w:t>
      </w:r>
      <w:r>
        <w:rPr>
          <w:rFonts w:ascii="宋体" w:hAnsi="宋体" w:eastAsia="宋体" w:cs="宋体"/>
          <w:color w:val="auto"/>
          <w:kern w:val="0"/>
          <w:sz w:val="28"/>
          <w:szCs w:val="28"/>
          <w:highlight w:val="none"/>
          <w:shd w:val="pct10" w:color="auto" w:fill="FFFFFF"/>
        </w:rPr>
        <w:t>4</w:t>
      </w:r>
      <w:r>
        <w:rPr>
          <w:rFonts w:hint="eastAsia" w:ascii="宋体" w:hAnsi="宋体" w:eastAsia="宋体" w:cs="宋体"/>
          <w:color w:val="auto"/>
          <w:kern w:val="0"/>
          <w:sz w:val="28"/>
          <w:szCs w:val="28"/>
          <w:highlight w:val="none"/>
          <w:shd w:val="pct10" w:color="auto" w:fill="FFFFFF"/>
        </w:rPr>
        <w:t xml:space="preserve"> 住宅工程尤其是带装修的住宅工程，在分户验收查验住宅的使用功能、使用安全、室内环境等内容时会涉及较多专业化的检测，这些检测需要专业仪器设备和专业技术人员实施，因此这部分工作建设单位应委托具有相应资质的第三方检验检测机构实施。</w:t>
      </w:r>
    </w:p>
    <w:p w14:paraId="6EBDB06B">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3.0.</w:t>
      </w: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 xml:space="preserve"> 第三方检验检测机构开展质量检验工作时应提前24小时通知监理、施工等单位参加，各验收项目以每</w:t>
      </w:r>
      <w:r>
        <w:rPr>
          <w:rFonts w:hint="eastAsia" w:ascii="宋体" w:hAnsi="宋体" w:eastAsia="宋体" w:cs="宋体"/>
          <w:bCs/>
          <w:color w:val="auto"/>
          <w:sz w:val="28"/>
          <w:szCs w:val="28"/>
          <w:highlight w:val="none"/>
          <w:lang w:val="en-US" w:eastAsia="zh-CN"/>
        </w:rPr>
        <w:t>户</w:t>
      </w:r>
      <w:r>
        <w:rPr>
          <w:rFonts w:hint="eastAsia" w:ascii="宋体" w:hAnsi="宋体" w:eastAsia="宋体" w:cs="宋体"/>
          <w:bCs/>
          <w:color w:val="auto"/>
          <w:sz w:val="28"/>
          <w:szCs w:val="28"/>
          <w:highlight w:val="none"/>
        </w:rPr>
        <w:t>住宅作为一个检验批，一个单位工程的外墙、走廊、楼梯间、电梯间、地下室、公用走道等公共部位</w:t>
      </w:r>
      <w:r>
        <w:rPr>
          <w:rFonts w:hint="eastAsia" w:ascii="宋体" w:hAnsi="宋体" w:eastAsia="宋体" w:cs="宋体"/>
          <w:bCs/>
          <w:color w:val="auto"/>
          <w:sz w:val="28"/>
          <w:szCs w:val="28"/>
          <w:highlight w:val="none"/>
          <w:lang w:val="en-US" w:eastAsia="zh-CN"/>
        </w:rPr>
        <w:t>作</w:t>
      </w:r>
      <w:r>
        <w:rPr>
          <w:rFonts w:hint="eastAsia" w:ascii="宋体" w:hAnsi="宋体" w:eastAsia="宋体" w:cs="宋体"/>
          <w:bCs/>
          <w:color w:val="auto"/>
          <w:sz w:val="28"/>
          <w:szCs w:val="28"/>
          <w:highlight w:val="none"/>
        </w:rPr>
        <w:t>为一个检验批。检验批抽样应随机抽取，满足分布均匀、具有代表性的要求，最小抽样数量应满足本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及《建筑工程施工质量验收统一标准》GB 50300和《建筑与市政工程施工质量控制通用规范》GB 55032的规定。</w:t>
      </w:r>
    </w:p>
    <w:p w14:paraId="696FFE88">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【条文说明】3.0.</w:t>
      </w:r>
      <w:r>
        <w:rPr>
          <w:rFonts w:ascii="宋体" w:hAnsi="宋体" w:eastAsia="宋体" w:cs="宋体"/>
          <w:color w:val="auto"/>
          <w:kern w:val="0"/>
          <w:sz w:val="28"/>
          <w:szCs w:val="28"/>
          <w:highlight w:val="none"/>
          <w:shd w:val="pct10" w:color="auto" w:fill="FFFFFF"/>
        </w:rPr>
        <w:t>5</w:t>
      </w:r>
      <w:r>
        <w:rPr>
          <w:rFonts w:hint="eastAsia" w:ascii="宋体" w:hAnsi="宋体" w:eastAsia="宋体" w:cs="宋体"/>
          <w:color w:val="auto"/>
          <w:kern w:val="0"/>
          <w:sz w:val="28"/>
          <w:szCs w:val="28"/>
          <w:highlight w:val="none"/>
          <w:shd w:val="pct10" w:color="auto" w:fill="FFFFFF"/>
        </w:rPr>
        <w:t xml:space="preserve"> 本条说明了住宅工程质量分户验收时检验批的划分方法，</w:t>
      </w:r>
      <w:r>
        <w:rPr>
          <w:rFonts w:hint="eastAsia" w:ascii="宋体" w:hAnsi="宋体" w:eastAsia="宋体" w:cs="宋体"/>
          <w:color w:val="auto"/>
          <w:kern w:val="0"/>
          <w:sz w:val="28"/>
          <w:szCs w:val="28"/>
          <w:highlight w:val="none"/>
          <w:shd w:val="pct10" w:color="auto" w:fill="FFFFFF"/>
          <w:lang w:val="en-US" w:eastAsia="zh-CN"/>
        </w:rPr>
        <w:t>及抽检数量的确定原则。</w:t>
      </w:r>
    </w:p>
    <w:p w14:paraId="74E076A2">
      <w:pPr>
        <w:widowControl/>
        <w:spacing w:line="360" w:lineRule="auto"/>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3.0.6</w:t>
      </w:r>
      <w:r>
        <w:rPr>
          <w:rFonts w:hint="eastAsia" w:ascii="宋体" w:hAnsi="宋体" w:eastAsia="宋体" w:cs="宋体"/>
          <w:bCs/>
          <w:color w:val="auto"/>
          <w:sz w:val="28"/>
          <w:szCs w:val="28"/>
          <w:highlight w:val="none"/>
        </w:rPr>
        <w:t xml:space="preserve"> 住宅工程质量分户验收宜</w:t>
      </w:r>
      <w:r>
        <w:rPr>
          <w:rFonts w:ascii="宋体" w:hAnsi="宋体" w:eastAsia="宋体" w:cs="宋体"/>
          <w:bCs/>
          <w:color w:val="auto"/>
          <w:sz w:val="28"/>
          <w:szCs w:val="28"/>
          <w:highlight w:val="none"/>
        </w:rPr>
        <w:t>按照下列程序</w:t>
      </w:r>
      <w:r>
        <w:rPr>
          <w:rFonts w:hint="eastAsia" w:ascii="宋体" w:hAnsi="宋体" w:eastAsia="宋体" w:cs="宋体"/>
          <w:bCs/>
          <w:color w:val="auto"/>
          <w:sz w:val="28"/>
          <w:szCs w:val="28"/>
          <w:highlight w:val="none"/>
        </w:rPr>
        <w:t>执行</w:t>
      </w:r>
      <w:r>
        <w:rPr>
          <w:rFonts w:ascii="宋体" w:hAnsi="宋体" w:eastAsia="宋体" w:cs="宋体"/>
          <w:bCs/>
          <w:color w:val="auto"/>
          <w:sz w:val="28"/>
          <w:szCs w:val="28"/>
          <w:highlight w:val="none"/>
        </w:rPr>
        <w:t xml:space="preserve">： </w:t>
      </w:r>
    </w:p>
    <w:p w14:paraId="25954F9A">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1 </w:t>
      </w:r>
      <w:r>
        <w:rPr>
          <w:rFonts w:ascii="宋体" w:hAnsi="宋体" w:eastAsia="宋体" w:cs="宋体"/>
          <w:bCs/>
          <w:color w:val="auto"/>
          <w:sz w:val="28"/>
          <w:szCs w:val="28"/>
          <w:highlight w:val="none"/>
        </w:rPr>
        <w:t xml:space="preserve">施工单位向建设单位提出分户验收申请； </w:t>
      </w:r>
    </w:p>
    <w:p w14:paraId="3F440C83">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2 </w:t>
      </w:r>
      <w:r>
        <w:rPr>
          <w:rFonts w:ascii="宋体" w:hAnsi="宋体" w:eastAsia="宋体" w:cs="宋体"/>
          <w:bCs/>
          <w:color w:val="auto"/>
          <w:sz w:val="28"/>
          <w:szCs w:val="28"/>
          <w:highlight w:val="none"/>
        </w:rPr>
        <w:t>建设单位核查分项、分部工程质量验收合格情况，</w:t>
      </w:r>
      <w:r>
        <w:rPr>
          <w:rFonts w:hint="eastAsia" w:ascii="宋体" w:hAnsi="宋体" w:eastAsia="宋体" w:cs="宋体"/>
          <w:bCs/>
          <w:color w:val="auto"/>
          <w:sz w:val="28"/>
          <w:szCs w:val="28"/>
          <w:highlight w:val="none"/>
        </w:rPr>
        <w:t>组织工程监理单位、施工单位、检验检测单位、物业管理单位等</w:t>
      </w:r>
      <w:r>
        <w:rPr>
          <w:rFonts w:ascii="宋体" w:hAnsi="宋体" w:eastAsia="宋体" w:cs="宋体"/>
          <w:bCs/>
          <w:color w:val="auto"/>
          <w:sz w:val="28"/>
          <w:szCs w:val="28"/>
          <w:highlight w:val="none"/>
        </w:rPr>
        <w:t>制定《住宅工程质量分户验收方案》</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附录A）</w:t>
      </w:r>
      <w:r>
        <w:rPr>
          <w:rFonts w:hint="eastAsia" w:ascii="宋体" w:hAnsi="宋体" w:eastAsia="宋体" w:cs="宋体"/>
          <w:bCs/>
          <w:color w:val="auto"/>
          <w:sz w:val="28"/>
          <w:szCs w:val="28"/>
          <w:highlight w:val="none"/>
        </w:rPr>
        <w:t>，做好</w:t>
      </w:r>
      <w:r>
        <w:rPr>
          <w:rFonts w:ascii="宋体" w:hAnsi="宋体" w:eastAsia="宋体" w:cs="宋体"/>
          <w:bCs/>
          <w:color w:val="auto"/>
          <w:sz w:val="28"/>
          <w:szCs w:val="28"/>
          <w:highlight w:val="none"/>
        </w:rPr>
        <w:t>验收</w:t>
      </w:r>
      <w:r>
        <w:rPr>
          <w:rFonts w:hint="eastAsia" w:ascii="宋体" w:hAnsi="宋体" w:eastAsia="宋体" w:cs="宋体"/>
          <w:bCs/>
          <w:color w:val="auto"/>
          <w:sz w:val="28"/>
          <w:szCs w:val="28"/>
          <w:highlight w:val="none"/>
        </w:rPr>
        <w:t>前的</w:t>
      </w:r>
      <w:r>
        <w:rPr>
          <w:rFonts w:ascii="宋体" w:hAnsi="宋体" w:eastAsia="宋体" w:cs="宋体"/>
          <w:bCs/>
          <w:color w:val="auto"/>
          <w:sz w:val="28"/>
          <w:szCs w:val="28"/>
          <w:highlight w:val="none"/>
        </w:rPr>
        <w:t xml:space="preserve">现场准备； </w:t>
      </w:r>
    </w:p>
    <w:p w14:paraId="0706FBFB">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按验收方案对</w:t>
      </w:r>
      <w:r>
        <w:rPr>
          <w:rFonts w:hint="eastAsia" w:ascii="宋体" w:hAnsi="宋体" w:eastAsia="宋体" w:cs="宋体"/>
          <w:bCs/>
          <w:color w:val="auto"/>
          <w:sz w:val="28"/>
          <w:szCs w:val="28"/>
          <w:highlight w:val="none"/>
          <w:lang w:val="en-US" w:eastAsia="zh-CN"/>
        </w:rPr>
        <w:t>住宅</w:t>
      </w:r>
      <w:r>
        <w:rPr>
          <w:rFonts w:hint="eastAsia" w:ascii="宋体" w:hAnsi="宋体" w:eastAsia="宋体" w:cs="宋体"/>
          <w:bCs/>
          <w:color w:val="auto"/>
          <w:sz w:val="28"/>
          <w:szCs w:val="28"/>
          <w:highlight w:val="none"/>
        </w:rPr>
        <w:t>及相关公共区域进行现场分户验收；</w:t>
      </w:r>
    </w:p>
    <w:p w14:paraId="1C6BCD0F">
      <w:pPr>
        <w:pStyle w:val="46"/>
        <w:spacing w:line="360" w:lineRule="auto"/>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实施分户验收工作，填写《住宅工程质量分户验收记录表（一）</w:t>
      </w:r>
      <w:r>
        <w:rPr>
          <w:rFonts w:hint="eastAsia" w:ascii="宋体" w:hAnsi="宋体" w:eastAsia="宋体" w:cs="宋体"/>
          <w:color w:val="auto"/>
          <w:highlight w:val="none"/>
        </w:rPr>
        <w:t>～</w:t>
      </w:r>
      <w:r>
        <w:rPr>
          <w:rFonts w:hint="eastAsia" w:ascii="宋体" w:hAnsi="宋体" w:cs="宋体"/>
          <w:color w:val="auto"/>
          <w:highlight w:val="none"/>
        </w:rPr>
        <w:t>（四）》（附录B</w:t>
      </w:r>
      <w:r>
        <w:rPr>
          <w:rFonts w:hint="eastAsia" w:ascii="宋体" w:hAnsi="宋体" w:eastAsia="宋体" w:cs="宋体"/>
          <w:color w:val="auto"/>
          <w:highlight w:val="none"/>
        </w:rPr>
        <w:t>～</w:t>
      </w:r>
      <w:r>
        <w:rPr>
          <w:rFonts w:hint="eastAsia" w:ascii="宋体" w:hAnsi="宋体" w:cs="宋体"/>
          <w:color w:val="auto"/>
          <w:highlight w:val="none"/>
        </w:rPr>
        <w:t>附录E），给出综合验收结论，签字确认；</w:t>
      </w:r>
    </w:p>
    <w:p w14:paraId="5327AD8D">
      <w:pPr>
        <w:pStyle w:val="46"/>
        <w:spacing w:line="360" w:lineRule="auto"/>
        <w:rPr>
          <w:rFonts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 xml:space="preserve"> </w:t>
      </w:r>
      <w:r>
        <w:rPr>
          <w:rFonts w:hint="eastAsia" w:ascii="宋体" w:hAnsi="宋体" w:cs="宋体"/>
          <w:color w:val="auto"/>
          <w:highlight w:val="none"/>
        </w:rPr>
        <w:t>分户验收结束后，应按单位工程汇总分户验收结果，</w:t>
      </w:r>
      <w:r>
        <w:rPr>
          <w:rFonts w:hint="eastAsia" w:ascii="宋体" w:hAnsi="宋体" w:cs="宋体"/>
          <w:color w:val="auto"/>
          <w:highlight w:val="none"/>
          <w:lang w:val="en-US" w:eastAsia="zh-CN"/>
        </w:rPr>
        <w:t>填写</w:t>
      </w:r>
      <w:r>
        <w:rPr>
          <w:rFonts w:hint="eastAsia" w:ascii="宋体" w:hAnsi="宋体" w:cs="宋体"/>
          <w:color w:val="auto"/>
          <w:highlight w:val="none"/>
        </w:rPr>
        <w:t>《住宅工程质量分户验收汇总表》（附录F）,签章确认；</w:t>
      </w:r>
    </w:p>
    <w:p w14:paraId="778CFB12">
      <w:pPr>
        <w:pStyle w:val="46"/>
        <w:spacing w:line="360" w:lineRule="auto"/>
        <w:rPr>
          <w:rFonts w:hint="eastAsia" w:ascii="宋体" w:hAnsi="宋体" w:eastAsia="宋体" w:cs="宋体"/>
          <w:color w:val="auto"/>
          <w:highlight w:val="none"/>
          <w:lang w:eastAsia="zh-CN"/>
        </w:rPr>
      </w:pPr>
      <w:r>
        <w:rPr>
          <w:rFonts w:ascii="宋体" w:hAnsi="宋体" w:cs="宋体"/>
          <w:color w:val="auto"/>
          <w:highlight w:val="none"/>
        </w:rPr>
        <w:t xml:space="preserve">6 </w:t>
      </w:r>
      <w:r>
        <w:rPr>
          <w:rFonts w:hint="eastAsia" w:ascii="宋体" w:hAnsi="宋体" w:cs="宋体"/>
          <w:color w:val="auto"/>
          <w:highlight w:val="none"/>
        </w:rPr>
        <w:t>分户验收全部合格后，建设单位按户出具《住宅工程质量分户验收合格证书》（附录G）</w:t>
      </w:r>
      <w:r>
        <w:rPr>
          <w:rFonts w:hint="eastAsia" w:ascii="宋体" w:hAnsi="宋体" w:cs="宋体"/>
          <w:color w:val="auto"/>
          <w:highlight w:val="none"/>
          <w:lang w:eastAsia="zh-CN"/>
        </w:rPr>
        <w:t>。</w:t>
      </w:r>
    </w:p>
    <w:p w14:paraId="3E804ABC">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【条文说明】3.0.</w:t>
      </w:r>
      <w:r>
        <w:rPr>
          <w:rFonts w:ascii="宋体" w:hAnsi="宋体" w:eastAsia="宋体" w:cs="宋体"/>
          <w:color w:val="auto"/>
          <w:kern w:val="0"/>
          <w:sz w:val="28"/>
          <w:szCs w:val="28"/>
          <w:highlight w:val="none"/>
          <w:shd w:val="pct10" w:color="auto" w:fill="FFFFFF"/>
        </w:rPr>
        <w:t>6</w:t>
      </w:r>
      <w:r>
        <w:rPr>
          <w:rFonts w:hint="eastAsia" w:ascii="宋体" w:hAnsi="宋体" w:eastAsia="宋体" w:cs="宋体"/>
          <w:color w:val="auto"/>
          <w:kern w:val="0"/>
          <w:sz w:val="28"/>
          <w:szCs w:val="28"/>
          <w:highlight w:val="none"/>
          <w:shd w:val="pct10" w:color="auto" w:fill="FFFFFF"/>
        </w:rPr>
        <w:t xml:space="preserve"> 本条规定了住宅工程质量分户验收的程序。</w:t>
      </w:r>
    </w:p>
    <w:p w14:paraId="11994A0D">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.0.7 </w:t>
      </w:r>
      <w:r>
        <w:rPr>
          <w:rFonts w:hint="eastAsia" w:ascii="宋体" w:hAnsi="宋体" w:eastAsia="宋体" w:cs="宋体"/>
          <w:bCs/>
          <w:color w:val="auto"/>
          <w:sz w:val="28"/>
          <w:szCs w:val="28"/>
          <w:highlight w:val="none"/>
        </w:rPr>
        <w:t>分户验收质量合格应符合以下规定：</w:t>
      </w:r>
    </w:p>
    <w:p w14:paraId="35554340">
      <w:pPr>
        <w:pStyle w:val="46"/>
        <w:spacing w:line="360" w:lineRule="auto"/>
        <w:rPr>
          <w:rFonts w:ascii="宋体" w:hAnsi="宋体" w:cs="宋体"/>
          <w:color w:val="auto"/>
          <w:highlight w:val="none"/>
        </w:rPr>
      </w:pPr>
      <w:r>
        <w:rPr>
          <w:rFonts w:hint="eastAsia" w:ascii="宋体" w:hAnsi="宋体" w:cs="宋体"/>
          <w:color w:val="auto"/>
          <w:highlight w:val="none"/>
        </w:rPr>
        <w:t>1 各验收项目应符合本标准的规定；</w:t>
      </w:r>
    </w:p>
    <w:p w14:paraId="2B388DD9">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无允许偏差值的验收项目</w:t>
      </w:r>
      <w:r>
        <w:rPr>
          <w:rFonts w:ascii="宋体" w:hAnsi="宋体" w:cs="宋体"/>
          <w:color w:val="auto"/>
          <w:highlight w:val="none"/>
        </w:rPr>
        <w:t>,经检验必须全部符合本标准的规定；</w:t>
      </w:r>
    </w:p>
    <w:p w14:paraId="432833F2">
      <w:pPr>
        <w:pStyle w:val="4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ascii="宋体" w:hAnsi="宋体" w:cs="宋体"/>
          <w:color w:val="auto"/>
          <w:highlight w:val="none"/>
        </w:rPr>
        <w:t xml:space="preserve">3 </w:t>
      </w:r>
      <w:r>
        <w:rPr>
          <w:rFonts w:hint="eastAsia" w:ascii="宋体" w:hAnsi="宋体" w:cs="宋体"/>
          <w:color w:val="auto"/>
          <w:highlight w:val="none"/>
        </w:rPr>
        <w:t>有允许偏差值的验收</w:t>
      </w:r>
      <w:r>
        <w:rPr>
          <w:rFonts w:ascii="宋体" w:hAnsi="宋体" w:cs="宋体"/>
          <w:color w:val="auto"/>
          <w:highlight w:val="none"/>
        </w:rPr>
        <w:t>，</w:t>
      </w:r>
      <w:r>
        <w:rPr>
          <w:rFonts w:hint="eastAsia" w:ascii="宋体" w:hAnsi="宋体" w:cs="宋体"/>
          <w:color w:val="auto"/>
          <w:highlight w:val="none"/>
        </w:rPr>
        <w:t>85</w:t>
      </w:r>
      <w:r>
        <w:rPr>
          <w:rFonts w:ascii="宋体" w:hAnsi="宋体" w:cs="宋体"/>
          <w:color w:val="auto"/>
          <w:highlight w:val="none"/>
        </w:rPr>
        <w:t>%（80%）及以上的</w:t>
      </w:r>
      <w:r>
        <w:rPr>
          <w:rFonts w:hint="eastAsia" w:ascii="宋体" w:hAnsi="宋体" w:cs="宋体"/>
          <w:color w:val="auto"/>
          <w:highlight w:val="none"/>
        </w:rPr>
        <w:t>检查点（处）应符合本标准规定的质量要求，</w:t>
      </w:r>
      <w:r>
        <w:rPr>
          <w:rFonts w:ascii="宋体" w:hAnsi="宋体" w:cs="宋体"/>
          <w:color w:val="auto"/>
          <w:highlight w:val="none"/>
        </w:rPr>
        <w:t>剩余的检查点（处）不得明显影响使用功能</w:t>
      </w:r>
      <w:r>
        <w:rPr>
          <w:rFonts w:hint="eastAsia" w:ascii="宋体" w:hAnsi="宋体" w:cs="宋体"/>
          <w:color w:val="auto"/>
          <w:highlight w:val="none"/>
          <w:lang w:eastAsia="zh-CN"/>
        </w:rPr>
        <w:t>，</w:t>
      </w:r>
      <w:r>
        <w:rPr>
          <w:rFonts w:ascii="宋体" w:hAnsi="宋体" w:cs="宋体"/>
          <w:color w:val="auto"/>
          <w:highlight w:val="none"/>
        </w:rPr>
        <w:t>不得存在严重缺陷</w:t>
      </w:r>
      <w:r>
        <w:rPr>
          <w:rFonts w:hint="eastAsia" w:ascii="宋体" w:hAnsi="宋体" w:cs="宋体"/>
          <w:color w:val="auto"/>
          <w:highlight w:val="none"/>
          <w:lang w:eastAsia="zh-CN"/>
        </w:rPr>
        <w:t>，</w:t>
      </w:r>
      <w:r>
        <w:rPr>
          <w:rFonts w:ascii="宋体" w:hAnsi="宋体" w:cs="宋体"/>
          <w:color w:val="auto"/>
          <w:highlight w:val="none"/>
        </w:rPr>
        <w:t>实测最大偏差值应不大于本标准规定的允许偏差值的1.5（1.2）倍</w:t>
      </w:r>
      <w:r>
        <w:rPr>
          <w:rFonts w:hint="eastAsia" w:ascii="宋体" w:hAnsi="宋体" w:cs="宋体"/>
          <w:color w:val="auto"/>
          <w:highlight w:val="none"/>
          <w:lang w:eastAsia="zh-CN"/>
        </w:rPr>
        <w:t>，</w:t>
      </w:r>
      <w:r>
        <w:rPr>
          <w:rFonts w:ascii="宋体" w:hAnsi="宋体" w:cs="宋体"/>
          <w:color w:val="auto"/>
          <w:highlight w:val="none"/>
        </w:rPr>
        <w:t>实测极差值应不大于本标准规定的允许极差值</w:t>
      </w:r>
      <w:r>
        <w:rPr>
          <w:rFonts w:hint="eastAsia" w:ascii="宋体" w:hAnsi="宋体" w:cs="宋体"/>
          <w:color w:val="auto"/>
          <w:highlight w:val="none"/>
          <w:lang w:eastAsia="zh-CN"/>
        </w:rPr>
        <w:t>。</w:t>
      </w:r>
    </w:p>
    <w:p w14:paraId="244A780A">
      <w:pPr>
        <w:pStyle w:val="46"/>
        <w:spacing w:line="36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3</w:t>
      </w:r>
      <w:r>
        <w:rPr>
          <w:rFonts w:ascii="宋体" w:hAnsi="宋体" w:cs="宋体"/>
          <w:color w:val="auto"/>
          <w:highlight w:val="none"/>
        </w:rPr>
        <w:t xml:space="preserve">.0.8 </w:t>
      </w:r>
      <w:r>
        <w:rPr>
          <w:rFonts w:hint="eastAsia" w:ascii="宋体" w:hAnsi="宋体" w:cs="宋体"/>
          <w:color w:val="auto"/>
          <w:highlight w:val="none"/>
        </w:rPr>
        <w:t>住宅工程质量分户验收不符合要求时</w:t>
      </w:r>
      <w:r>
        <w:rPr>
          <w:rFonts w:ascii="宋体" w:hAnsi="宋体" w:cs="宋体"/>
          <w:color w:val="auto"/>
          <w:highlight w:val="none"/>
        </w:rPr>
        <w:t>,应按下列规定进行处理</w:t>
      </w:r>
      <w:r>
        <w:rPr>
          <w:rFonts w:hint="eastAsia" w:ascii="宋体" w:hAnsi="宋体" w:cs="宋体"/>
          <w:color w:val="auto"/>
          <w:highlight w:val="none"/>
          <w:lang w:eastAsia="zh-CN"/>
        </w:rPr>
        <w:t>：</w:t>
      </w:r>
    </w:p>
    <w:p w14:paraId="4294E35A">
      <w:pPr>
        <w:pStyle w:val="46"/>
        <w:spacing w:line="360" w:lineRule="auto"/>
        <w:rPr>
          <w:rFonts w:ascii="宋体" w:hAnsi="宋体" w:cs="宋体"/>
          <w:color w:val="auto"/>
          <w:highlight w:val="none"/>
        </w:rPr>
      </w:pPr>
      <w:r>
        <w:rPr>
          <w:rFonts w:ascii="宋体" w:hAnsi="宋体" w:cs="宋体"/>
          <w:color w:val="auto"/>
          <w:highlight w:val="none"/>
        </w:rPr>
        <w:t>1 施工单位应制定整改处理方案，报建设、监理等单位审核后，对不符合要求的部位进行返修或返工</w:t>
      </w:r>
      <w:r>
        <w:rPr>
          <w:rFonts w:hint="eastAsia" w:ascii="宋体" w:hAnsi="宋体" w:cs="宋体"/>
          <w:color w:val="auto"/>
          <w:highlight w:val="none"/>
        </w:rPr>
        <w:t>，对于超过质量要求允许范围且影响工程安全和使用功能的部位，整改处理方案应经设计单位认可</w:t>
      </w:r>
      <w:r>
        <w:rPr>
          <w:rFonts w:ascii="宋体" w:hAnsi="宋体" w:cs="宋体"/>
          <w:color w:val="auto"/>
          <w:highlight w:val="none"/>
        </w:rPr>
        <w:t>；</w:t>
      </w:r>
    </w:p>
    <w:p w14:paraId="6F2E94ED">
      <w:pPr>
        <w:pStyle w:val="46"/>
        <w:spacing w:line="360" w:lineRule="auto"/>
        <w:rPr>
          <w:rFonts w:ascii="宋体" w:hAnsi="宋体" w:cs="宋体"/>
          <w:color w:val="auto"/>
          <w:highlight w:val="none"/>
        </w:rPr>
      </w:pPr>
      <w:r>
        <w:rPr>
          <w:rFonts w:ascii="宋体" w:hAnsi="宋体" w:cs="宋体"/>
          <w:color w:val="auto"/>
          <w:highlight w:val="none"/>
        </w:rPr>
        <w:t>2 整改处理完成后，建设单位应重新组织对返修或返工部位进行分户验收，直至全部符合要求；</w:t>
      </w:r>
    </w:p>
    <w:p w14:paraId="266EC98D">
      <w:pPr>
        <w:pStyle w:val="46"/>
        <w:spacing w:line="360" w:lineRule="auto"/>
        <w:rPr>
          <w:rFonts w:ascii="宋体" w:hAnsi="宋体" w:cs="宋体"/>
          <w:color w:val="auto"/>
          <w:highlight w:val="none"/>
        </w:rPr>
      </w:pPr>
      <w:r>
        <w:rPr>
          <w:rFonts w:ascii="宋体" w:hAnsi="宋体" w:cs="宋体"/>
          <w:color w:val="auto"/>
          <w:highlight w:val="none"/>
        </w:rPr>
        <w:t>3 当返修或返工确有困难而造成质量缺陷时，在不影响工程安全和使用功能的情况下，建设单位应按照现行国家标准《建筑工程施工质量验收统一标准》GB 50300</w:t>
      </w:r>
      <w:r>
        <w:rPr>
          <w:rFonts w:hint="eastAsia" w:ascii="宋体" w:hAnsi="宋体" w:cs="宋体"/>
          <w:color w:val="auto"/>
          <w:highlight w:val="none"/>
        </w:rPr>
        <w:t>和《建筑与市政工程施工质量控制通用规范》GB 55032</w:t>
      </w:r>
      <w:r>
        <w:rPr>
          <w:rFonts w:ascii="宋体" w:hAnsi="宋体" w:cs="宋体"/>
          <w:color w:val="auto"/>
          <w:highlight w:val="none"/>
        </w:rPr>
        <w:t>的规定对存在质量缺陷的部位（或分户验收检验批）进行验收，将处理和验收结果存入分户验收资料；</w:t>
      </w:r>
    </w:p>
    <w:p w14:paraId="5593FBEE">
      <w:pPr>
        <w:pStyle w:val="46"/>
        <w:spacing w:line="360" w:lineRule="auto"/>
        <w:rPr>
          <w:rFonts w:ascii="宋体" w:hAnsi="宋体" w:cs="宋体"/>
          <w:color w:val="auto"/>
          <w:highlight w:val="none"/>
        </w:rPr>
      </w:pPr>
      <w:r>
        <w:rPr>
          <w:rFonts w:ascii="宋体" w:hAnsi="宋体" w:cs="宋体"/>
          <w:color w:val="auto"/>
          <w:highlight w:val="none"/>
        </w:rPr>
        <w:t>4 经返修或加固处理，仍不能满足安全或重要使用功能的分户验收检验批、分项、分部工程，严禁验收。</w:t>
      </w:r>
    </w:p>
    <w:p w14:paraId="3743B76C">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 xml:space="preserve">.0.9 </w:t>
      </w:r>
      <w:r>
        <w:rPr>
          <w:rFonts w:hint="eastAsia" w:ascii="宋体" w:hAnsi="宋体" w:cs="宋体"/>
          <w:color w:val="auto"/>
          <w:highlight w:val="none"/>
        </w:rPr>
        <w:t>建设单位应及时对分户验收资料进行整理、组卷，建档保存，确保真实、完整、有效。纸质文档和电子文档与其他施工技术资料一并归档。</w:t>
      </w:r>
    </w:p>
    <w:p w14:paraId="0CB26BF9">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15B2281F">
      <w:pPr>
        <w:pStyle w:val="2"/>
        <w:spacing w:before="240" w:after="240"/>
        <w:rPr>
          <w:rFonts w:ascii="宋体" w:hAnsi="宋体" w:eastAsia="宋体" w:cs="宋体"/>
          <w:color w:val="auto"/>
          <w:highlight w:val="none"/>
        </w:rPr>
      </w:pPr>
      <w:bookmarkStart w:id="34" w:name="_Toc60935827"/>
      <w:bookmarkStart w:id="35" w:name="_Toc7112"/>
      <w:bookmarkStart w:id="36" w:name="_Toc23070"/>
      <w:bookmarkStart w:id="37" w:name="_Toc1688"/>
      <w:bookmarkStart w:id="38" w:name="_Toc22908"/>
      <w:bookmarkStart w:id="39" w:name="_Toc19107"/>
      <w:bookmarkStart w:id="40" w:name="_Toc46060089"/>
      <w:bookmarkStart w:id="41" w:name="_Toc708"/>
      <w:bookmarkStart w:id="42" w:name="_Toc133572704"/>
      <w:r>
        <w:rPr>
          <w:rFonts w:ascii="宋体" w:hAnsi="宋体" w:eastAsia="宋体" w:cs="宋体"/>
          <w:color w:val="auto"/>
          <w:highlight w:val="none"/>
        </w:rPr>
        <w:t xml:space="preserve">4 </w:t>
      </w:r>
      <w:r>
        <w:rPr>
          <w:rFonts w:hint="eastAsia" w:ascii="宋体" w:hAnsi="宋体" w:eastAsia="宋体" w:cs="宋体"/>
          <w:color w:val="auto"/>
          <w:highlight w:val="none"/>
        </w:rPr>
        <w:t>室内主要空间尺寸</w:t>
      </w:r>
      <w:bookmarkEnd w:id="34"/>
      <w:bookmarkEnd w:id="35"/>
      <w:bookmarkEnd w:id="36"/>
      <w:bookmarkEnd w:id="37"/>
      <w:bookmarkEnd w:id="38"/>
      <w:bookmarkEnd w:id="39"/>
      <w:bookmarkEnd w:id="40"/>
      <w:bookmarkEnd w:id="41"/>
      <w:bookmarkEnd w:id="42"/>
    </w:p>
    <w:p w14:paraId="51AAC61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0</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空间尺寸检验前应在分户验收记录所附的套型图上标明自然间编号，然后根据户型特点确定测点布置方案。测点布置应符合下列规定：</w:t>
      </w:r>
    </w:p>
    <w:p w14:paraId="0C1D867A">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1 </w:t>
      </w:r>
      <w:r>
        <w:rPr>
          <w:rFonts w:hint="eastAsia" w:ascii="宋体" w:hAnsi="宋体" w:eastAsia="宋体" w:cs="宋体"/>
          <w:color w:val="auto"/>
          <w:kern w:val="0"/>
          <w:sz w:val="28"/>
          <w:szCs w:val="28"/>
          <w:highlight w:val="none"/>
        </w:rPr>
        <w:t>净开间、净进深尺寸测量每自然间各不应少于</w:t>
      </w:r>
      <w:r>
        <w:rPr>
          <w:rFonts w:ascii="宋体" w:hAnsi="宋体" w:eastAsia="宋体" w:cs="宋体"/>
          <w:color w:val="auto"/>
          <w:kern w:val="0"/>
          <w:sz w:val="28"/>
          <w:szCs w:val="28"/>
          <w:highlight w:val="none"/>
        </w:rPr>
        <w:t>2处，测点宜选在墙面一条对角线上，高度距地面约1/3净高和2/3净高处各布置一点；</w:t>
      </w:r>
    </w:p>
    <w:p w14:paraId="61D44055">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2 </w:t>
      </w:r>
      <w:r>
        <w:rPr>
          <w:rFonts w:hint="eastAsia" w:ascii="宋体" w:hAnsi="宋体" w:eastAsia="宋体" w:cs="宋体"/>
          <w:color w:val="auto"/>
          <w:kern w:val="0"/>
          <w:sz w:val="28"/>
          <w:szCs w:val="28"/>
          <w:highlight w:val="none"/>
        </w:rPr>
        <w:t>净高度尺寸测量每自然间不应少于</w:t>
      </w:r>
      <w:r>
        <w:rPr>
          <w:rFonts w:ascii="宋体" w:hAnsi="宋体" w:eastAsia="宋体" w:cs="宋体"/>
          <w:color w:val="auto"/>
          <w:kern w:val="0"/>
          <w:sz w:val="28"/>
          <w:szCs w:val="28"/>
          <w:highlight w:val="none"/>
        </w:rPr>
        <w:t>5处，测量部位宜选在自然间地面四角距纵横墙50cm处及自然间地面几何中心处；</w:t>
      </w:r>
    </w:p>
    <w:p w14:paraId="5D193483">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3 </w:t>
      </w:r>
      <w:r>
        <w:rPr>
          <w:rFonts w:hint="eastAsia" w:ascii="宋体" w:hAnsi="宋体" w:eastAsia="宋体" w:cs="宋体"/>
          <w:color w:val="auto"/>
          <w:kern w:val="0"/>
          <w:sz w:val="28"/>
          <w:szCs w:val="28"/>
          <w:highlight w:val="none"/>
        </w:rPr>
        <w:t>形状复杂的自然间可单独制定测点布置方案</w:t>
      </w:r>
      <w:r>
        <w:rPr>
          <w:rFonts w:ascii="宋体" w:hAnsi="宋体" w:eastAsia="宋体" w:cs="宋体"/>
          <w:color w:val="auto"/>
          <w:kern w:val="0"/>
          <w:sz w:val="28"/>
          <w:szCs w:val="28"/>
          <w:highlight w:val="none"/>
        </w:rPr>
        <w:t>。</w:t>
      </w:r>
    </w:p>
    <w:p w14:paraId="14F03A3B">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4.0.1 </w:t>
      </w:r>
      <w:r>
        <w:rPr>
          <w:rFonts w:hint="eastAsia" w:cs="宋体"/>
          <w:color w:val="auto"/>
          <w:sz w:val="28"/>
          <w:szCs w:val="28"/>
          <w:highlight w:val="none"/>
          <w:shd w:val="pct10" w:color="auto" w:fill="FFFFFF"/>
          <w:lang w:eastAsia="zh-CN"/>
        </w:rPr>
        <w:t>空间尺寸的测量以自然间为单位。对于无分隔墙的自然间</w:t>
      </w:r>
      <w:r>
        <w:rPr>
          <w:rFonts w:hint="default"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Hans"/>
        </w:rPr>
        <w:t>包括开放式阳台等</w:t>
      </w:r>
      <w:r>
        <w:rPr>
          <w:rFonts w:hint="default" w:cs="宋体"/>
          <w:color w:val="auto"/>
          <w:sz w:val="28"/>
          <w:szCs w:val="28"/>
          <w:highlight w:val="none"/>
          <w:shd w:val="pct10" w:color="auto" w:fill="FFFFFF"/>
          <w:lang w:eastAsia="zh-Hans"/>
        </w:rPr>
        <w:t>）</w:t>
      </w:r>
      <w:r>
        <w:rPr>
          <w:rFonts w:hint="eastAsia" w:cs="宋体"/>
          <w:color w:val="auto"/>
          <w:sz w:val="28"/>
          <w:szCs w:val="28"/>
          <w:highlight w:val="none"/>
          <w:shd w:val="pct10" w:color="auto" w:fill="FFFFFF"/>
          <w:lang w:eastAsia="zh-CN"/>
        </w:rPr>
        <w:t>，宜弹出墙体两侧边缘线作为测量基准线，也可把测点布置在上方梁上。对于非矩形自然间，各方可协商测点布置方案。对于全装修住宅，应根据实际情况确定测量控制点，测量点应有代表性。若装修复杂，难以选定测量点时，也可以在装修之前对空间尺寸进行测量</w:t>
      </w:r>
      <w:r>
        <w:rPr>
          <w:rFonts w:cs="宋体"/>
          <w:color w:val="auto"/>
          <w:sz w:val="28"/>
          <w:szCs w:val="28"/>
          <w:highlight w:val="none"/>
          <w:shd w:val="pct10" w:color="auto" w:fill="FFFFFF"/>
          <w:lang w:eastAsia="zh-CN"/>
        </w:rPr>
        <w:t>。</w:t>
      </w:r>
    </w:p>
    <w:p w14:paraId="4A850F9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.0.2 </w:t>
      </w:r>
      <w:r>
        <w:rPr>
          <w:rFonts w:hint="eastAsia" w:cs="宋体"/>
          <w:color w:val="auto"/>
          <w:sz w:val="28"/>
          <w:szCs w:val="28"/>
          <w:highlight w:val="none"/>
          <w:lang w:eastAsia="zh-CN"/>
        </w:rPr>
        <w:t>空间尺寸检查前应按设计要求和施工情况确定空间尺寸的推算值。</w:t>
      </w:r>
    </w:p>
    <w:p w14:paraId="563397F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.0.3 </w:t>
      </w:r>
      <w:r>
        <w:rPr>
          <w:rFonts w:hint="eastAsia" w:cs="宋体"/>
          <w:color w:val="auto"/>
          <w:sz w:val="28"/>
          <w:szCs w:val="28"/>
          <w:highlight w:val="none"/>
          <w:lang w:eastAsia="zh-CN"/>
        </w:rPr>
        <w:t>空间尺寸的净开间、净进深和净高度的允许偏差和允许极差应符合表</w:t>
      </w:r>
      <w:r>
        <w:rPr>
          <w:rFonts w:cs="宋体"/>
          <w:color w:val="auto"/>
          <w:sz w:val="28"/>
          <w:szCs w:val="28"/>
          <w:highlight w:val="none"/>
          <w:lang w:eastAsia="zh-CN"/>
        </w:rPr>
        <w:t>4.0.3</w:t>
      </w:r>
      <w:r>
        <w:rPr>
          <w:rFonts w:hint="eastAsia" w:cs="宋体"/>
          <w:color w:val="auto"/>
          <w:sz w:val="28"/>
          <w:szCs w:val="28"/>
          <w:highlight w:val="none"/>
          <w:lang w:val="en-US" w:eastAsia="zh-CN"/>
        </w:rPr>
        <w:t>-1</w:t>
      </w:r>
      <w:r>
        <w:rPr>
          <w:rFonts w:cs="宋体"/>
          <w:color w:val="auto"/>
          <w:sz w:val="28"/>
          <w:szCs w:val="28"/>
          <w:highlight w:val="none"/>
          <w:lang w:eastAsia="zh-CN"/>
        </w:rPr>
        <w:t>（毛坯房）、表4.0.</w:t>
      </w:r>
      <w:r>
        <w:rPr>
          <w:rFonts w:hint="eastAsia" w:cs="宋体"/>
          <w:color w:val="auto"/>
          <w:sz w:val="28"/>
          <w:szCs w:val="28"/>
          <w:highlight w:val="none"/>
          <w:lang w:val="en-US" w:eastAsia="zh-CN"/>
        </w:rPr>
        <w:t>3-2</w:t>
      </w:r>
      <w:r>
        <w:rPr>
          <w:rFonts w:cs="宋体"/>
          <w:color w:val="auto"/>
          <w:sz w:val="28"/>
          <w:szCs w:val="28"/>
          <w:highlight w:val="none"/>
          <w:lang w:eastAsia="zh-CN"/>
        </w:rPr>
        <w:t>（精装房）的规定。</w:t>
      </w:r>
    </w:p>
    <w:p w14:paraId="3A47656B">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4.0.3</w:t>
      </w:r>
      <w:r>
        <w:rPr>
          <w:rFonts w:hint="eastAsia" w:ascii="宋体" w:hAnsi="宋体" w:eastAsia="宋体" w:cs="宋体"/>
          <w:b/>
          <w:color w:val="auto"/>
          <w:kern w:val="0"/>
          <w:sz w:val="24"/>
          <w:szCs w:val="24"/>
          <w:highlight w:val="none"/>
          <w:lang w:val="en-US" w:eastAsia="zh-CN"/>
        </w:rPr>
        <w:t>-1</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空间尺寸的允许偏差值和允许极差值（毛坯房）</w:t>
      </w:r>
    </w:p>
    <w:tbl>
      <w:tblPr>
        <w:tblStyle w:val="339"/>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186"/>
        <w:gridCol w:w="2134"/>
        <w:gridCol w:w="2135"/>
      </w:tblGrid>
      <w:tr w14:paraId="6723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2"/>
            <w:vAlign w:val="center"/>
          </w:tcPr>
          <w:p w14:paraId="75FF9F39">
            <w:pPr>
              <w:jc w:val="center"/>
              <w:rPr>
                <w:rFonts w:ascii="Calibri" w:hAnsi="Calibri" w:eastAsia="宋体"/>
                <w:color w:val="auto"/>
                <w:szCs w:val="21"/>
                <w:highlight w:val="none"/>
              </w:rPr>
            </w:pPr>
            <w:r>
              <w:rPr>
                <w:rFonts w:ascii="Calibri" w:hAnsi="Calibri" w:eastAsia="宋体"/>
                <w:color w:val="auto"/>
                <w:szCs w:val="21"/>
                <w:highlight w:val="none"/>
              </w:rPr>
              <w:t>检验内容</w:t>
            </w:r>
          </w:p>
        </w:tc>
        <w:tc>
          <w:tcPr>
            <w:tcW w:w="0" w:type="auto"/>
            <w:vAlign w:val="center"/>
          </w:tcPr>
          <w:p w14:paraId="157C7C89">
            <w:pPr>
              <w:jc w:val="center"/>
              <w:rPr>
                <w:rFonts w:ascii="Calibri" w:hAnsi="Calibri" w:eastAsia="宋体"/>
                <w:color w:val="auto"/>
                <w:szCs w:val="21"/>
                <w:highlight w:val="none"/>
              </w:rPr>
            </w:pPr>
            <w:r>
              <w:rPr>
                <w:rFonts w:ascii="Calibri" w:hAnsi="Calibri" w:eastAsia="宋体"/>
                <w:color w:val="auto"/>
                <w:szCs w:val="21"/>
                <w:highlight w:val="none"/>
              </w:rPr>
              <w:t>允许偏差（mm）</w:t>
            </w:r>
          </w:p>
        </w:tc>
        <w:tc>
          <w:tcPr>
            <w:tcW w:w="0" w:type="auto"/>
            <w:vAlign w:val="center"/>
          </w:tcPr>
          <w:p w14:paraId="65493633">
            <w:pPr>
              <w:jc w:val="center"/>
              <w:rPr>
                <w:rFonts w:ascii="Calibri" w:hAnsi="Calibri" w:eastAsia="宋体"/>
                <w:color w:val="auto"/>
                <w:szCs w:val="21"/>
                <w:highlight w:val="none"/>
              </w:rPr>
            </w:pPr>
            <w:r>
              <w:rPr>
                <w:rFonts w:ascii="Calibri" w:hAnsi="Calibri" w:eastAsia="宋体"/>
                <w:color w:val="auto"/>
                <w:szCs w:val="21"/>
                <w:highlight w:val="none"/>
              </w:rPr>
              <w:t>允许极差（mm）</w:t>
            </w:r>
          </w:p>
        </w:tc>
      </w:tr>
      <w:tr w14:paraId="151F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14:paraId="41C1FF92">
            <w:pPr>
              <w:jc w:val="center"/>
              <w:rPr>
                <w:rFonts w:ascii="Calibri" w:hAnsi="Calibri" w:eastAsia="宋体"/>
                <w:color w:val="auto"/>
                <w:szCs w:val="21"/>
                <w:highlight w:val="none"/>
              </w:rPr>
            </w:pPr>
            <w:r>
              <w:rPr>
                <w:rFonts w:ascii="Calibri" w:hAnsi="Calibri" w:eastAsia="宋体"/>
                <w:color w:val="auto"/>
                <w:szCs w:val="21"/>
                <w:highlight w:val="none"/>
              </w:rPr>
              <w:t>净开间、进深</w:t>
            </w:r>
          </w:p>
        </w:tc>
        <w:tc>
          <w:tcPr>
            <w:tcW w:w="0" w:type="auto"/>
            <w:vAlign w:val="center"/>
          </w:tcPr>
          <w:p w14:paraId="592FD428">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14:paraId="44137EA5">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14:paraId="26760932">
            <w:pPr>
              <w:jc w:val="center"/>
              <w:rPr>
                <w:rFonts w:ascii="Calibri" w:hAnsi="Calibri" w:eastAsia="宋体"/>
                <w:color w:val="auto"/>
                <w:szCs w:val="21"/>
                <w:highlight w:val="none"/>
              </w:rPr>
            </w:pPr>
            <w:r>
              <w:rPr>
                <w:rFonts w:ascii="Calibri" w:hAnsi="Calibri" w:eastAsia="宋体"/>
                <w:color w:val="auto"/>
                <w:szCs w:val="21"/>
                <w:highlight w:val="none"/>
              </w:rPr>
              <w:t>20</w:t>
            </w:r>
          </w:p>
        </w:tc>
      </w:tr>
      <w:tr w14:paraId="25AF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54DCFCF3">
            <w:pPr>
              <w:jc w:val="center"/>
              <w:rPr>
                <w:rFonts w:ascii="Calibri" w:hAnsi="Calibri" w:eastAsia="宋体"/>
                <w:color w:val="auto"/>
                <w:szCs w:val="21"/>
                <w:highlight w:val="none"/>
              </w:rPr>
            </w:pPr>
          </w:p>
        </w:tc>
        <w:tc>
          <w:tcPr>
            <w:tcW w:w="0" w:type="auto"/>
            <w:vAlign w:val="center"/>
          </w:tcPr>
          <w:p w14:paraId="49FAA991">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14:paraId="7BA4B9FD">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14:paraId="294EF723">
            <w:pPr>
              <w:jc w:val="center"/>
              <w:rPr>
                <w:rFonts w:ascii="Calibri" w:hAnsi="Calibri" w:eastAsia="宋体"/>
                <w:color w:val="auto"/>
                <w:szCs w:val="21"/>
                <w:highlight w:val="none"/>
              </w:rPr>
            </w:pPr>
            <w:r>
              <w:rPr>
                <w:rFonts w:ascii="Calibri" w:hAnsi="Calibri" w:eastAsia="宋体"/>
                <w:color w:val="auto"/>
                <w:szCs w:val="21"/>
                <w:highlight w:val="none"/>
              </w:rPr>
              <w:t>25</w:t>
            </w:r>
          </w:p>
        </w:tc>
      </w:tr>
      <w:tr w14:paraId="30E5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14:paraId="18BD3C49">
            <w:pPr>
              <w:jc w:val="center"/>
              <w:rPr>
                <w:rFonts w:ascii="Calibri" w:hAnsi="Calibri" w:eastAsia="宋体"/>
                <w:color w:val="auto"/>
                <w:szCs w:val="21"/>
                <w:highlight w:val="none"/>
              </w:rPr>
            </w:pPr>
            <w:r>
              <w:rPr>
                <w:rFonts w:ascii="Calibri" w:hAnsi="Calibri" w:eastAsia="宋体"/>
                <w:color w:val="auto"/>
                <w:szCs w:val="21"/>
                <w:highlight w:val="none"/>
              </w:rPr>
              <w:t>净高度</w:t>
            </w:r>
          </w:p>
        </w:tc>
        <w:tc>
          <w:tcPr>
            <w:tcW w:w="0" w:type="auto"/>
            <w:vAlign w:val="center"/>
          </w:tcPr>
          <w:p w14:paraId="34CBC352">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14:paraId="3BDE5385">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14:paraId="756DBF15">
            <w:pPr>
              <w:jc w:val="center"/>
              <w:rPr>
                <w:rFonts w:ascii="Calibri" w:hAnsi="Calibri" w:eastAsia="宋体"/>
                <w:color w:val="auto"/>
                <w:szCs w:val="21"/>
                <w:highlight w:val="none"/>
              </w:rPr>
            </w:pPr>
            <w:r>
              <w:rPr>
                <w:rFonts w:ascii="Calibri" w:hAnsi="Calibri" w:eastAsia="宋体"/>
                <w:color w:val="auto"/>
                <w:szCs w:val="21"/>
                <w:highlight w:val="none"/>
              </w:rPr>
              <w:t>20</w:t>
            </w:r>
          </w:p>
        </w:tc>
      </w:tr>
      <w:tr w14:paraId="5520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3640C680">
            <w:pPr>
              <w:jc w:val="center"/>
              <w:rPr>
                <w:rFonts w:ascii="Calibri" w:hAnsi="Calibri" w:eastAsia="宋体"/>
                <w:color w:val="auto"/>
                <w:szCs w:val="21"/>
                <w:highlight w:val="none"/>
              </w:rPr>
            </w:pPr>
          </w:p>
        </w:tc>
        <w:tc>
          <w:tcPr>
            <w:tcW w:w="0" w:type="auto"/>
            <w:vAlign w:val="center"/>
          </w:tcPr>
          <w:p w14:paraId="5C649DB5">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14:paraId="54B39708">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14:paraId="7F30F5CE">
            <w:pPr>
              <w:jc w:val="center"/>
              <w:rPr>
                <w:rFonts w:ascii="Calibri" w:hAnsi="Calibri" w:eastAsia="宋体"/>
                <w:color w:val="auto"/>
                <w:szCs w:val="21"/>
                <w:highlight w:val="none"/>
              </w:rPr>
            </w:pPr>
            <w:r>
              <w:rPr>
                <w:rFonts w:ascii="Calibri" w:hAnsi="Calibri" w:eastAsia="宋体"/>
                <w:color w:val="auto"/>
                <w:szCs w:val="21"/>
                <w:highlight w:val="none"/>
              </w:rPr>
              <w:t>25</w:t>
            </w:r>
          </w:p>
        </w:tc>
      </w:tr>
    </w:tbl>
    <w:p w14:paraId="09A702A7">
      <w:pPr>
        <w:spacing w:before="240" w:beforeLines="100" w:line="360" w:lineRule="auto"/>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表4.0.</w:t>
      </w:r>
      <w:r>
        <w:rPr>
          <w:rFonts w:hint="eastAsia" w:ascii="宋体" w:hAnsi="宋体" w:eastAsia="宋体" w:cs="宋体"/>
          <w:b/>
          <w:color w:val="auto"/>
          <w:kern w:val="0"/>
          <w:sz w:val="24"/>
          <w:szCs w:val="24"/>
          <w:highlight w:val="none"/>
          <w:lang w:val="en-US" w:eastAsia="zh-CN"/>
        </w:rPr>
        <w:t>3-2</w:t>
      </w:r>
      <w:r>
        <w:rPr>
          <w:rFonts w:ascii="宋体" w:hAnsi="宋体" w:eastAsia="宋体" w:cs="宋体"/>
          <w:b/>
          <w:color w:val="auto"/>
          <w:kern w:val="0"/>
          <w:sz w:val="24"/>
          <w:szCs w:val="24"/>
          <w:highlight w:val="none"/>
        </w:rPr>
        <w:t xml:space="preserve"> 空间尺寸的允许偏差值和允许极差值（</w:t>
      </w:r>
      <w:r>
        <w:rPr>
          <w:rFonts w:hint="eastAsia" w:ascii="宋体" w:hAnsi="宋体" w:eastAsia="宋体" w:cs="宋体"/>
          <w:b/>
          <w:color w:val="auto"/>
          <w:kern w:val="0"/>
          <w:sz w:val="24"/>
          <w:szCs w:val="24"/>
          <w:highlight w:val="none"/>
        </w:rPr>
        <w:t>精装房</w:t>
      </w:r>
      <w:r>
        <w:rPr>
          <w:rFonts w:ascii="宋体" w:hAnsi="宋体" w:eastAsia="宋体" w:cs="宋体"/>
          <w:b/>
          <w:color w:val="auto"/>
          <w:kern w:val="0"/>
          <w:sz w:val="24"/>
          <w:szCs w:val="24"/>
          <w:highlight w:val="none"/>
        </w:rPr>
        <w:t>）</w:t>
      </w:r>
    </w:p>
    <w:tbl>
      <w:tblPr>
        <w:tblStyle w:val="340"/>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186"/>
        <w:gridCol w:w="2134"/>
        <w:gridCol w:w="2135"/>
      </w:tblGrid>
      <w:tr w14:paraId="3052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vAlign w:val="center"/>
          </w:tcPr>
          <w:p w14:paraId="46861B55">
            <w:pPr>
              <w:jc w:val="center"/>
              <w:rPr>
                <w:rFonts w:ascii="Calibri" w:hAnsi="Calibri" w:eastAsia="宋体"/>
                <w:color w:val="auto"/>
                <w:szCs w:val="21"/>
                <w:highlight w:val="none"/>
              </w:rPr>
            </w:pPr>
            <w:r>
              <w:rPr>
                <w:rFonts w:ascii="Calibri" w:hAnsi="Calibri" w:eastAsia="宋体"/>
                <w:color w:val="auto"/>
                <w:szCs w:val="21"/>
                <w:highlight w:val="none"/>
              </w:rPr>
              <w:t>检验内容</w:t>
            </w:r>
          </w:p>
        </w:tc>
        <w:tc>
          <w:tcPr>
            <w:tcW w:w="0" w:type="auto"/>
            <w:vAlign w:val="center"/>
          </w:tcPr>
          <w:p w14:paraId="22EAF7A1">
            <w:pPr>
              <w:jc w:val="center"/>
              <w:rPr>
                <w:rFonts w:ascii="Calibri" w:hAnsi="Calibri" w:eastAsia="宋体"/>
                <w:color w:val="auto"/>
                <w:szCs w:val="21"/>
                <w:highlight w:val="none"/>
              </w:rPr>
            </w:pPr>
            <w:r>
              <w:rPr>
                <w:rFonts w:ascii="Calibri" w:hAnsi="Calibri" w:eastAsia="宋体"/>
                <w:color w:val="auto"/>
                <w:szCs w:val="21"/>
                <w:highlight w:val="none"/>
              </w:rPr>
              <w:t>允许偏差（mm）</w:t>
            </w:r>
          </w:p>
        </w:tc>
        <w:tc>
          <w:tcPr>
            <w:tcW w:w="0" w:type="auto"/>
            <w:vAlign w:val="center"/>
          </w:tcPr>
          <w:p w14:paraId="0302A3DD">
            <w:pPr>
              <w:jc w:val="center"/>
              <w:rPr>
                <w:rFonts w:ascii="Calibri" w:hAnsi="Calibri" w:eastAsia="宋体"/>
                <w:color w:val="auto"/>
                <w:szCs w:val="21"/>
                <w:highlight w:val="none"/>
              </w:rPr>
            </w:pPr>
            <w:r>
              <w:rPr>
                <w:rFonts w:ascii="Calibri" w:hAnsi="Calibri" w:eastAsia="宋体"/>
                <w:color w:val="auto"/>
                <w:szCs w:val="21"/>
                <w:highlight w:val="none"/>
              </w:rPr>
              <w:t>允许极差（mm）</w:t>
            </w:r>
          </w:p>
        </w:tc>
      </w:tr>
      <w:tr w14:paraId="18C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14:paraId="16F067F5">
            <w:pPr>
              <w:jc w:val="center"/>
              <w:rPr>
                <w:rFonts w:ascii="Calibri" w:hAnsi="Calibri" w:eastAsia="宋体"/>
                <w:color w:val="auto"/>
                <w:szCs w:val="21"/>
                <w:highlight w:val="none"/>
              </w:rPr>
            </w:pPr>
            <w:r>
              <w:rPr>
                <w:rFonts w:ascii="Calibri" w:hAnsi="Calibri" w:eastAsia="宋体"/>
                <w:color w:val="auto"/>
                <w:szCs w:val="21"/>
                <w:highlight w:val="none"/>
              </w:rPr>
              <w:t>净开间、进深</w:t>
            </w:r>
          </w:p>
        </w:tc>
        <w:tc>
          <w:tcPr>
            <w:tcW w:w="0" w:type="auto"/>
            <w:vAlign w:val="center"/>
          </w:tcPr>
          <w:p w14:paraId="00CAD30C">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14:paraId="05A66F5B">
            <w:pPr>
              <w:jc w:val="center"/>
              <w:rPr>
                <w:rFonts w:ascii="Calibri" w:hAnsi="Calibri" w:eastAsia="宋体"/>
                <w:color w:val="auto"/>
                <w:szCs w:val="21"/>
                <w:highlight w:val="none"/>
              </w:rPr>
            </w:pPr>
            <w:r>
              <w:rPr>
                <w:rFonts w:ascii="Calibri" w:hAnsi="Calibri" w:eastAsia="宋体"/>
                <w:color w:val="auto"/>
                <w:szCs w:val="21"/>
                <w:highlight w:val="none"/>
              </w:rPr>
              <w:t>±10</w:t>
            </w:r>
          </w:p>
        </w:tc>
        <w:tc>
          <w:tcPr>
            <w:tcW w:w="0" w:type="auto"/>
            <w:vAlign w:val="center"/>
          </w:tcPr>
          <w:p w14:paraId="5C2CB81D">
            <w:pPr>
              <w:jc w:val="center"/>
              <w:rPr>
                <w:rFonts w:ascii="Calibri" w:hAnsi="Calibri" w:eastAsia="宋体"/>
                <w:color w:val="auto"/>
                <w:szCs w:val="21"/>
                <w:highlight w:val="none"/>
              </w:rPr>
            </w:pPr>
            <w:r>
              <w:rPr>
                <w:rFonts w:ascii="Calibri" w:hAnsi="Calibri" w:eastAsia="宋体"/>
                <w:color w:val="auto"/>
                <w:szCs w:val="21"/>
                <w:highlight w:val="none"/>
              </w:rPr>
              <w:t>15</w:t>
            </w:r>
          </w:p>
        </w:tc>
      </w:tr>
      <w:tr w14:paraId="7F2F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74FC7048">
            <w:pPr>
              <w:jc w:val="center"/>
              <w:rPr>
                <w:rFonts w:ascii="Calibri" w:hAnsi="Calibri" w:eastAsia="宋体"/>
                <w:color w:val="auto"/>
                <w:szCs w:val="21"/>
                <w:highlight w:val="none"/>
              </w:rPr>
            </w:pPr>
          </w:p>
        </w:tc>
        <w:tc>
          <w:tcPr>
            <w:tcW w:w="0" w:type="auto"/>
            <w:vAlign w:val="center"/>
          </w:tcPr>
          <w:p w14:paraId="65020AC4">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14:paraId="4E1A4D56">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14:paraId="31F11B70">
            <w:pPr>
              <w:jc w:val="center"/>
              <w:rPr>
                <w:rFonts w:ascii="Calibri" w:hAnsi="Calibri" w:eastAsia="宋体"/>
                <w:color w:val="auto"/>
                <w:szCs w:val="21"/>
                <w:highlight w:val="none"/>
              </w:rPr>
            </w:pPr>
            <w:r>
              <w:rPr>
                <w:rFonts w:ascii="Calibri" w:hAnsi="Calibri" w:eastAsia="宋体"/>
                <w:color w:val="auto"/>
                <w:szCs w:val="21"/>
                <w:highlight w:val="none"/>
              </w:rPr>
              <w:t>20</w:t>
            </w:r>
          </w:p>
        </w:tc>
      </w:tr>
      <w:tr w14:paraId="7AA2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14:paraId="71A1162C">
            <w:pPr>
              <w:jc w:val="center"/>
              <w:rPr>
                <w:rFonts w:ascii="Calibri" w:hAnsi="Calibri" w:eastAsia="宋体"/>
                <w:color w:val="auto"/>
                <w:szCs w:val="21"/>
                <w:highlight w:val="none"/>
              </w:rPr>
            </w:pPr>
            <w:r>
              <w:rPr>
                <w:rFonts w:ascii="Calibri" w:hAnsi="Calibri" w:eastAsia="宋体"/>
                <w:color w:val="auto"/>
                <w:szCs w:val="21"/>
                <w:highlight w:val="none"/>
              </w:rPr>
              <w:t>净高度</w:t>
            </w:r>
          </w:p>
        </w:tc>
        <w:tc>
          <w:tcPr>
            <w:tcW w:w="0" w:type="auto"/>
            <w:vAlign w:val="center"/>
          </w:tcPr>
          <w:p w14:paraId="04629BB1">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14:paraId="77C7ACB5">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14:paraId="0B357724">
            <w:pPr>
              <w:jc w:val="center"/>
              <w:rPr>
                <w:rFonts w:ascii="Calibri" w:hAnsi="Calibri" w:eastAsia="宋体"/>
                <w:color w:val="auto"/>
                <w:szCs w:val="21"/>
                <w:highlight w:val="none"/>
              </w:rPr>
            </w:pPr>
            <w:r>
              <w:rPr>
                <w:rFonts w:ascii="Calibri" w:hAnsi="Calibri" w:eastAsia="宋体"/>
                <w:color w:val="auto"/>
                <w:szCs w:val="21"/>
                <w:highlight w:val="none"/>
              </w:rPr>
              <w:t>15</w:t>
            </w:r>
          </w:p>
        </w:tc>
      </w:tr>
      <w:tr w14:paraId="282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43A7452A">
            <w:pPr>
              <w:jc w:val="center"/>
              <w:rPr>
                <w:rFonts w:ascii="Calibri" w:hAnsi="Calibri" w:eastAsia="宋体"/>
                <w:color w:val="auto"/>
                <w:szCs w:val="21"/>
                <w:highlight w:val="none"/>
              </w:rPr>
            </w:pPr>
          </w:p>
        </w:tc>
        <w:tc>
          <w:tcPr>
            <w:tcW w:w="0" w:type="auto"/>
            <w:vAlign w:val="center"/>
          </w:tcPr>
          <w:p w14:paraId="3A5A8801">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14:paraId="2DA085EA">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14:paraId="64B60A28">
            <w:pPr>
              <w:jc w:val="center"/>
              <w:rPr>
                <w:rFonts w:ascii="Calibri" w:hAnsi="Calibri" w:eastAsia="宋体"/>
                <w:color w:val="auto"/>
                <w:szCs w:val="21"/>
                <w:highlight w:val="none"/>
              </w:rPr>
            </w:pPr>
            <w:r>
              <w:rPr>
                <w:rFonts w:ascii="Calibri" w:hAnsi="Calibri" w:eastAsia="宋体"/>
                <w:color w:val="auto"/>
                <w:szCs w:val="21"/>
                <w:highlight w:val="none"/>
              </w:rPr>
              <w:t>20</w:t>
            </w:r>
          </w:p>
        </w:tc>
      </w:tr>
    </w:tbl>
    <w:p w14:paraId="269EABA5">
      <w:pPr>
        <w:pStyle w:val="9"/>
        <w:spacing w:before="115" w:line="360" w:lineRule="auto"/>
        <w:ind w:left="0" w:firstLine="840" w:firstLineChars="300"/>
        <w:rPr>
          <w:rFonts w:cs="宋体"/>
          <w:color w:val="auto"/>
          <w:spacing w:val="-2"/>
          <w:sz w:val="28"/>
          <w:szCs w:val="28"/>
          <w:highlight w:val="none"/>
          <w:lang w:eastAsia="zh-CN"/>
        </w:rPr>
      </w:pPr>
      <w:r>
        <w:rPr>
          <w:rFonts w:hint="eastAsia" w:cs="宋体"/>
          <w:color w:val="auto"/>
          <w:sz w:val="28"/>
          <w:szCs w:val="28"/>
          <w:highlight w:val="none"/>
          <w:lang w:eastAsia="zh-CN"/>
        </w:rPr>
        <w:t>检验方法：</w:t>
      </w:r>
      <w:r>
        <w:rPr>
          <w:rFonts w:hint="eastAsia" w:cs="宋体"/>
          <w:color w:val="auto"/>
          <w:spacing w:val="-2"/>
          <w:sz w:val="28"/>
          <w:szCs w:val="28"/>
          <w:highlight w:val="none"/>
          <w:lang w:eastAsia="zh-CN"/>
        </w:rPr>
        <w:t>尺量检查、激光测距仪检查或三维激光扫描仪检查。</w:t>
      </w:r>
    </w:p>
    <w:p w14:paraId="08A24A41">
      <w:pPr>
        <w:pStyle w:val="9"/>
        <w:spacing w:before="115" w:line="360" w:lineRule="auto"/>
        <w:ind w:left="0" w:firstLine="840" w:firstLineChars="300"/>
        <w:rPr>
          <w:rFonts w:cs="宋体"/>
          <w:color w:val="auto"/>
          <w:sz w:val="28"/>
          <w:szCs w:val="28"/>
          <w:highlight w:val="none"/>
          <w:lang w:eastAsia="zh-CN"/>
        </w:rPr>
      </w:pPr>
      <w:r>
        <w:rPr>
          <w:rFonts w:hint="eastAsia" w:cs="宋体"/>
          <w:color w:val="auto"/>
          <w:sz w:val="28"/>
          <w:szCs w:val="28"/>
          <w:highlight w:val="none"/>
          <w:lang w:eastAsia="zh-CN"/>
        </w:rPr>
        <w:t>检查数量：自然间全数检查。</w:t>
      </w:r>
    </w:p>
    <w:p w14:paraId="39D56CDC">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4.0.3 </w:t>
      </w:r>
      <w:r>
        <w:rPr>
          <w:rFonts w:hint="eastAsia" w:cs="宋体"/>
          <w:color w:val="auto"/>
          <w:sz w:val="28"/>
          <w:szCs w:val="28"/>
          <w:highlight w:val="none"/>
          <w:shd w:val="pct10" w:color="auto" w:fill="FFFFFF"/>
          <w:lang w:eastAsia="zh-CN"/>
        </w:rPr>
        <w:t>空间尺寸偏差评判按照每户进行统计，户内</w:t>
      </w:r>
      <w:r>
        <w:rPr>
          <w:rFonts w:cs="宋体"/>
          <w:color w:val="auto"/>
          <w:sz w:val="28"/>
          <w:szCs w:val="28"/>
          <w:highlight w:val="none"/>
          <w:shd w:val="pct10" w:color="auto" w:fill="FFFFFF"/>
          <w:lang w:eastAsia="zh-CN"/>
        </w:rPr>
        <w:t>80%及以上检查点符合本</w:t>
      </w:r>
      <w:r>
        <w:rPr>
          <w:rFonts w:hint="eastAsia" w:cs="宋体"/>
          <w:color w:val="auto"/>
          <w:sz w:val="28"/>
          <w:szCs w:val="28"/>
          <w:highlight w:val="none"/>
          <w:shd w:val="pct10" w:color="auto" w:fill="FFFFFF"/>
          <w:lang w:eastAsia="zh-CN"/>
        </w:rPr>
        <w:t>标准</w:t>
      </w:r>
      <w:r>
        <w:rPr>
          <w:rFonts w:cs="宋体"/>
          <w:color w:val="auto"/>
          <w:sz w:val="28"/>
          <w:szCs w:val="28"/>
          <w:highlight w:val="none"/>
          <w:shd w:val="pct10" w:color="auto" w:fill="FFFFFF"/>
          <w:lang w:eastAsia="zh-CN"/>
        </w:rPr>
        <w:t>的规定，最大偏差不超过允许偏差的1.5倍，可判为合格。极差按照每个自然间相同检测内容相同计算尺寸进行计算，极差应全部符合要求。</w:t>
      </w:r>
    </w:p>
    <w:p w14:paraId="0441A116">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在使用激光测距仪或三维激光扫描仪前，激光测距仪或三维激光扫描仪应校验合格。测量人员应掌握相关仪器的正确使用方法，规范化操作，以确保空间尺寸测量数据的准确性。</w:t>
      </w:r>
    </w:p>
    <w:p w14:paraId="750B8BE7">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在分户验收时，发现空间尺寸不符合本标准要求时，不应仅对所测点采取磨平、垫高等措施来达到要求，而应结合地面和墙面平整度等检测结果分析原因采取合理整改措施。</w:t>
      </w:r>
    </w:p>
    <w:p w14:paraId="19BA32F3">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对卫浴间、厨房、储藏室、封闭式阳台等较小空间，空间尺寸可不检测。若各方协商对上述空间进行检测，每自然间可各检测一点，测点布置在墙面或地面的几何中心处或附近。对地面有坡度的自然间，室内净高测量时应注意室内坡度对测量结果的影响，宜控制最小值不低于设计要求</w:t>
      </w:r>
    </w:p>
    <w:p w14:paraId="0B058BF0">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激光测距仪或三维激光扫描仪在室内的测量精度应在±</w:t>
      </w:r>
      <w:r>
        <w:rPr>
          <w:rFonts w:cs="宋体"/>
          <w:color w:val="auto"/>
          <w:sz w:val="28"/>
          <w:szCs w:val="28"/>
          <w:highlight w:val="none"/>
          <w:shd w:val="pct10" w:color="auto" w:fill="FFFFFF"/>
          <w:lang w:eastAsia="zh-CN"/>
        </w:rPr>
        <w:t>1mm。</w:t>
      </w:r>
    </w:p>
    <w:p w14:paraId="00F04C34">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val="en-US" w:eastAsia="zh-Hans"/>
        </w:rPr>
        <w:t>开放式阳台的空间尺寸偏差是目前</w:t>
      </w:r>
      <w:r>
        <w:rPr>
          <w:rFonts w:hint="eastAsia" w:cs="宋体"/>
          <w:color w:val="auto"/>
          <w:sz w:val="28"/>
          <w:szCs w:val="28"/>
          <w:highlight w:val="none"/>
          <w:shd w:val="pct10" w:color="auto" w:fill="FFFFFF"/>
          <w:lang w:eastAsia="zh-CN"/>
        </w:rPr>
        <w:t>住宅工程中投诉较多的问题之一</w:t>
      </w:r>
      <w:r>
        <w:rPr>
          <w:rFonts w:hint="default" w:cs="宋体"/>
          <w:color w:val="auto"/>
          <w:sz w:val="28"/>
          <w:szCs w:val="28"/>
          <w:highlight w:val="none"/>
          <w:shd w:val="pct10" w:color="auto" w:fill="FFFFFF"/>
          <w:lang w:eastAsia="zh-CN"/>
        </w:rPr>
        <w:t>，</w:t>
      </w:r>
      <w:r>
        <w:rPr>
          <w:rFonts w:hint="eastAsia" w:ascii="宋体" w:hAnsi="宋体" w:eastAsia="宋体" w:cs="宋体"/>
          <w:color w:val="auto"/>
          <w:kern w:val="0"/>
          <w:sz w:val="28"/>
          <w:szCs w:val="28"/>
          <w:highlight w:val="none"/>
          <w:shd w:val="pct10" w:color="auto" w:fill="FFFFFF"/>
          <w:lang w:val="en-US" w:eastAsia="zh-Hans"/>
        </w:rPr>
        <w:t>需要重点予以关注</w:t>
      </w:r>
      <w:r>
        <w:rPr>
          <w:rFonts w:hint="default" w:ascii="宋体" w:hAnsi="宋体" w:eastAsia="宋体" w:cs="宋体"/>
          <w:color w:val="auto"/>
          <w:kern w:val="0"/>
          <w:sz w:val="28"/>
          <w:szCs w:val="28"/>
          <w:highlight w:val="none"/>
          <w:shd w:val="pct10" w:color="auto" w:fill="FFFFFF"/>
          <w:lang w:eastAsia="zh-Hans"/>
        </w:rPr>
        <w:t>。</w:t>
      </w:r>
    </w:p>
    <w:p w14:paraId="1A10589A">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.0.4 </w:t>
      </w:r>
      <w:r>
        <w:rPr>
          <w:rFonts w:hint="eastAsia" w:cs="宋体"/>
          <w:color w:val="auto"/>
          <w:sz w:val="28"/>
          <w:szCs w:val="28"/>
          <w:highlight w:val="none"/>
          <w:lang w:eastAsia="zh-CN"/>
        </w:rPr>
        <w:t>房间的方正性每户应至少抽查一个房间且应抽查客厅、卧室、书房等主要功能房间。</w:t>
      </w:r>
    </w:p>
    <w:p w14:paraId="01D14B3A">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4.0.4 </w:t>
      </w:r>
      <w:r>
        <w:rPr>
          <w:rFonts w:hint="eastAsia" w:cs="宋体"/>
          <w:color w:val="auto"/>
          <w:sz w:val="28"/>
          <w:szCs w:val="28"/>
          <w:highlight w:val="none"/>
          <w:shd w:val="pct10" w:color="auto" w:fill="FFFFFF"/>
          <w:lang w:eastAsia="zh-CN"/>
        </w:rPr>
        <w:t>房间的方正性也是目前住宅工程中投诉较多的问题之一，需要重点予以</w:t>
      </w:r>
      <w:r>
        <w:rPr>
          <w:rFonts w:hint="eastAsia" w:cs="宋体"/>
          <w:color w:val="auto"/>
          <w:sz w:val="28"/>
          <w:szCs w:val="28"/>
          <w:highlight w:val="none"/>
          <w:shd w:val="pct10" w:color="auto" w:fill="FFFFFF"/>
          <w:lang w:val="en-US" w:eastAsia="zh-CN"/>
        </w:rPr>
        <w:t>关注</w:t>
      </w:r>
      <w:r>
        <w:rPr>
          <w:rFonts w:hint="eastAsia" w:cs="宋体"/>
          <w:color w:val="auto"/>
          <w:sz w:val="28"/>
          <w:szCs w:val="28"/>
          <w:highlight w:val="none"/>
          <w:shd w:val="pct10" w:color="auto" w:fill="FFFFFF"/>
          <w:lang w:eastAsia="zh-CN"/>
        </w:rPr>
        <w:t>。宜采用三维激光扫描等快速自动化手段对主要功能房间（客厅、卧室、书房等）进行全面检查，同步生成净开间、净进深、净高度和方正性等多项检查结果。如现场不具备条件的，可采用手工方法检查房间的方正性，由于手工检查较为复杂，可采用抽查的方法且应抽查客厅、卧室、书房等主要功能房间。若抽查房间的方正性不符合规定，需要增加房间检查的数量。房间的方正性检查可采用但不限于以下两种方法</w:t>
      </w:r>
      <w:r>
        <w:rPr>
          <w:rFonts w:cs="宋体"/>
          <w:color w:val="auto"/>
          <w:sz w:val="28"/>
          <w:szCs w:val="28"/>
          <w:highlight w:val="none"/>
          <w:shd w:val="pct10" w:color="auto" w:fill="FFFFFF"/>
          <w:lang w:eastAsia="zh-CN"/>
        </w:rPr>
        <w:t>：</w:t>
      </w:r>
    </w:p>
    <w:p w14:paraId="2F08488C">
      <w:pPr>
        <w:pStyle w:val="9"/>
        <w:spacing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方法一：</w:t>
      </w:r>
      <w:r>
        <w:rPr>
          <w:rFonts w:hint="eastAsia" w:cs="宋体"/>
          <w:color w:val="auto"/>
          <w:sz w:val="28"/>
          <w:szCs w:val="28"/>
          <w:highlight w:val="none"/>
          <w:shd w:val="pct10" w:color="auto" w:fill="FFFFFF"/>
          <w:lang w:eastAsia="zh-CN"/>
        </w:rPr>
        <w:t>量矩形房间两个方向的对角线净距，其差值的允许偏差不大于</w:t>
      </w:r>
      <w:r>
        <w:rPr>
          <w:rFonts w:cs="宋体"/>
          <w:color w:val="auto"/>
          <w:sz w:val="28"/>
          <w:szCs w:val="28"/>
          <w:highlight w:val="none"/>
          <w:shd w:val="pct10" w:color="auto" w:fill="FFFFFF"/>
          <w:lang w:eastAsia="zh-CN"/>
        </w:rPr>
        <w:t>20mm。</w:t>
      </w:r>
    </w:p>
    <w:p w14:paraId="6176AA93">
      <w:pPr>
        <w:pStyle w:val="9"/>
        <w:spacing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方法二：</w:t>
      </w:r>
      <w:r>
        <w:rPr>
          <w:rFonts w:hint="eastAsia" w:cs="宋体"/>
          <w:color w:val="auto"/>
          <w:sz w:val="28"/>
          <w:szCs w:val="28"/>
          <w:highlight w:val="none"/>
          <w:shd w:val="pct10" w:color="auto" w:fill="FFFFFF"/>
          <w:lang w:eastAsia="zh-CN"/>
        </w:rPr>
        <w:t>在任一边量取不小于</w:t>
      </w:r>
      <w:r>
        <w:rPr>
          <w:rFonts w:cs="宋体"/>
          <w:color w:val="auto"/>
          <w:sz w:val="28"/>
          <w:szCs w:val="28"/>
          <w:highlight w:val="none"/>
          <w:shd w:val="pct10" w:color="auto" w:fill="FFFFFF"/>
          <w:lang w:eastAsia="zh-CN"/>
        </w:rPr>
        <w:t>1m的距离AB，分别以A、B为圆心，AB长为半径画圆，其交点C与AB的中点D相连，测量D到平行于DC墙面的距离DE和DC的延长线到平行于AB墙面交点F到平行于DC墙面的最小距离FG，两距离相差不超过0.3%且不超过15mm，即|FG-DE|/DE≤0.3%且|FG-DE|≤15mm。每房间抽查一个墙边即可。</w:t>
      </w:r>
    </w:p>
    <w:p w14:paraId="69E67EBB">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drawing>
          <wp:inline distT="0" distB="0" distL="0" distR="0">
            <wp:extent cx="2095500" cy="22637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01343" cy="2270460"/>
                    </a:xfrm>
                    <a:prstGeom prst="rect">
                      <a:avLst/>
                    </a:prstGeom>
                    <a:noFill/>
                  </pic:spPr>
                </pic:pic>
              </a:graphicData>
            </a:graphic>
          </wp:inline>
        </w:drawing>
      </w:r>
    </w:p>
    <w:p w14:paraId="6660E97B">
      <w:pPr>
        <w:pStyle w:val="46"/>
        <w:spacing w:line="360" w:lineRule="auto"/>
        <w:ind w:firstLine="0" w:firstLineChars="0"/>
        <w:jc w:val="center"/>
        <w:rPr>
          <w:rFonts w:ascii="宋体" w:hAnsi="宋体" w:cs="宋体"/>
          <w:color w:val="auto"/>
          <w:spacing w:val="-10"/>
          <w:sz w:val="24"/>
          <w:highlight w:val="none"/>
        </w:rPr>
      </w:pPr>
      <w:r>
        <w:rPr>
          <w:rFonts w:hint="eastAsia" w:ascii="宋体" w:hAnsi="宋体" w:cs="宋体"/>
          <w:color w:val="auto"/>
          <w:spacing w:val="-10"/>
          <w:sz w:val="24"/>
          <w:highlight w:val="none"/>
        </w:rPr>
        <w:t>图</w:t>
      </w:r>
      <w:r>
        <w:rPr>
          <w:rFonts w:ascii="宋体" w:hAnsi="宋体" w:cs="宋体"/>
          <w:color w:val="auto"/>
          <w:spacing w:val="-10"/>
          <w:sz w:val="24"/>
          <w:highlight w:val="none"/>
        </w:rPr>
        <w:t>4.0.4 房间方正性检验方法示意图</w:t>
      </w:r>
    </w:p>
    <w:p w14:paraId="0CA99B2D">
      <w:pPr>
        <w:pStyle w:val="9"/>
        <w:spacing w:before="115" w:line="360" w:lineRule="auto"/>
        <w:ind w:left="0"/>
        <w:rPr>
          <w:rFonts w:cs="宋体"/>
          <w:color w:val="auto"/>
          <w:sz w:val="28"/>
          <w:szCs w:val="28"/>
          <w:highlight w:val="none"/>
          <w:lang w:eastAsia="zh-CN"/>
        </w:rPr>
      </w:pPr>
    </w:p>
    <w:p w14:paraId="789B6F98">
      <w:pPr>
        <w:pStyle w:val="9"/>
        <w:spacing w:before="115" w:line="360" w:lineRule="auto"/>
        <w:ind w:left="0"/>
        <w:rPr>
          <w:rFonts w:cs="宋体"/>
          <w:color w:val="auto"/>
          <w:sz w:val="28"/>
          <w:szCs w:val="28"/>
          <w:highlight w:val="none"/>
          <w:lang w:eastAsia="zh-CN"/>
        </w:rPr>
      </w:pPr>
      <w:r>
        <w:rPr>
          <w:rFonts w:cs="宋体"/>
          <w:color w:val="auto"/>
          <w:szCs w:val="21"/>
          <w:highlight w:val="none"/>
          <w:lang w:eastAsia="zh-CN"/>
        </w:rPr>
        <w:br w:type="page"/>
      </w:r>
    </w:p>
    <w:p w14:paraId="4E597C51">
      <w:pPr>
        <w:pStyle w:val="2"/>
        <w:spacing w:before="240" w:after="240"/>
        <w:rPr>
          <w:rFonts w:ascii="宋体" w:hAnsi="宋体" w:eastAsia="宋体" w:cs="宋体"/>
          <w:color w:val="auto"/>
          <w:highlight w:val="none"/>
        </w:rPr>
      </w:pPr>
      <w:bookmarkStart w:id="43" w:name="_Toc31179"/>
      <w:bookmarkStart w:id="44" w:name="_Toc10487"/>
      <w:bookmarkStart w:id="45" w:name="_Toc16956"/>
      <w:bookmarkStart w:id="46" w:name="_Toc18279"/>
      <w:bookmarkStart w:id="47" w:name="_Toc31474"/>
      <w:bookmarkStart w:id="48" w:name="_Toc5278"/>
      <w:bookmarkStart w:id="49" w:name="_Toc133572705"/>
      <w:bookmarkStart w:id="50" w:name="_Toc18394336"/>
      <w:bookmarkStart w:id="51" w:name="_Toc60935896"/>
      <w:bookmarkStart w:id="52" w:name="_Toc18056680"/>
      <w:bookmarkStart w:id="53" w:name="_Toc46060147"/>
      <w:r>
        <w:rPr>
          <w:rFonts w:ascii="宋体" w:hAnsi="宋体" w:eastAsia="宋体" w:cs="宋体"/>
          <w:color w:val="auto"/>
          <w:highlight w:val="none"/>
        </w:rPr>
        <w:t xml:space="preserve">5 </w:t>
      </w:r>
      <w:r>
        <w:rPr>
          <w:rFonts w:hint="eastAsia" w:ascii="宋体" w:hAnsi="宋体" w:eastAsia="宋体" w:cs="宋体"/>
          <w:color w:val="auto"/>
          <w:highlight w:val="none"/>
        </w:rPr>
        <w:t>地面、墙面、顶棚</w:t>
      </w:r>
      <w:bookmarkEnd w:id="43"/>
      <w:bookmarkEnd w:id="44"/>
      <w:bookmarkEnd w:id="45"/>
      <w:bookmarkEnd w:id="46"/>
      <w:bookmarkEnd w:id="47"/>
      <w:bookmarkEnd w:id="48"/>
      <w:bookmarkEnd w:id="49"/>
    </w:p>
    <w:p w14:paraId="27247E73">
      <w:pPr>
        <w:pStyle w:val="3"/>
        <w:spacing w:before="240" w:after="240"/>
        <w:rPr>
          <w:rStyle w:val="43"/>
          <w:rFonts w:ascii="仿宋" w:hAnsi="仿宋" w:cs="宋体"/>
          <w:b/>
          <w:bCs w:val="0"/>
          <w:color w:val="auto"/>
          <w:highlight w:val="none"/>
        </w:rPr>
      </w:pPr>
      <w:bookmarkStart w:id="54" w:name="_Toc9115"/>
      <w:bookmarkStart w:id="55" w:name="_Toc29747"/>
      <w:bookmarkStart w:id="56" w:name="_Toc10040"/>
      <w:bookmarkStart w:id="57" w:name="_Toc18779"/>
      <w:bookmarkStart w:id="58" w:name="_Toc3945"/>
      <w:bookmarkStart w:id="59" w:name="_Toc133572706"/>
      <w:bookmarkStart w:id="60" w:name="_Toc10788"/>
      <w:r>
        <w:rPr>
          <w:rStyle w:val="43"/>
          <w:rFonts w:ascii="仿宋" w:hAnsi="仿宋" w:cs="宋体"/>
          <w:b/>
          <w:bCs w:val="0"/>
          <w:color w:val="auto"/>
          <w:highlight w:val="none"/>
        </w:rPr>
        <w:t>5.1 室内地面</w:t>
      </w:r>
      <w:bookmarkEnd w:id="54"/>
      <w:bookmarkEnd w:id="55"/>
      <w:bookmarkEnd w:id="56"/>
      <w:bookmarkEnd w:id="57"/>
      <w:bookmarkEnd w:id="58"/>
      <w:bookmarkEnd w:id="59"/>
      <w:bookmarkEnd w:id="60"/>
    </w:p>
    <w:p w14:paraId="7EA3C5BD">
      <w:pPr>
        <w:pStyle w:val="4"/>
        <w:rPr>
          <w:color w:val="auto"/>
          <w:highlight w:val="none"/>
        </w:rPr>
      </w:pPr>
      <w:bookmarkStart w:id="61" w:name="_Toc133572707"/>
      <w:bookmarkStart w:id="62" w:name="_Toc5888"/>
      <w:bookmarkStart w:id="63" w:name="_Toc121330080"/>
      <w:bookmarkStart w:id="64" w:name="_Toc13254"/>
      <w:bookmarkStart w:id="65" w:name="_Toc19539"/>
      <w:bookmarkStart w:id="66" w:name="_Toc13842"/>
      <w:r>
        <w:rPr>
          <w:rFonts w:hint="eastAsia"/>
          <w:color w:val="auto"/>
          <w:highlight w:val="none"/>
        </w:rPr>
        <w:t>Ⅰ</w:t>
      </w:r>
      <w:r>
        <w:rPr>
          <w:color w:val="auto"/>
          <w:highlight w:val="none"/>
        </w:rPr>
        <w:t xml:space="preserve"> 水泥混凝土、水泥砂浆面层</w:t>
      </w:r>
      <w:bookmarkEnd w:id="61"/>
      <w:bookmarkEnd w:id="62"/>
      <w:bookmarkEnd w:id="63"/>
      <w:bookmarkEnd w:id="64"/>
      <w:bookmarkEnd w:id="65"/>
      <w:bookmarkEnd w:id="66"/>
    </w:p>
    <w:p w14:paraId="4B7C9723">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 水泥混凝土、水泥砂浆面层与基层应结合牢固，无空鼓缺陷。当出现空鼓时，空鼓面积不应大于400cm</w:t>
      </w:r>
      <w:r>
        <w:rPr>
          <w:rFonts w:cs="宋体"/>
          <w:color w:val="auto"/>
          <w:sz w:val="28"/>
          <w:szCs w:val="28"/>
          <w:highlight w:val="none"/>
          <w:vertAlign w:val="superscript"/>
          <w:lang w:eastAsia="zh-CN"/>
        </w:rPr>
        <w:t>2</w:t>
      </w:r>
      <w:r>
        <w:rPr>
          <w:rFonts w:cs="宋体"/>
          <w:color w:val="auto"/>
          <w:sz w:val="28"/>
          <w:szCs w:val="28"/>
          <w:highlight w:val="none"/>
          <w:lang w:eastAsia="zh-CN"/>
        </w:rPr>
        <w:t>且每自然间不应多于2处。</w:t>
      </w:r>
    </w:p>
    <w:p w14:paraId="74DCD991">
      <w:pPr>
        <w:pStyle w:val="46"/>
        <w:spacing w:line="360" w:lineRule="auto"/>
        <w:rPr>
          <w:rFonts w:ascii="宋体" w:hAnsi="宋体" w:cs="宋体"/>
          <w:color w:val="auto"/>
          <w:highlight w:val="none"/>
        </w:rPr>
      </w:pPr>
      <w:r>
        <w:rPr>
          <w:rFonts w:hint="eastAsia" w:ascii="宋体" w:hAnsi="宋体" w:cs="宋体"/>
          <w:color w:val="auto"/>
          <w:highlight w:val="none"/>
        </w:rPr>
        <w:t>检验方法：空鼓锤轻敲检查。</w:t>
      </w:r>
    </w:p>
    <w:p w14:paraId="77A7838D">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64BDE4D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5.1.2 水泥混凝土、水泥砂浆面层应无明显污迹，不应有裂缝、脱皮和起砂等现象。</w:t>
      </w:r>
    </w:p>
    <w:p w14:paraId="7DCDD2F0">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532C42A6">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70B126A4">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5.1.2在质量分户验收中发现地面裂缝较长（大80cm）时，应检查裂缝是否由结构层开裂所引起。确定为面层裂缝时可进行局部表面处理，处理后不应出现新的裂缝；当确定为结构层出现裂缝时，应分析原因并按相关标准进行处理。</w:t>
      </w:r>
    </w:p>
    <w:p w14:paraId="3F735069">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5.1.3 有保温隔声层的地面，</w:t>
      </w:r>
      <w:r>
        <w:rPr>
          <w:rFonts w:hint="eastAsia" w:cs="宋体"/>
          <w:color w:val="auto"/>
          <w:sz w:val="28"/>
          <w:szCs w:val="28"/>
          <w:highlight w:val="none"/>
          <w:lang w:eastAsia="zh-CN"/>
        </w:rPr>
        <w:t>隔声垫</w:t>
      </w:r>
      <w:r>
        <w:rPr>
          <w:rFonts w:hint="eastAsia" w:cs="宋体"/>
          <w:color w:val="auto"/>
          <w:sz w:val="28"/>
          <w:szCs w:val="28"/>
          <w:highlight w:val="none"/>
          <w:lang w:val="en-US" w:eastAsia="zh-CN"/>
        </w:rPr>
        <w:t>上部</w:t>
      </w:r>
      <w:r>
        <w:rPr>
          <w:rFonts w:hint="eastAsia" w:cs="宋体"/>
          <w:color w:val="auto"/>
          <w:sz w:val="28"/>
          <w:szCs w:val="28"/>
          <w:highlight w:val="none"/>
          <w:lang w:eastAsia="zh-CN"/>
        </w:rPr>
        <w:t>应</w:t>
      </w:r>
      <w:r>
        <w:rPr>
          <w:rFonts w:hint="eastAsia" w:cs="宋体"/>
          <w:color w:val="auto"/>
          <w:sz w:val="28"/>
          <w:szCs w:val="28"/>
          <w:highlight w:val="none"/>
          <w:lang w:val="en-US" w:eastAsia="zh-CN"/>
        </w:rPr>
        <w:t>设置保</w:t>
      </w:r>
      <w:r>
        <w:rPr>
          <w:rFonts w:hint="eastAsia" w:cs="宋体"/>
          <w:color w:val="auto"/>
          <w:sz w:val="28"/>
          <w:szCs w:val="28"/>
          <w:highlight w:val="none"/>
          <w:lang w:eastAsia="zh-CN"/>
        </w:rPr>
        <w:t>护层，</w:t>
      </w:r>
      <w:r>
        <w:rPr>
          <w:rFonts w:hint="eastAsia" w:cs="宋体"/>
          <w:color w:val="auto"/>
          <w:sz w:val="28"/>
          <w:szCs w:val="28"/>
          <w:highlight w:val="none"/>
          <w:lang w:val="en-US" w:eastAsia="zh-CN"/>
        </w:rPr>
        <w:t>保</w:t>
      </w:r>
      <w:r>
        <w:rPr>
          <w:rFonts w:hint="eastAsia" w:cs="宋体"/>
          <w:color w:val="auto"/>
          <w:sz w:val="28"/>
          <w:szCs w:val="28"/>
          <w:highlight w:val="none"/>
          <w:lang w:eastAsia="zh-CN"/>
        </w:rPr>
        <w:t>护层</w:t>
      </w:r>
      <w:r>
        <w:rPr>
          <w:rFonts w:hint="eastAsia" w:cs="宋体"/>
          <w:color w:val="auto"/>
          <w:sz w:val="28"/>
          <w:szCs w:val="28"/>
          <w:highlight w:val="none"/>
          <w:lang w:val="en-US" w:eastAsia="zh-CN"/>
        </w:rPr>
        <w:t>表面应平整</w:t>
      </w:r>
      <w:r>
        <w:rPr>
          <w:rFonts w:cs="宋体"/>
          <w:color w:val="auto"/>
          <w:sz w:val="28"/>
          <w:szCs w:val="28"/>
          <w:highlight w:val="none"/>
          <w:lang w:eastAsia="zh-CN"/>
        </w:rPr>
        <w:t>，不应有起砂、麻面现象，不应有宽度大于0.3mm的裂缝。</w:t>
      </w:r>
    </w:p>
    <w:p w14:paraId="53E640E1">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检验方法：观察检查；塞尺检查。</w:t>
      </w:r>
    </w:p>
    <w:p w14:paraId="29ADFDAE">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1233D9C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5.1.4 水泥混凝土、水泥砂浆面层的表面平整度允许偏差分别为5mm和4mm。</w:t>
      </w:r>
    </w:p>
    <w:p w14:paraId="0367D5EE">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14:paraId="009695B9">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14:paraId="08A02F5F">
      <w:pPr>
        <w:pStyle w:val="4"/>
        <w:rPr>
          <w:color w:val="auto"/>
          <w:highlight w:val="none"/>
        </w:rPr>
      </w:pPr>
      <w:bookmarkStart w:id="67" w:name="_Toc121330081"/>
      <w:bookmarkStart w:id="68" w:name="_Toc23974"/>
      <w:bookmarkStart w:id="69" w:name="_Toc26650"/>
      <w:bookmarkStart w:id="70" w:name="_Toc30196"/>
      <w:bookmarkStart w:id="71" w:name="_Toc30757"/>
      <w:bookmarkStart w:id="72" w:name="_Toc133572708"/>
      <w:r>
        <w:rPr>
          <w:rFonts w:hint="eastAsia"/>
          <w:color w:val="auto"/>
          <w:highlight w:val="none"/>
        </w:rPr>
        <w:t>Ⅱ</w:t>
      </w:r>
      <w:r>
        <w:rPr>
          <w:color w:val="auto"/>
          <w:highlight w:val="none"/>
        </w:rPr>
        <w:t xml:space="preserve"> 地砖、石材面层</w:t>
      </w:r>
      <w:bookmarkEnd w:id="67"/>
      <w:bookmarkEnd w:id="68"/>
      <w:bookmarkEnd w:id="69"/>
      <w:bookmarkEnd w:id="70"/>
      <w:bookmarkEnd w:id="71"/>
      <w:bookmarkEnd w:id="72"/>
    </w:p>
    <w:p w14:paraId="5429D03D">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5.1.5 地砖、石材面层与基层应结合牢固，无空鼓缺陷；单块地砖或石材的边角允许有局部空鼓，但每自然间的空鼓地砖或石材不应超过总数的5%。</w:t>
      </w:r>
    </w:p>
    <w:p w14:paraId="71360723">
      <w:pPr>
        <w:pStyle w:val="46"/>
        <w:spacing w:line="360" w:lineRule="auto"/>
        <w:rPr>
          <w:rFonts w:ascii="宋体" w:hAnsi="宋体" w:cs="宋体"/>
          <w:color w:val="auto"/>
          <w:highlight w:val="none"/>
        </w:rPr>
      </w:pPr>
      <w:r>
        <w:rPr>
          <w:rFonts w:hint="eastAsia" w:ascii="宋体" w:hAnsi="宋体" w:cs="宋体"/>
          <w:color w:val="auto"/>
          <w:highlight w:val="none"/>
        </w:rPr>
        <w:t>检验方法：用空鼓锤轻敲检查。</w:t>
      </w:r>
    </w:p>
    <w:p w14:paraId="5D39D2C1">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7BDF757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5.1.6 地砖、石材面层表面应无明显污迹、无明显色差，不应有裂缝、缺棱和掉角等缺陷。</w:t>
      </w:r>
    </w:p>
    <w:p w14:paraId="05729CCF">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11452168">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0010274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5.1.7 地砖、石材面层的表面平整度允许偏差分别为2mm和1mm。</w:t>
      </w:r>
    </w:p>
    <w:p w14:paraId="118A95FD">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14:paraId="7585100E">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14:paraId="183FB9D0">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5.1.8 地砖、石材间缝格平直度允许偏差分别为3mm和2mm。</w:t>
      </w:r>
    </w:p>
    <w:p w14:paraId="4359692F">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5m拉线和钢尺检查。</w:t>
      </w:r>
    </w:p>
    <w:p w14:paraId="37223934">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14:paraId="657A470A">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5.1.8本条对地砖、石材缝格平直度作出了规定。接缝长度小于5m时拉线应通过接缝两端，拼花等非直线拼缝不检验平直度。</w:t>
      </w:r>
    </w:p>
    <w:p w14:paraId="3F416D63">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5.1.9 地砖、石材间接缝高低差允许偏差为0.5mm。</w:t>
      </w:r>
    </w:p>
    <w:p w14:paraId="0B54093D">
      <w:pPr>
        <w:pStyle w:val="46"/>
        <w:spacing w:line="360" w:lineRule="auto"/>
        <w:rPr>
          <w:rFonts w:ascii="宋体" w:hAnsi="宋体" w:cs="宋体"/>
          <w:color w:val="auto"/>
          <w:highlight w:val="none"/>
        </w:rPr>
      </w:pPr>
      <w:r>
        <w:rPr>
          <w:rFonts w:hint="eastAsia" w:ascii="宋体" w:hAnsi="宋体" w:cs="宋体"/>
          <w:color w:val="auto"/>
          <w:highlight w:val="none"/>
        </w:rPr>
        <w:t>检验方法：用钢尺和塞尺检查。</w:t>
      </w:r>
    </w:p>
    <w:p w14:paraId="71855BC7">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14:paraId="75664D6E">
      <w:pPr>
        <w:pStyle w:val="46"/>
        <w:spacing w:line="360" w:lineRule="auto"/>
        <w:ind w:left="0" w:leftChars="0" w:firstLine="0" w:firstLineChars="0"/>
        <w:rPr>
          <w:rFonts w:hint="eastAsia" w:ascii="宋体" w:hAnsi="宋体" w:cs="宋体"/>
          <w:b w:val="0"/>
          <w:bCs w:val="0"/>
          <w:color w:val="auto"/>
          <w:highlight w:val="none"/>
        </w:rPr>
      </w:pPr>
      <w:r>
        <w:rPr>
          <w:rFonts w:hint="eastAsia" w:ascii="宋体" w:hAnsi="宋体" w:eastAsia="宋体" w:cs="宋体"/>
          <w:color w:val="auto"/>
          <w:kern w:val="0"/>
          <w:sz w:val="28"/>
          <w:szCs w:val="28"/>
          <w:highlight w:val="none"/>
          <w:lang w:val="en-US" w:eastAsia="zh-CN" w:bidi="ar-SA"/>
        </w:rPr>
        <w:t xml:space="preserve">5.1.10 </w:t>
      </w:r>
      <w:r>
        <w:rPr>
          <w:rFonts w:hint="eastAsia" w:ascii="宋体" w:hAnsi="宋体" w:cs="宋体"/>
          <w:color w:val="auto"/>
          <w:kern w:val="0"/>
          <w:sz w:val="28"/>
          <w:szCs w:val="28"/>
          <w:highlight w:val="none"/>
          <w:lang w:val="en-US" w:eastAsia="zh-CN" w:bidi="ar-SA"/>
        </w:rPr>
        <w:t>卫生间、阳台等地面</w:t>
      </w:r>
      <w:r>
        <w:rPr>
          <w:rFonts w:hint="eastAsia" w:ascii="宋体" w:hAnsi="宋体" w:eastAsia="宋体" w:cs="宋体"/>
          <w:color w:val="auto"/>
          <w:kern w:val="0"/>
          <w:sz w:val="28"/>
          <w:szCs w:val="28"/>
          <w:highlight w:val="none"/>
          <w:lang w:val="en-US" w:eastAsia="zh-CN" w:bidi="ar-SA"/>
        </w:rPr>
        <w:t>的坡度应符合设计要求,不倒泛水、无积水;与地漏、管道结合处应严密牢固,无渗漏</w:t>
      </w:r>
      <w:r>
        <w:rPr>
          <w:rFonts w:hint="eastAsia" w:ascii="宋体" w:hAnsi="宋体" w:cs="宋体"/>
          <w:b w:val="0"/>
          <w:bCs w:val="0"/>
          <w:color w:val="auto"/>
          <w:highlight w:val="none"/>
        </w:rPr>
        <w:t>。</w:t>
      </w:r>
    </w:p>
    <w:p w14:paraId="09AC4BE1">
      <w:pPr>
        <w:pStyle w:val="46"/>
        <w:spacing w:line="360" w:lineRule="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检验方法:观察、泼水或用坡度尺及蓄水检查</w:t>
      </w:r>
      <w:r>
        <w:rPr>
          <w:rFonts w:hint="eastAsia" w:ascii="宋体" w:hAnsi="宋体" w:cs="宋体"/>
          <w:b w:val="0"/>
          <w:bCs w:val="0"/>
          <w:color w:val="auto"/>
          <w:highlight w:val="none"/>
          <w:lang w:eastAsia="zh-CN"/>
        </w:rPr>
        <w:t>。</w:t>
      </w:r>
    </w:p>
    <w:p w14:paraId="58CBD43A">
      <w:pPr>
        <w:pStyle w:val="46"/>
        <w:spacing w:line="360" w:lineRule="auto"/>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rPr>
        <w:t>检查数量:</w:t>
      </w:r>
      <w:r>
        <w:rPr>
          <w:rFonts w:hint="eastAsia" w:ascii="宋体" w:hAnsi="宋体" w:cs="宋体"/>
          <w:b w:val="0"/>
          <w:bCs w:val="0"/>
          <w:color w:val="auto"/>
          <w:highlight w:val="none"/>
          <w:lang w:val="en-US" w:eastAsia="zh-CN"/>
        </w:rPr>
        <w:t>每检验批抽查数量应随机检验不应少于3间；不足3间,应全数检查。</w:t>
      </w:r>
    </w:p>
    <w:p w14:paraId="5F776C7B">
      <w:pPr>
        <w:pStyle w:val="4"/>
        <w:rPr>
          <w:color w:val="auto"/>
          <w:highlight w:val="none"/>
        </w:rPr>
      </w:pPr>
      <w:bookmarkStart w:id="73" w:name="_Toc133572709"/>
      <w:bookmarkStart w:id="74" w:name="_Toc121330082"/>
      <w:bookmarkStart w:id="75" w:name="_Toc6427"/>
      <w:bookmarkStart w:id="76" w:name="_Toc19817"/>
      <w:bookmarkStart w:id="77" w:name="_Toc10598"/>
      <w:bookmarkStart w:id="78" w:name="_Toc23852"/>
      <w:r>
        <w:rPr>
          <w:rFonts w:hint="eastAsia"/>
          <w:color w:val="auto"/>
          <w:highlight w:val="none"/>
        </w:rPr>
        <w:t xml:space="preserve">Ⅲ </w:t>
      </w:r>
      <w:r>
        <w:rPr>
          <w:color w:val="auto"/>
          <w:highlight w:val="none"/>
        </w:rPr>
        <w:t>木、竹面层</w:t>
      </w:r>
      <w:bookmarkEnd w:id="73"/>
      <w:bookmarkEnd w:id="74"/>
      <w:bookmarkEnd w:id="75"/>
      <w:bookmarkEnd w:id="76"/>
      <w:bookmarkEnd w:id="77"/>
      <w:bookmarkEnd w:id="78"/>
    </w:p>
    <w:p w14:paraId="6D3D0A2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1</w:t>
      </w:r>
      <w:r>
        <w:rPr>
          <w:rFonts w:cs="宋体"/>
          <w:color w:val="auto"/>
          <w:sz w:val="28"/>
          <w:szCs w:val="28"/>
          <w:highlight w:val="none"/>
          <w:lang w:eastAsia="zh-CN"/>
        </w:rPr>
        <w:t xml:space="preserve"> 木、竹面层铺设应牢固，行走无异响和松动。</w:t>
      </w:r>
    </w:p>
    <w:p w14:paraId="63B71187">
      <w:pPr>
        <w:pStyle w:val="46"/>
        <w:spacing w:line="360" w:lineRule="auto"/>
        <w:rPr>
          <w:rFonts w:ascii="宋体" w:hAnsi="宋体" w:cs="宋体"/>
          <w:color w:val="auto"/>
          <w:highlight w:val="none"/>
        </w:rPr>
      </w:pPr>
      <w:r>
        <w:rPr>
          <w:rFonts w:hint="eastAsia" w:ascii="宋体" w:hAnsi="宋体" w:cs="宋体"/>
          <w:color w:val="auto"/>
          <w:highlight w:val="none"/>
        </w:rPr>
        <w:t>检验方法：踩踏无异响、无松动。</w:t>
      </w:r>
    </w:p>
    <w:p w14:paraId="6E731746">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3806B450">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5.1.1</w:t>
      </w:r>
      <w:r>
        <w:rPr>
          <w:rFonts w:hint="eastAsia" w:cs="宋体"/>
          <w:color w:val="auto"/>
          <w:sz w:val="28"/>
          <w:szCs w:val="28"/>
          <w:highlight w:val="none"/>
          <w:shd w:val="pct10" w:color="auto" w:fill="FFFFFF"/>
          <w:lang w:val="en-US" w:eastAsia="zh-CN"/>
        </w:rPr>
        <w:t>1</w:t>
      </w:r>
      <w:r>
        <w:rPr>
          <w:rFonts w:cs="宋体"/>
          <w:color w:val="auto"/>
          <w:sz w:val="28"/>
          <w:szCs w:val="28"/>
          <w:highlight w:val="none"/>
          <w:shd w:val="pct10" w:color="auto" w:fill="FFFFFF"/>
          <w:lang w:eastAsia="zh-CN"/>
        </w:rPr>
        <w:t xml:space="preserve"> 本条考虑到空鼓锤击对木、竹制品表面有一定损伤，采用行走或踩踏的方法对木、竹面层空鼓松动进行检查。</w:t>
      </w:r>
    </w:p>
    <w:p w14:paraId="72E26099">
      <w:pPr>
        <w:pStyle w:val="9"/>
        <w:spacing w:before="115" w:line="360" w:lineRule="auto"/>
        <w:ind w:left="0"/>
        <w:rPr>
          <w:b/>
          <w:color w:val="auto"/>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2</w:t>
      </w:r>
      <w:r>
        <w:rPr>
          <w:rFonts w:cs="宋体"/>
          <w:color w:val="auto"/>
          <w:sz w:val="28"/>
          <w:szCs w:val="28"/>
          <w:highlight w:val="none"/>
          <w:lang w:eastAsia="zh-CN"/>
        </w:rPr>
        <w:t xml:space="preserve"> 木、竹面层应无明显污迹，无明显色差、无损伤。</w:t>
      </w:r>
    </w:p>
    <w:p w14:paraId="3394C53D">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5E9F6871">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1892F7B3">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5.1.1</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 本条对木、竹面层观感质量及木、竹质量作出规定，免漆木、竹制品天然色差可不作要求。</w:t>
      </w:r>
    </w:p>
    <w:p w14:paraId="35D3658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3</w:t>
      </w:r>
      <w:r>
        <w:rPr>
          <w:rFonts w:cs="宋体"/>
          <w:color w:val="auto"/>
          <w:sz w:val="28"/>
          <w:szCs w:val="28"/>
          <w:highlight w:val="none"/>
          <w:lang w:eastAsia="zh-CN"/>
        </w:rPr>
        <w:t xml:space="preserve"> 木、竹面层的表面平整度允许偏差为2mm。</w:t>
      </w:r>
    </w:p>
    <w:p w14:paraId="0E5CEE2A">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14:paraId="2ADEDA8B">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14:paraId="4BE97D49">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4</w:t>
      </w:r>
      <w:r>
        <w:rPr>
          <w:rFonts w:cs="宋体"/>
          <w:color w:val="auto"/>
          <w:sz w:val="28"/>
          <w:szCs w:val="28"/>
          <w:highlight w:val="none"/>
          <w:lang w:eastAsia="zh-CN"/>
        </w:rPr>
        <w:t xml:space="preserve"> 木、竹板块间接缝高低差允许偏差为0.5mm。</w:t>
      </w:r>
    </w:p>
    <w:p w14:paraId="7BD95D96">
      <w:pPr>
        <w:pStyle w:val="46"/>
        <w:spacing w:line="360" w:lineRule="auto"/>
        <w:rPr>
          <w:rFonts w:ascii="宋体" w:hAnsi="宋体" w:cs="宋体"/>
          <w:color w:val="auto"/>
          <w:highlight w:val="none"/>
        </w:rPr>
      </w:pPr>
      <w:r>
        <w:rPr>
          <w:rFonts w:hint="eastAsia" w:ascii="宋体" w:hAnsi="宋体" w:cs="宋体"/>
          <w:color w:val="auto"/>
          <w:highlight w:val="none"/>
        </w:rPr>
        <w:t>检验方法：用钢尺和塞尺检查。</w:t>
      </w:r>
    </w:p>
    <w:p w14:paraId="1E3A2FEE">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14:paraId="2A5DE800">
      <w:pPr>
        <w:pStyle w:val="4"/>
        <w:rPr>
          <w:color w:val="auto"/>
          <w:highlight w:val="none"/>
        </w:rPr>
      </w:pPr>
      <w:bookmarkStart w:id="79" w:name="_Toc7617"/>
      <w:bookmarkStart w:id="80" w:name="_Toc1762"/>
      <w:bookmarkStart w:id="81" w:name="_Toc121330083"/>
      <w:bookmarkStart w:id="82" w:name="_Toc90"/>
      <w:bookmarkStart w:id="83" w:name="_Toc17155"/>
      <w:bookmarkStart w:id="84" w:name="_Toc133572710"/>
      <w:r>
        <w:rPr>
          <w:rFonts w:hint="eastAsia"/>
          <w:color w:val="auto"/>
          <w:highlight w:val="none"/>
        </w:rPr>
        <w:t>Ⅳ</w:t>
      </w:r>
      <w:r>
        <w:rPr>
          <w:color w:val="auto"/>
          <w:highlight w:val="none"/>
        </w:rPr>
        <w:t xml:space="preserve"> 地毯面层</w:t>
      </w:r>
      <w:bookmarkEnd w:id="79"/>
      <w:bookmarkEnd w:id="80"/>
      <w:bookmarkEnd w:id="81"/>
      <w:bookmarkEnd w:id="82"/>
      <w:bookmarkEnd w:id="83"/>
      <w:bookmarkEnd w:id="84"/>
    </w:p>
    <w:p w14:paraId="0C089D14">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5</w:t>
      </w:r>
      <w:r>
        <w:rPr>
          <w:rFonts w:cs="宋体"/>
          <w:color w:val="auto"/>
          <w:sz w:val="28"/>
          <w:szCs w:val="28"/>
          <w:highlight w:val="none"/>
          <w:lang w:eastAsia="zh-CN"/>
        </w:rPr>
        <w:t xml:space="preserve"> 地毯铺设应平服，无起鼓、起皱、翘边，无毛边和损伤</w:t>
      </w:r>
      <w:r>
        <w:rPr>
          <w:rFonts w:hint="eastAsia" w:cs="宋体"/>
          <w:color w:val="auto"/>
          <w:sz w:val="28"/>
          <w:szCs w:val="28"/>
          <w:highlight w:val="none"/>
          <w:lang w:eastAsia="zh-CN"/>
        </w:rPr>
        <w:t>，绒面毛应顺光一致</w:t>
      </w:r>
      <w:r>
        <w:rPr>
          <w:rFonts w:cs="宋体"/>
          <w:color w:val="auto"/>
          <w:sz w:val="28"/>
          <w:szCs w:val="28"/>
          <w:highlight w:val="none"/>
          <w:lang w:eastAsia="zh-CN"/>
        </w:rPr>
        <w:t>。</w:t>
      </w:r>
    </w:p>
    <w:p w14:paraId="01A7B483">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检验方法：观察检查；用脚踩踏无异常感。</w:t>
      </w:r>
    </w:p>
    <w:p w14:paraId="22CF7E1D">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6C3EC67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6</w:t>
      </w:r>
      <w:r>
        <w:rPr>
          <w:rFonts w:cs="宋体"/>
          <w:color w:val="auto"/>
          <w:sz w:val="28"/>
          <w:szCs w:val="28"/>
          <w:highlight w:val="none"/>
          <w:lang w:eastAsia="zh-CN"/>
        </w:rPr>
        <w:t xml:space="preserve"> 地毯品种规格、颜色图案应符合要求，表面应无明显污迹、胶痕。</w:t>
      </w:r>
    </w:p>
    <w:p w14:paraId="6E93C5D3">
      <w:pPr>
        <w:pStyle w:val="46"/>
        <w:spacing w:line="360" w:lineRule="auto"/>
        <w:rPr>
          <w:rFonts w:ascii="宋体" w:hAnsi="宋体" w:cs="宋体"/>
          <w:color w:val="auto"/>
          <w:highlight w:val="none"/>
        </w:rPr>
      </w:pPr>
      <w:r>
        <w:rPr>
          <w:rFonts w:hint="eastAsia" w:ascii="宋体" w:hAnsi="宋体" w:cs="宋体"/>
          <w:color w:val="auto"/>
          <w:highlight w:val="none"/>
        </w:rPr>
        <w:t>检验方法：核对质保单；观察检查。</w:t>
      </w:r>
    </w:p>
    <w:p w14:paraId="4C1068F9">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2E5BDB55">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7</w:t>
      </w:r>
      <w:r>
        <w:rPr>
          <w:rFonts w:cs="宋体"/>
          <w:color w:val="auto"/>
          <w:sz w:val="28"/>
          <w:szCs w:val="28"/>
          <w:highlight w:val="none"/>
          <w:lang w:eastAsia="zh-CN"/>
        </w:rPr>
        <w:t xml:space="preserve"> 固定式地毯应固定牢固。</w:t>
      </w:r>
    </w:p>
    <w:p w14:paraId="4D21E762">
      <w:pPr>
        <w:pStyle w:val="46"/>
        <w:spacing w:line="360" w:lineRule="auto"/>
        <w:rPr>
          <w:rFonts w:ascii="宋体" w:hAnsi="宋体" w:cs="宋体"/>
          <w:color w:val="auto"/>
          <w:highlight w:val="none"/>
        </w:rPr>
      </w:pPr>
      <w:r>
        <w:rPr>
          <w:rFonts w:hint="eastAsia" w:ascii="宋体" w:hAnsi="宋体" w:cs="宋体"/>
          <w:color w:val="auto"/>
          <w:highlight w:val="none"/>
        </w:rPr>
        <w:t>检验方法：用手轻扯四角和边中点，应无脱开。</w:t>
      </w:r>
    </w:p>
    <w:p w14:paraId="39BF3C68">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73F60B5F">
      <w:pPr>
        <w:pStyle w:val="4"/>
        <w:rPr>
          <w:color w:val="auto"/>
          <w:highlight w:val="none"/>
        </w:rPr>
      </w:pPr>
      <w:bookmarkStart w:id="85" w:name="_Toc29340"/>
      <w:bookmarkStart w:id="86" w:name="_Toc1002"/>
      <w:bookmarkStart w:id="87" w:name="_Toc22665"/>
      <w:bookmarkStart w:id="88" w:name="_Toc26829"/>
      <w:bookmarkStart w:id="89" w:name="_Toc133572711"/>
      <w:bookmarkStart w:id="90" w:name="_Toc121330084"/>
      <w:r>
        <w:rPr>
          <w:rFonts w:hint="eastAsia"/>
          <w:color w:val="auto"/>
          <w:highlight w:val="none"/>
        </w:rPr>
        <w:t xml:space="preserve">Ⅴ </w:t>
      </w:r>
      <w:r>
        <w:rPr>
          <w:color w:val="auto"/>
          <w:highlight w:val="none"/>
        </w:rPr>
        <w:t>楼梯面层</w:t>
      </w:r>
      <w:bookmarkEnd w:id="85"/>
      <w:bookmarkEnd w:id="86"/>
      <w:bookmarkEnd w:id="87"/>
      <w:bookmarkEnd w:id="88"/>
      <w:bookmarkEnd w:id="89"/>
      <w:bookmarkEnd w:id="90"/>
    </w:p>
    <w:p w14:paraId="6ED08B9E">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8</w:t>
      </w:r>
      <w:r>
        <w:rPr>
          <w:rFonts w:cs="宋体"/>
          <w:color w:val="auto"/>
          <w:sz w:val="28"/>
          <w:szCs w:val="28"/>
          <w:highlight w:val="none"/>
          <w:lang w:eastAsia="zh-CN"/>
        </w:rPr>
        <w:t xml:space="preserve"> 室内楼梯踏步的宽度、高度应符合设计要求，相邻踏步高差、踏步两端宽度差不应大于10mm。</w:t>
      </w:r>
    </w:p>
    <w:p w14:paraId="5930CBF6">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w:t>
      </w:r>
    </w:p>
    <w:p w14:paraId="7D1BE4B4">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7813A4B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9</w:t>
      </w:r>
      <w:r>
        <w:rPr>
          <w:rFonts w:cs="宋体"/>
          <w:color w:val="auto"/>
          <w:sz w:val="28"/>
          <w:szCs w:val="28"/>
          <w:highlight w:val="none"/>
          <w:lang w:eastAsia="zh-CN"/>
        </w:rPr>
        <w:t xml:space="preserve"> 室内楼梯面层的质量按材料不同分别对应本章的质量验收要求进行验收。</w:t>
      </w:r>
    </w:p>
    <w:p w14:paraId="6BCFBA64">
      <w:pPr>
        <w:pStyle w:val="3"/>
        <w:spacing w:before="240" w:after="240"/>
        <w:rPr>
          <w:rStyle w:val="43"/>
          <w:rFonts w:ascii="仿宋" w:hAnsi="仿宋" w:cs="宋体"/>
          <w:b/>
          <w:bCs w:val="0"/>
          <w:color w:val="auto"/>
          <w:highlight w:val="none"/>
        </w:rPr>
      </w:pPr>
      <w:bookmarkStart w:id="91" w:name="_Toc81541031"/>
      <w:bookmarkStart w:id="92" w:name="_Toc24579"/>
      <w:bookmarkStart w:id="93" w:name="_Toc133572712"/>
      <w:bookmarkStart w:id="94" w:name="_Toc28596"/>
      <w:bookmarkStart w:id="95" w:name="_Toc21993"/>
      <w:bookmarkStart w:id="96" w:name="_Toc10645"/>
      <w:bookmarkStart w:id="97" w:name="_Toc24390"/>
      <w:bookmarkStart w:id="98" w:name="_Toc5871"/>
      <w:bookmarkStart w:id="99" w:name="_Toc31187"/>
      <w:bookmarkStart w:id="100" w:name="_Toc80365724"/>
      <w:r>
        <w:rPr>
          <w:rStyle w:val="43"/>
          <w:rFonts w:hint="eastAsia" w:ascii="仿宋" w:hAnsi="仿宋" w:cs="宋体"/>
          <w:b/>
          <w:bCs w:val="0"/>
          <w:color w:val="auto"/>
          <w:highlight w:val="none"/>
        </w:rPr>
        <w:t>5.2</w:t>
      </w:r>
      <w:r>
        <w:rPr>
          <w:rStyle w:val="43"/>
          <w:rFonts w:ascii="仿宋" w:hAnsi="仿宋" w:cs="宋体"/>
          <w:b/>
          <w:bCs w:val="0"/>
          <w:color w:val="auto"/>
          <w:highlight w:val="none"/>
        </w:rPr>
        <w:t xml:space="preserve"> 室内墙面</w:t>
      </w:r>
      <w:bookmarkEnd w:id="91"/>
      <w:bookmarkEnd w:id="92"/>
      <w:bookmarkEnd w:id="93"/>
      <w:bookmarkEnd w:id="94"/>
      <w:bookmarkEnd w:id="95"/>
      <w:bookmarkEnd w:id="96"/>
      <w:bookmarkEnd w:id="97"/>
      <w:bookmarkEnd w:id="98"/>
      <w:bookmarkEnd w:id="99"/>
      <w:bookmarkEnd w:id="100"/>
    </w:p>
    <w:p w14:paraId="59F7B8A9">
      <w:pPr>
        <w:pStyle w:val="4"/>
        <w:rPr>
          <w:color w:val="auto"/>
          <w:highlight w:val="none"/>
        </w:rPr>
      </w:pPr>
      <w:bookmarkStart w:id="101" w:name="_Hlk121320072"/>
      <w:bookmarkStart w:id="102" w:name="_Toc80365725"/>
      <w:bookmarkStart w:id="103" w:name="_Toc310"/>
      <w:bookmarkStart w:id="104" w:name="_Toc20701"/>
      <w:bookmarkStart w:id="105" w:name="_Toc121330086"/>
      <w:bookmarkStart w:id="106" w:name="_Toc81541032"/>
      <w:bookmarkStart w:id="107" w:name="_Toc7211"/>
      <w:bookmarkStart w:id="108" w:name="_Toc133572713"/>
      <w:bookmarkStart w:id="109" w:name="_Toc4400"/>
      <w:bookmarkStart w:id="110" w:name="_Toc26771"/>
      <w:r>
        <w:rPr>
          <w:rFonts w:hint="eastAsia"/>
          <w:color w:val="auto"/>
          <w:highlight w:val="none"/>
        </w:rPr>
        <w:t>Ⅰ</w:t>
      </w:r>
      <w:bookmarkEnd w:id="101"/>
      <w:r>
        <w:rPr>
          <w:rFonts w:hint="eastAsia"/>
          <w:color w:val="auto"/>
          <w:highlight w:val="none"/>
        </w:rPr>
        <w:t xml:space="preserve"> </w:t>
      </w:r>
      <w:r>
        <w:rPr>
          <w:color w:val="auto"/>
          <w:highlight w:val="none"/>
        </w:rPr>
        <w:t>抹灰墙面</w:t>
      </w:r>
      <w:bookmarkEnd w:id="102"/>
      <w:bookmarkEnd w:id="103"/>
      <w:bookmarkEnd w:id="104"/>
      <w:bookmarkEnd w:id="105"/>
      <w:bookmarkEnd w:id="106"/>
      <w:bookmarkEnd w:id="107"/>
      <w:bookmarkEnd w:id="108"/>
      <w:bookmarkEnd w:id="109"/>
      <w:bookmarkEnd w:id="110"/>
    </w:p>
    <w:p w14:paraId="727AE798">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.1 墙面抹灰层与基层之间以及各抹灰层之间</w:t>
      </w:r>
      <w:r>
        <w:rPr>
          <w:rFonts w:hint="eastAsia" w:cs="宋体"/>
          <w:color w:val="auto"/>
          <w:sz w:val="28"/>
          <w:szCs w:val="28"/>
          <w:highlight w:val="none"/>
          <w:lang w:eastAsia="zh-CN"/>
        </w:rPr>
        <w:t>应</w:t>
      </w:r>
      <w:r>
        <w:rPr>
          <w:rFonts w:cs="宋体"/>
          <w:color w:val="auto"/>
          <w:sz w:val="28"/>
          <w:szCs w:val="28"/>
          <w:highlight w:val="none"/>
          <w:lang w:eastAsia="zh-CN"/>
        </w:rPr>
        <w:t>粘贴牢固</w:t>
      </w:r>
      <w:r>
        <w:rPr>
          <w:rFonts w:hint="eastAsia" w:cs="宋体"/>
          <w:color w:val="auto"/>
          <w:sz w:val="28"/>
          <w:szCs w:val="28"/>
          <w:highlight w:val="none"/>
          <w:lang w:eastAsia="zh-CN"/>
        </w:rPr>
        <w:t>，无脱层和空鼓缺陷</w:t>
      </w:r>
      <w:r>
        <w:rPr>
          <w:rFonts w:cs="宋体"/>
          <w:color w:val="auto"/>
          <w:sz w:val="28"/>
          <w:szCs w:val="28"/>
          <w:highlight w:val="none"/>
          <w:lang w:eastAsia="zh-CN"/>
        </w:rPr>
        <w:t>。</w:t>
      </w:r>
      <w:r>
        <w:rPr>
          <w:rFonts w:hint="eastAsia" w:cs="宋体"/>
          <w:color w:val="auto"/>
          <w:sz w:val="28"/>
          <w:szCs w:val="28"/>
          <w:highlight w:val="none"/>
          <w:lang w:eastAsia="zh-CN"/>
        </w:rPr>
        <w:t>当出现空鼓时，空鼓面积不应大于400cm</w:t>
      </w:r>
      <w:r>
        <w:rPr>
          <w:rFonts w:cs="宋体"/>
          <w:color w:val="auto"/>
          <w:sz w:val="28"/>
          <w:szCs w:val="28"/>
          <w:highlight w:val="none"/>
          <w:vertAlign w:val="superscript"/>
          <w:lang w:eastAsia="zh-CN"/>
        </w:rPr>
        <w:t>2</w:t>
      </w:r>
      <w:r>
        <w:rPr>
          <w:rFonts w:hint="eastAsia" w:cs="宋体"/>
          <w:color w:val="auto"/>
          <w:sz w:val="28"/>
          <w:szCs w:val="28"/>
          <w:highlight w:val="none"/>
          <w:lang w:eastAsia="zh-CN"/>
        </w:rPr>
        <w:t>且每自然间不应多于2处。</w:t>
      </w:r>
    </w:p>
    <w:p w14:paraId="1F954C45">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验方法：</w:t>
      </w:r>
      <w:r>
        <w:rPr>
          <w:rFonts w:ascii="宋体" w:hAnsi="宋体" w:cs="宋体"/>
          <w:color w:val="auto"/>
          <w:highlight w:val="none"/>
        </w:rPr>
        <w:t>观察检查；</w:t>
      </w:r>
      <w:r>
        <w:rPr>
          <w:rFonts w:hint="eastAsia" w:ascii="宋体" w:hAnsi="宋体" w:cs="宋体"/>
          <w:color w:val="auto"/>
          <w:highlight w:val="none"/>
        </w:rPr>
        <w:t>空鼓锤轻敲检查。</w:t>
      </w:r>
    </w:p>
    <w:p w14:paraId="7DE34D47">
      <w:pPr>
        <w:pStyle w:val="46"/>
        <w:spacing w:line="360" w:lineRule="auto"/>
        <w:rPr>
          <w:rFonts w:ascii="宋体" w:hAnsi="宋体" w:cs="宋体"/>
          <w:color w:val="auto"/>
          <w:highlight w:val="none"/>
        </w:rPr>
      </w:pPr>
      <w:r>
        <w:rPr>
          <w:rFonts w:hint="eastAsia" w:ascii="宋体" w:hAnsi="宋体" w:cs="宋体"/>
          <w:color w:val="auto"/>
          <w:highlight w:val="none"/>
        </w:rPr>
        <w:t>检查数</w:t>
      </w:r>
      <w:r>
        <w:rPr>
          <w:rFonts w:ascii="宋体" w:hAnsi="宋体" w:cs="宋体"/>
          <w:color w:val="auto"/>
          <w:highlight w:val="none"/>
        </w:rPr>
        <w:t>量：全数检查。</w:t>
      </w:r>
    </w:p>
    <w:p w14:paraId="7EDCF985">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 xml:space="preserve">.1 </w:t>
      </w:r>
      <w:r>
        <w:rPr>
          <w:rFonts w:hint="eastAsia" w:cs="宋体"/>
          <w:color w:val="auto"/>
          <w:sz w:val="28"/>
          <w:szCs w:val="28"/>
          <w:highlight w:val="none"/>
          <w:shd w:val="pct10" w:color="auto" w:fill="FFFFFF"/>
          <w:lang w:eastAsia="zh-CN"/>
        </w:rPr>
        <w:t>抹灰工程的质量关键是粘结牢固，无脱层与空鼓。如果粘结不牢，出现脱层、空鼓等缺陷，会降低对墙体的保护作用且影响装饰效果。</w:t>
      </w:r>
    </w:p>
    <w:p w14:paraId="66378988">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2</w:t>
      </w:r>
      <w:r>
        <w:rPr>
          <w:rFonts w:cs="宋体"/>
          <w:color w:val="auto"/>
          <w:sz w:val="28"/>
          <w:szCs w:val="28"/>
          <w:highlight w:val="none"/>
          <w:lang w:eastAsia="zh-CN"/>
        </w:rPr>
        <w:t xml:space="preserve"> </w:t>
      </w:r>
      <w:r>
        <w:rPr>
          <w:rFonts w:hint="eastAsia" w:cs="宋体"/>
          <w:color w:val="auto"/>
          <w:sz w:val="28"/>
          <w:szCs w:val="28"/>
          <w:highlight w:val="none"/>
          <w:lang w:eastAsia="zh-CN"/>
        </w:rPr>
        <w:t>墙面抹灰</w:t>
      </w:r>
      <w:r>
        <w:rPr>
          <w:rFonts w:hint="eastAsia" w:cs="宋体"/>
          <w:color w:val="auto"/>
          <w:sz w:val="28"/>
          <w:szCs w:val="28"/>
          <w:highlight w:val="none"/>
          <w:lang w:val="en-US" w:eastAsia="zh-CN"/>
        </w:rPr>
        <w:t>工程的表面质量应符合下列规定：</w:t>
      </w:r>
    </w:p>
    <w:p w14:paraId="4192E2B6">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560" w:firstLineChars="200"/>
        <w:textAlignment w:val="auto"/>
        <w:rPr>
          <w:rFonts w:hint="eastAsia" w:cs="宋体"/>
          <w:color w:val="auto"/>
          <w:sz w:val="28"/>
          <w:szCs w:val="28"/>
          <w:highlight w:val="none"/>
          <w:lang w:eastAsia="zh-CN"/>
        </w:rPr>
      </w:pPr>
      <w:r>
        <w:rPr>
          <w:rFonts w:hint="eastAsia" w:cs="宋体"/>
          <w:color w:val="auto"/>
          <w:sz w:val="28"/>
          <w:szCs w:val="28"/>
          <w:highlight w:val="none"/>
          <w:lang w:val="en-US" w:eastAsia="zh-CN"/>
        </w:rPr>
        <w:t>1</w:t>
      </w:r>
      <w:r>
        <w:rPr>
          <w:rFonts w:hint="eastAsia" w:cs="宋体"/>
          <w:color w:val="auto"/>
          <w:sz w:val="28"/>
          <w:szCs w:val="28"/>
          <w:highlight w:val="none"/>
          <w:lang w:eastAsia="zh-CN"/>
        </w:rPr>
        <w:t>普通抹灰表面应光滑、洁净、接楼平整，分格缝应清晰；</w:t>
      </w:r>
    </w:p>
    <w:p w14:paraId="073BB70A">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560" w:firstLineChars="200"/>
        <w:textAlignment w:val="auto"/>
        <w:rPr>
          <w:rFonts w:hint="eastAsia" w:cs="宋体"/>
          <w:color w:val="auto"/>
          <w:sz w:val="28"/>
          <w:szCs w:val="28"/>
          <w:highlight w:val="none"/>
          <w:lang w:eastAsia="zh-CN"/>
        </w:rPr>
      </w:pPr>
      <w:r>
        <w:rPr>
          <w:rFonts w:hint="eastAsia" w:cs="宋体"/>
          <w:color w:val="auto"/>
          <w:sz w:val="28"/>
          <w:szCs w:val="28"/>
          <w:highlight w:val="none"/>
          <w:lang w:eastAsia="zh-CN"/>
        </w:rPr>
        <w:t>2高级抹灰表面应光滑、洁净、颜色均匀、无抹纹，分格缝和灰线应清晰美观。</w:t>
      </w:r>
    </w:p>
    <w:p w14:paraId="774DD0BA">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14:paraId="64A4FB4C">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14:paraId="24C2602D">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条文说明】5.2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2 本条对墙面抹灰观感质量作了规定。</w:t>
      </w:r>
    </w:p>
    <w:p w14:paraId="72FDF607">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3</w:t>
      </w:r>
      <w:r>
        <w:rPr>
          <w:rFonts w:cs="宋体"/>
          <w:color w:val="auto"/>
          <w:sz w:val="28"/>
          <w:szCs w:val="28"/>
          <w:highlight w:val="none"/>
          <w:lang w:eastAsia="zh-CN"/>
        </w:rPr>
        <w:t xml:space="preserve"> 墙面</w:t>
      </w:r>
      <w:r>
        <w:rPr>
          <w:rFonts w:hint="eastAsia" w:cs="宋体"/>
          <w:color w:val="auto"/>
          <w:sz w:val="28"/>
          <w:szCs w:val="28"/>
          <w:highlight w:val="none"/>
          <w:lang w:eastAsia="zh-CN"/>
        </w:rPr>
        <w:t>普通抹灰立面垂直度、表面平整度、阴阳角方正允许偏差为4mm，高级抹灰立面垂直度、表面平整度、阴阳角方正允许偏差为</w:t>
      </w:r>
      <w:r>
        <w:rPr>
          <w:rFonts w:cs="宋体"/>
          <w:color w:val="auto"/>
          <w:sz w:val="28"/>
          <w:szCs w:val="28"/>
          <w:highlight w:val="none"/>
          <w:lang w:eastAsia="zh-CN"/>
        </w:rPr>
        <w:t>3</w:t>
      </w:r>
      <w:r>
        <w:rPr>
          <w:rFonts w:hint="eastAsia" w:cs="宋体"/>
          <w:color w:val="auto"/>
          <w:sz w:val="28"/>
          <w:szCs w:val="28"/>
          <w:highlight w:val="none"/>
          <w:lang w:eastAsia="zh-CN"/>
        </w:rPr>
        <w:t>mm。</w:t>
      </w:r>
    </w:p>
    <w:p w14:paraId="26C75150">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14:paraId="13456CAB">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14:paraId="6CD6DCE7">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3</w:t>
      </w:r>
      <w:r>
        <w:rPr>
          <w:rFonts w:cs="宋体"/>
          <w:color w:val="auto"/>
          <w:sz w:val="28"/>
          <w:szCs w:val="28"/>
          <w:highlight w:val="none"/>
          <w:shd w:val="pct10" w:color="auto" w:fill="FFFFFF"/>
          <w:lang w:eastAsia="zh-CN"/>
        </w:rPr>
        <w:t xml:space="preserve"> 本条对墙面立面垂直度、表面平整度</w:t>
      </w:r>
      <w:r>
        <w:rPr>
          <w:rFonts w:hint="eastAsia" w:cs="宋体"/>
          <w:color w:val="auto"/>
          <w:sz w:val="28"/>
          <w:szCs w:val="28"/>
          <w:highlight w:val="none"/>
          <w:shd w:val="pct10" w:color="auto" w:fill="FFFFFF"/>
          <w:lang w:eastAsia="zh-CN"/>
        </w:rPr>
        <w:t>、阴阳角方正作了</w:t>
      </w:r>
      <w:r>
        <w:rPr>
          <w:rFonts w:cs="宋体"/>
          <w:color w:val="auto"/>
          <w:sz w:val="28"/>
          <w:szCs w:val="28"/>
          <w:highlight w:val="none"/>
          <w:shd w:val="pct10" w:color="auto" w:fill="FFFFFF"/>
          <w:lang w:eastAsia="zh-CN"/>
        </w:rPr>
        <w:t>规定。</w:t>
      </w:r>
    </w:p>
    <w:p w14:paraId="127CC6D7">
      <w:pPr>
        <w:pStyle w:val="4"/>
        <w:rPr>
          <w:color w:val="auto"/>
          <w:highlight w:val="none"/>
        </w:rPr>
      </w:pPr>
      <w:bookmarkStart w:id="111" w:name="_Hlk121320088"/>
      <w:bookmarkStart w:id="112" w:name="_Toc7213"/>
      <w:bookmarkStart w:id="113" w:name="_Toc81541033"/>
      <w:bookmarkStart w:id="114" w:name="_Toc80365726"/>
      <w:bookmarkStart w:id="115" w:name="_Toc19361"/>
      <w:bookmarkStart w:id="116" w:name="_Toc13685"/>
      <w:bookmarkStart w:id="117" w:name="_Toc18631"/>
      <w:bookmarkStart w:id="118" w:name="_Toc121330087"/>
      <w:bookmarkStart w:id="119" w:name="_Toc27939"/>
      <w:bookmarkStart w:id="120" w:name="_Toc133572714"/>
      <w:r>
        <w:rPr>
          <w:rFonts w:hint="eastAsia"/>
          <w:color w:val="auto"/>
          <w:highlight w:val="none"/>
        </w:rPr>
        <w:t>Ⅱ</w:t>
      </w:r>
      <w:bookmarkEnd w:id="111"/>
      <w:r>
        <w:rPr>
          <w:rFonts w:hint="eastAsia"/>
          <w:color w:val="auto"/>
          <w:highlight w:val="none"/>
        </w:rPr>
        <w:t xml:space="preserve"> </w:t>
      </w:r>
      <w:r>
        <w:rPr>
          <w:color w:val="auto"/>
          <w:highlight w:val="none"/>
        </w:rPr>
        <w:t>涂饰墙面</w:t>
      </w:r>
      <w:bookmarkEnd w:id="112"/>
      <w:bookmarkEnd w:id="113"/>
      <w:bookmarkEnd w:id="114"/>
      <w:bookmarkEnd w:id="115"/>
      <w:bookmarkEnd w:id="116"/>
      <w:bookmarkEnd w:id="117"/>
      <w:bookmarkEnd w:id="118"/>
      <w:bookmarkEnd w:id="119"/>
      <w:bookmarkEnd w:id="120"/>
    </w:p>
    <w:p w14:paraId="5D8D6010">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4</w:t>
      </w:r>
      <w:r>
        <w:rPr>
          <w:rFonts w:cs="宋体"/>
          <w:color w:val="auto"/>
          <w:sz w:val="28"/>
          <w:szCs w:val="28"/>
          <w:highlight w:val="none"/>
          <w:lang w:eastAsia="zh-CN"/>
        </w:rPr>
        <w:t xml:space="preserve"> 墙面涂料饰面层应</w:t>
      </w:r>
      <w:r>
        <w:rPr>
          <w:rFonts w:hint="eastAsia" w:cs="宋体"/>
          <w:color w:val="auto"/>
          <w:sz w:val="28"/>
          <w:szCs w:val="28"/>
          <w:highlight w:val="none"/>
          <w:lang w:val="en-US" w:eastAsia="zh-CN"/>
        </w:rPr>
        <w:t>涂饰均匀、</w:t>
      </w:r>
      <w:r>
        <w:rPr>
          <w:rFonts w:cs="宋体"/>
          <w:color w:val="auto"/>
          <w:sz w:val="28"/>
          <w:szCs w:val="28"/>
          <w:highlight w:val="none"/>
          <w:lang w:eastAsia="zh-CN"/>
        </w:rPr>
        <w:t>粘结牢固，</w:t>
      </w:r>
      <w:r>
        <w:rPr>
          <w:rFonts w:hint="eastAsia" w:cs="宋体"/>
          <w:color w:val="auto"/>
          <w:sz w:val="28"/>
          <w:szCs w:val="28"/>
          <w:highlight w:val="none"/>
          <w:lang w:eastAsia="zh-CN"/>
        </w:rPr>
        <w:t>不得有</w:t>
      </w:r>
      <w:r>
        <w:rPr>
          <w:rFonts w:cs="宋体"/>
          <w:color w:val="auto"/>
          <w:sz w:val="28"/>
          <w:szCs w:val="28"/>
          <w:highlight w:val="none"/>
          <w:lang w:eastAsia="zh-CN"/>
        </w:rPr>
        <w:t>漏涂、透底、爆灰、起皮、裂缝、掉粉和</w:t>
      </w:r>
      <w:r>
        <w:rPr>
          <w:rFonts w:hint="eastAsia" w:cs="宋体"/>
          <w:color w:val="auto"/>
          <w:sz w:val="28"/>
          <w:szCs w:val="28"/>
          <w:highlight w:val="none"/>
          <w:lang w:val="en-US" w:eastAsia="zh-CN"/>
        </w:rPr>
        <w:t>返</w:t>
      </w:r>
      <w:r>
        <w:rPr>
          <w:rFonts w:cs="宋体"/>
          <w:color w:val="auto"/>
          <w:sz w:val="28"/>
          <w:szCs w:val="28"/>
          <w:highlight w:val="none"/>
          <w:lang w:eastAsia="zh-CN"/>
        </w:rPr>
        <w:t>锈等缺陷。</w:t>
      </w:r>
    </w:p>
    <w:p w14:paraId="4A3E6895">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ascii="宋体" w:hAnsi="宋体" w:cs="宋体"/>
          <w:color w:val="auto"/>
          <w:highlight w:val="none"/>
        </w:rPr>
        <w:t>观察检查；手摸检查。</w:t>
      </w:r>
    </w:p>
    <w:p w14:paraId="2416C964">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6832F645">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4</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本条对墙面</w:t>
      </w:r>
      <w:r>
        <w:rPr>
          <w:rFonts w:cs="宋体"/>
          <w:color w:val="auto"/>
          <w:sz w:val="28"/>
          <w:szCs w:val="28"/>
          <w:highlight w:val="none"/>
          <w:shd w:val="pct10" w:color="auto" w:fill="FFFFFF"/>
          <w:lang w:eastAsia="zh-CN"/>
        </w:rPr>
        <w:t>涂料饰面层</w:t>
      </w:r>
      <w:r>
        <w:rPr>
          <w:rFonts w:hint="eastAsia" w:cs="宋体"/>
          <w:color w:val="auto"/>
          <w:sz w:val="28"/>
          <w:szCs w:val="28"/>
          <w:highlight w:val="none"/>
          <w:shd w:val="pct10" w:color="auto" w:fill="FFFFFF"/>
          <w:lang w:eastAsia="zh-CN"/>
        </w:rPr>
        <w:t>质量作了规定。</w:t>
      </w:r>
    </w:p>
    <w:p w14:paraId="2E6EC27E">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墙面涂饰立面垂直度、表面平整度、阴阳角方正应符合现行国家标准《建筑装饰装修工程质量验收标准》GB</w:t>
      </w:r>
      <w:r>
        <w:rPr>
          <w:rFonts w:cs="宋体"/>
          <w:color w:val="auto"/>
          <w:sz w:val="28"/>
          <w:szCs w:val="28"/>
          <w:highlight w:val="none"/>
          <w:lang w:eastAsia="zh-CN"/>
        </w:rPr>
        <w:t xml:space="preserve"> </w:t>
      </w:r>
      <w:r>
        <w:rPr>
          <w:rFonts w:hint="eastAsia" w:cs="宋体"/>
          <w:color w:val="auto"/>
          <w:sz w:val="28"/>
          <w:szCs w:val="28"/>
          <w:highlight w:val="none"/>
          <w:lang w:eastAsia="zh-CN"/>
        </w:rPr>
        <w:t>50210的</w:t>
      </w:r>
      <w:r>
        <w:rPr>
          <w:rFonts w:cs="宋体"/>
          <w:color w:val="auto"/>
          <w:sz w:val="28"/>
          <w:szCs w:val="28"/>
          <w:highlight w:val="none"/>
          <w:lang w:eastAsia="zh-CN"/>
        </w:rPr>
        <w:t>相关规定。</w:t>
      </w:r>
    </w:p>
    <w:p w14:paraId="4EFED528">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14:paraId="4C7A7C6B">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14:paraId="004EE298">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5</w:t>
      </w:r>
      <w:r>
        <w:rPr>
          <w:rFonts w:cs="宋体"/>
          <w:color w:val="auto"/>
          <w:sz w:val="28"/>
          <w:szCs w:val="28"/>
          <w:highlight w:val="none"/>
          <w:shd w:val="pct10" w:color="auto" w:fill="FFFFFF"/>
          <w:lang w:eastAsia="zh-CN"/>
        </w:rPr>
        <w:t xml:space="preserve"> 本条对涂饰墙面</w:t>
      </w:r>
      <w:r>
        <w:rPr>
          <w:rFonts w:hint="eastAsia" w:cs="宋体"/>
          <w:color w:val="auto"/>
          <w:sz w:val="28"/>
          <w:szCs w:val="28"/>
          <w:highlight w:val="none"/>
          <w:shd w:val="pct10" w:color="auto" w:fill="FFFFFF"/>
          <w:lang w:eastAsia="zh-CN"/>
        </w:rPr>
        <w:t>立面垂直度、表面平整度、阴阳角方正作了</w:t>
      </w:r>
      <w:r>
        <w:rPr>
          <w:rFonts w:cs="宋体"/>
          <w:color w:val="auto"/>
          <w:sz w:val="28"/>
          <w:szCs w:val="28"/>
          <w:highlight w:val="none"/>
          <w:shd w:val="pct10" w:color="auto" w:fill="FFFFFF"/>
          <w:lang w:eastAsia="zh-CN"/>
        </w:rPr>
        <w:t>规定。</w:t>
      </w:r>
    </w:p>
    <w:p w14:paraId="438CC85B">
      <w:pPr>
        <w:pStyle w:val="4"/>
        <w:rPr>
          <w:color w:val="auto"/>
          <w:highlight w:val="none"/>
        </w:rPr>
      </w:pPr>
      <w:bookmarkStart w:id="121" w:name="_Hlk121320099"/>
      <w:bookmarkStart w:id="122" w:name="_Toc7456"/>
      <w:bookmarkStart w:id="123" w:name="_Toc11541"/>
      <w:bookmarkStart w:id="124" w:name="_Toc14340"/>
      <w:bookmarkStart w:id="125" w:name="_Toc21745"/>
      <w:bookmarkStart w:id="126" w:name="_Toc80365727"/>
      <w:bookmarkStart w:id="127" w:name="_Toc81541034"/>
      <w:bookmarkStart w:id="128" w:name="_Toc17654"/>
      <w:bookmarkStart w:id="129" w:name="_Toc121330088"/>
      <w:bookmarkStart w:id="130" w:name="_Toc133572715"/>
      <w:r>
        <w:rPr>
          <w:rFonts w:hint="eastAsia"/>
          <w:color w:val="auto"/>
          <w:highlight w:val="none"/>
        </w:rPr>
        <w:t>Ⅲ</w:t>
      </w:r>
      <w:bookmarkEnd w:id="121"/>
      <w:r>
        <w:rPr>
          <w:color w:val="auto"/>
          <w:highlight w:val="none"/>
        </w:rPr>
        <w:t xml:space="preserve"> 裱糊与软包墙面</w:t>
      </w:r>
      <w:bookmarkEnd w:id="122"/>
      <w:bookmarkEnd w:id="123"/>
      <w:bookmarkEnd w:id="124"/>
      <w:bookmarkEnd w:id="125"/>
      <w:bookmarkEnd w:id="126"/>
      <w:bookmarkEnd w:id="127"/>
      <w:bookmarkEnd w:id="128"/>
      <w:bookmarkEnd w:id="129"/>
      <w:bookmarkEnd w:id="130"/>
    </w:p>
    <w:p w14:paraId="1D8E5998">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6</w:t>
      </w:r>
      <w:r>
        <w:rPr>
          <w:rFonts w:cs="宋体"/>
          <w:color w:val="auto"/>
          <w:sz w:val="28"/>
          <w:szCs w:val="28"/>
          <w:highlight w:val="none"/>
          <w:lang w:eastAsia="zh-CN"/>
        </w:rPr>
        <w:t xml:space="preserve"> 墙面</w:t>
      </w:r>
      <w:r>
        <w:rPr>
          <w:rFonts w:hint="eastAsia" w:cs="宋体"/>
          <w:color w:val="auto"/>
          <w:sz w:val="28"/>
          <w:szCs w:val="28"/>
          <w:highlight w:val="none"/>
          <w:lang w:eastAsia="zh-CN"/>
        </w:rPr>
        <w:t>与</w:t>
      </w:r>
      <w:r>
        <w:rPr>
          <w:rFonts w:cs="宋体"/>
          <w:color w:val="auto"/>
          <w:sz w:val="28"/>
          <w:szCs w:val="28"/>
          <w:highlight w:val="none"/>
          <w:lang w:eastAsia="zh-CN"/>
        </w:rPr>
        <w:t>裱糊面层应粘结牢固，不得有漏贴、补贴、脱层、空鼓和翘边</w:t>
      </w:r>
      <w:r>
        <w:rPr>
          <w:rFonts w:hint="eastAsia" w:cs="宋体"/>
          <w:color w:val="auto"/>
          <w:sz w:val="28"/>
          <w:szCs w:val="28"/>
          <w:highlight w:val="none"/>
          <w:lang w:eastAsia="zh-CN"/>
        </w:rPr>
        <w:t>等</w:t>
      </w:r>
      <w:r>
        <w:rPr>
          <w:rFonts w:cs="宋体"/>
          <w:color w:val="auto"/>
          <w:sz w:val="28"/>
          <w:szCs w:val="28"/>
          <w:highlight w:val="none"/>
          <w:lang w:eastAsia="zh-CN"/>
        </w:rPr>
        <w:t>缺陷</w:t>
      </w:r>
      <w:r>
        <w:rPr>
          <w:rFonts w:hint="eastAsia" w:cs="宋体"/>
          <w:color w:val="auto"/>
          <w:sz w:val="28"/>
          <w:szCs w:val="28"/>
          <w:highlight w:val="none"/>
          <w:lang w:eastAsia="zh-CN"/>
        </w:rPr>
        <w:t>，拼接处花纹、图案应吻合，应不离缝、不搭接、不显拼缝</w:t>
      </w:r>
      <w:r>
        <w:rPr>
          <w:rFonts w:cs="宋体"/>
          <w:color w:val="auto"/>
          <w:sz w:val="28"/>
          <w:szCs w:val="28"/>
          <w:highlight w:val="none"/>
          <w:lang w:eastAsia="zh-CN"/>
        </w:rPr>
        <w:t>。</w:t>
      </w:r>
    </w:p>
    <w:p w14:paraId="03617C58">
      <w:pPr>
        <w:pStyle w:val="46"/>
        <w:spacing w:line="360" w:lineRule="auto"/>
        <w:rPr>
          <w:rFonts w:ascii="宋体" w:hAnsi="宋体" w:cs="宋体"/>
          <w:color w:val="auto"/>
          <w:highlight w:val="none"/>
        </w:rPr>
      </w:pPr>
      <w:r>
        <w:rPr>
          <w:rFonts w:ascii="宋体" w:hAnsi="宋体" w:cs="宋体"/>
          <w:color w:val="auto"/>
          <w:highlight w:val="none"/>
        </w:rPr>
        <w:t>检验方法：观察检查；手摸</w:t>
      </w:r>
      <w:r>
        <w:rPr>
          <w:rFonts w:hint="eastAsia" w:ascii="宋体" w:hAnsi="宋体" w:cs="宋体"/>
          <w:color w:val="auto"/>
          <w:highlight w:val="none"/>
        </w:rPr>
        <w:t>检查</w:t>
      </w:r>
      <w:r>
        <w:rPr>
          <w:rFonts w:ascii="宋体" w:hAnsi="宋体" w:cs="宋体"/>
          <w:color w:val="auto"/>
          <w:highlight w:val="none"/>
        </w:rPr>
        <w:t>。</w:t>
      </w:r>
    </w:p>
    <w:p w14:paraId="18249F81">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97153C8">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6</w:t>
      </w:r>
      <w:r>
        <w:rPr>
          <w:rFonts w:cs="宋体"/>
          <w:color w:val="auto"/>
          <w:sz w:val="28"/>
          <w:szCs w:val="28"/>
          <w:highlight w:val="none"/>
          <w:shd w:val="pct10" w:color="auto" w:fill="FFFFFF"/>
          <w:lang w:eastAsia="zh-CN"/>
        </w:rPr>
        <w:t xml:space="preserve"> 裱糊面层的拼接效果和粘结牢固度直接影响了室内墙面装饰效果和装饰的可靠性，故作此规定。</w:t>
      </w:r>
    </w:p>
    <w:p w14:paraId="1B680755">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7</w:t>
      </w:r>
      <w:r>
        <w:rPr>
          <w:rFonts w:cs="宋体"/>
          <w:color w:val="auto"/>
          <w:sz w:val="28"/>
          <w:szCs w:val="28"/>
          <w:highlight w:val="none"/>
          <w:lang w:eastAsia="zh-CN"/>
        </w:rPr>
        <w:t xml:space="preserve"> 裱糊</w:t>
      </w:r>
      <w:r>
        <w:rPr>
          <w:rFonts w:hint="eastAsia" w:cs="宋体"/>
          <w:color w:val="auto"/>
          <w:sz w:val="28"/>
          <w:szCs w:val="28"/>
          <w:highlight w:val="none"/>
          <w:lang w:eastAsia="zh-CN"/>
        </w:rPr>
        <w:t>的壁纸、墙布表面应平整，不得有波纹起伏、气泡、裂缝、皱折；表面色泽应一致，不得有斑污，斜视时应无胶痕</w:t>
      </w:r>
      <w:r>
        <w:rPr>
          <w:rFonts w:cs="宋体"/>
          <w:color w:val="auto"/>
          <w:sz w:val="28"/>
          <w:szCs w:val="28"/>
          <w:highlight w:val="none"/>
          <w:lang w:eastAsia="zh-CN"/>
        </w:rPr>
        <w:t>。</w:t>
      </w:r>
    </w:p>
    <w:p w14:paraId="18B37A8A">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14:paraId="4EC3BFA4">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3CC1369A">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7</w:t>
      </w:r>
      <w:r>
        <w:rPr>
          <w:rFonts w:cs="宋体"/>
          <w:color w:val="auto"/>
          <w:sz w:val="28"/>
          <w:szCs w:val="28"/>
          <w:highlight w:val="none"/>
          <w:shd w:val="pct10" w:color="auto" w:fill="FFFFFF"/>
          <w:lang w:eastAsia="zh-CN"/>
        </w:rPr>
        <w:t xml:space="preserve"> 本条对裱糊墙面观感质量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327D3070">
      <w:pPr>
        <w:pStyle w:val="9"/>
        <w:spacing w:before="115" w:line="360" w:lineRule="auto"/>
        <w:ind w:left="0"/>
        <w:rPr>
          <w:color w:val="auto"/>
          <w:sz w:val="24"/>
          <w:szCs w:val="24"/>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8</w:t>
      </w:r>
      <w:r>
        <w:rPr>
          <w:rFonts w:cs="宋体"/>
          <w:color w:val="auto"/>
          <w:sz w:val="28"/>
          <w:szCs w:val="28"/>
          <w:highlight w:val="none"/>
          <w:lang w:eastAsia="zh-CN"/>
        </w:rPr>
        <w:t xml:space="preserve"> </w:t>
      </w:r>
      <w:r>
        <w:rPr>
          <w:rFonts w:hint="eastAsia" w:cs="宋体"/>
          <w:color w:val="auto"/>
          <w:sz w:val="28"/>
          <w:szCs w:val="28"/>
          <w:highlight w:val="none"/>
          <w:lang w:eastAsia="zh-CN"/>
        </w:rPr>
        <w:t>裱糊墙面的表面平整度、立面垂直度、阴阳角方正允许偏差为3mm。</w:t>
      </w:r>
    </w:p>
    <w:p w14:paraId="67F02334">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14:paraId="52A81A78">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5319AB68">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8</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裱糊墙面立面垂直度、表面平整度、阴阳角方正作了</w:t>
      </w:r>
      <w:r>
        <w:rPr>
          <w:rFonts w:cs="宋体"/>
          <w:color w:val="auto"/>
          <w:sz w:val="28"/>
          <w:szCs w:val="28"/>
          <w:highlight w:val="none"/>
          <w:shd w:val="pct10" w:color="auto" w:fill="FFFFFF"/>
          <w:lang w:eastAsia="zh-CN"/>
        </w:rPr>
        <w:t>规定。</w:t>
      </w:r>
    </w:p>
    <w:p w14:paraId="6BEB9B47">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 xml:space="preserve">9 </w:t>
      </w:r>
      <w:r>
        <w:rPr>
          <w:rFonts w:cs="宋体"/>
          <w:color w:val="auto"/>
          <w:sz w:val="28"/>
          <w:szCs w:val="28"/>
          <w:highlight w:val="none"/>
          <w:lang w:eastAsia="zh-CN"/>
        </w:rPr>
        <w:t>软包</w:t>
      </w:r>
      <w:r>
        <w:rPr>
          <w:rFonts w:hint="eastAsia" w:cs="宋体"/>
          <w:color w:val="auto"/>
          <w:sz w:val="28"/>
          <w:szCs w:val="28"/>
          <w:highlight w:val="none"/>
          <w:lang w:eastAsia="zh-CN"/>
        </w:rPr>
        <w:t>墙面</w:t>
      </w:r>
      <w:r>
        <w:rPr>
          <w:rFonts w:cs="宋体"/>
          <w:color w:val="auto"/>
          <w:sz w:val="28"/>
          <w:szCs w:val="28"/>
          <w:highlight w:val="none"/>
          <w:lang w:eastAsia="zh-CN"/>
        </w:rPr>
        <w:t>应安装牢固。</w:t>
      </w:r>
    </w:p>
    <w:p w14:paraId="20E1E6F8">
      <w:pPr>
        <w:pStyle w:val="46"/>
        <w:spacing w:line="360" w:lineRule="auto"/>
        <w:rPr>
          <w:rFonts w:ascii="宋体" w:hAnsi="宋体" w:cs="宋体"/>
          <w:color w:val="auto"/>
          <w:highlight w:val="none"/>
        </w:rPr>
      </w:pPr>
      <w:r>
        <w:rPr>
          <w:rFonts w:ascii="宋体" w:hAnsi="宋体" w:cs="宋体"/>
          <w:color w:val="auto"/>
          <w:highlight w:val="none"/>
        </w:rPr>
        <w:t>检验方法：手扳检查。</w:t>
      </w:r>
    </w:p>
    <w:p w14:paraId="0726ACB1">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AF655BF">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9</w:t>
      </w:r>
      <w:r>
        <w:rPr>
          <w:rFonts w:cs="宋体"/>
          <w:color w:val="auto"/>
          <w:sz w:val="28"/>
          <w:szCs w:val="28"/>
          <w:highlight w:val="none"/>
          <w:shd w:val="pct10" w:color="auto" w:fill="FFFFFF"/>
          <w:lang w:eastAsia="zh-CN"/>
        </w:rPr>
        <w:t xml:space="preserve"> 本条对软包工程的牢固度</w:t>
      </w:r>
      <w:r>
        <w:rPr>
          <w:rFonts w:hint="eastAsia" w:cs="宋体"/>
          <w:color w:val="auto"/>
          <w:sz w:val="28"/>
          <w:szCs w:val="28"/>
          <w:highlight w:val="none"/>
          <w:shd w:val="pct10" w:color="auto" w:fill="FFFFFF"/>
          <w:lang w:eastAsia="zh-CN"/>
        </w:rPr>
        <w:t>作</w:t>
      </w:r>
      <w:r>
        <w:rPr>
          <w:rFonts w:cs="宋体"/>
          <w:color w:val="auto"/>
          <w:sz w:val="28"/>
          <w:szCs w:val="28"/>
          <w:highlight w:val="none"/>
          <w:shd w:val="pct10" w:color="auto" w:fill="FFFFFF"/>
          <w:lang w:eastAsia="zh-CN"/>
        </w:rPr>
        <w:t>了规定。</w:t>
      </w:r>
    </w:p>
    <w:p w14:paraId="6AE4BF5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10</w:t>
      </w:r>
      <w:r>
        <w:rPr>
          <w:rFonts w:cs="宋体"/>
          <w:color w:val="auto"/>
          <w:sz w:val="28"/>
          <w:szCs w:val="28"/>
          <w:highlight w:val="none"/>
          <w:lang w:eastAsia="zh-CN"/>
        </w:rPr>
        <w:t xml:space="preserve"> </w:t>
      </w:r>
      <w:r>
        <w:rPr>
          <w:rFonts w:hint="eastAsia" w:cs="宋体"/>
          <w:color w:val="auto"/>
          <w:sz w:val="28"/>
          <w:szCs w:val="28"/>
          <w:highlight w:val="none"/>
          <w:lang w:eastAsia="zh-CN"/>
        </w:rPr>
        <w:t>软包墙面的表面应平整、洁净、无污染、无凹凸不平及皱折；图案应清晰、无色差，应不离缝、不搭接、不显拼缝，整体应协调美观、符合设计要求</w:t>
      </w:r>
      <w:r>
        <w:rPr>
          <w:rFonts w:cs="宋体"/>
          <w:color w:val="auto"/>
          <w:sz w:val="28"/>
          <w:szCs w:val="28"/>
          <w:highlight w:val="none"/>
          <w:lang w:eastAsia="zh-CN"/>
        </w:rPr>
        <w:t>。</w:t>
      </w:r>
    </w:p>
    <w:p w14:paraId="3F8E7AB7">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14:paraId="0927032A">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7500935C">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10</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对软包墙面</w:t>
      </w:r>
      <w:r>
        <w:rPr>
          <w:rFonts w:cs="宋体"/>
          <w:color w:val="auto"/>
          <w:sz w:val="28"/>
          <w:szCs w:val="28"/>
          <w:highlight w:val="none"/>
          <w:shd w:val="pct10" w:color="auto" w:fill="FFFFFF"/>
          <w:lang w:eastAsia="zh-CN"/>
        </w:rPr>
        <w:t>观感质量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7089A38F">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11</w:t>
      </w:r>
      <w:r>
        <w:rPr>
          <w:rFonts w:cs="宋体"/>
          <w:color w:val="auto"/>
          <w:sz w:val="28"/>
          <w:szCs w:val="28"/>
          <w:highlight w:val="none"/>
          <w:lang w:eastAsia="zh-CN"/>
        </w:rPr>
        <w:t xml:space="preserve"> </w:t>
      </w:r>
      <w:r>
        <w:rPr>
          <w:rFonts w:hint="eastAsia" w:cs="宋体"/>
          <w:color w:val="auto"/>
          <w:sz w:val="28"/>
          <w:szCs w:val="28"/>
          <w:highlight w:val="none"/>
          <w:lang w:eastAsia="zh-CN"/>
        </w:rPr>
        <w:t>单块软包边框水平度、垂直度和对角线长度差允许偏差为3mm。</w:t>
      </w:r>
    </w:p>
    <w:p w14:paraId="0B1BF2CF">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水平度采用</w:t>
      </w:r>
      <w:r>
        <w:rPr>
          <w:rFonts w:ascii="宋体" w:hAnsi="宋体" w:cs="宋体"/>
          <w:color w:val="auto"/>
          <w:highlight w:val="none"/>
        </w:rPr>
        <w:t>1</w:t>
      </w:r>
      <w:r>
        <w:rPr>
          <w:rFonts w:hint="eastAsia" w:ascii="宋体" w:hAnsi="宋体" w:cs="宋体"/>
          <w:color w:val="auto"/>
          <w:highlight w:val="none"/>
        </w:rPr>
        <w:t>m水平尺和塞尺检查，垂直度采用1m垂直检测尺检查，对角线长度差采用从框的裁口里角用钢尺检查，或采用三维激光扫描仪检查。</w:t>
      </w:r>
    </w:p>
    <w:p w14:paraId="16460FBF">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EB14926">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11</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对单块软包边框水平度、垂直度和对角线长度差作了</w:t>
      </w:r>
      <w:r>
        <w:rPr>
          <w:rFonts w:cs="宋体"/>
          <w:color w:val="auto"/>
          <w:sz w:val="28"/>
          <w:szCs w:val="28"/>
          <w:highlight w:val="none"/>
          <w:shd w:val="pct10" w:color="auto" w:fill="FFFFFF"/>
          <w:lang w:eastAsia="zh-CN"/>
        </w:rPr>
        <w:t>规定。</w:t>
      </w:r>
    </w:p>
    <w:p w14:paraId="3005683C">
      <w:pPr>
        <w:pStyle w:val="4"/>
        <w:rPr>
          <w:color w:val="auto"/>
          <w:highlight w:val="none"/>
        </w:rPr>
      </w:pPr>
      <w:bookmarkStart w:id="131" w:name="_Hlk121320108"/>
      <w:bookmarkStart w:id="132" w:name="_Toc7009"/>
      <w:bookmarkStart w:id="133" w:name="_Toc7196"/>
      <w:bookmarkStart w:id="134" w:name="_Toc24303"/>
      <w:bookmarkStart w:id="135" w:name="_Toc2139"/>
      <w:bookmarkStart w:id="136" w:name="_Toc121330089"/>
      <w:bookmarkStart w:id="137" w:name="_Toc133572716"/>
      <w:bookmarkStart w:id="138" w:name="_Toc26053"/>
      <w:bookmarkStart w:id="139" w:name="_Toc81541035"/>
      <w:bookmarkStart w:id="140" w:name="_Toc80365728"/>
      <w:r>
        <w:rPr>
          <w:rFonts w:hint="eastAsia"/>
          <w:color w:val="auto"/>
          <w:highlight w:val="none"/>
        </w:rPr>
        <w:t>Ⅳ</w:t>
      </w:r>
      <w:bookmarkEnd w:id="131"/>
      <w:r>
        <w:rPr>
          <w:color w:val="auto"/>
          <w:highlight w:val="none"/>
        </w:rPr>
        <w:t xml:space="preserve"> 饰面板（砖）墙面</w:t>
      </w:r>
      <w:bookmarkEnd w:id="132"/>
      <w:bookmarkEnd w:id="133"/>
      <w:bookmarkEnd w:id="134"/>
      <w:bookmarkEnd w:id="135"/>
      <w:bookmarkEnd w:id="136"/>
      <w:bookmarkEnd w:id="137"/>
      <w:bookmarkEnd w:id="138"/>
      <w:bookmarkEnd w:id="139"/>
      <w:bookmarkEnd w:id="140"/>
    </w:p>
    <w:p w14:paraId="7238B9B7">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12</w:t>
      </w:r>
      <w:r>
        <w:rPr>
          <w:rFonts w:cs="宋体"/>
          <w:color w:val="auto"/>
          <w:sz w:val="28"/>
          <w:szCs w:val="28"/>
          <w:highlight w:val="none"/>
          <w:lang w:eastAsia="zh-CN"/>
        </w:rPr>
        <w:t xml:space="preserve"> 墙面饰面板（砖）面层应结合牢固，无空鼓</w:t>
      </w:r>
      <w:r>
        <w:rPr>
          <w:rFonts w:hint="eastAsia" w:cs="宋体"/>
          <w:color w:val="auto"/>
          <w:sz w:val="28"/>
          <w:szCs w:val="28"/>
          <w:highlight w:val="none"/>
          <w:lang w:eastAsia="zh-CN"/>
        </w:rPr>
        <w:t>与裂缝缺</w:t>
      </w:r>
      <w:r>
        <w:rPr>
          <w:rFonts w:cs="宋体"/>
          <w:color w:val="auto"/>
          <w:sz w:val="28"/>
          <w:szCs w:val="28"/>
          <w:highlight w:val="none"/>
          <w:lang w:eastAsia="zh-CN"/>
        </w:rPr>
        <w:t>陷</w:t>
      </w:r>
      <w:r>
        <w:rPr>
          <w:rFonts w:hint="eastAsia" w:cs="宋体"/>
          <w:color w:val="auto"/>
          <w:sz w:val="28"/>
          <w:szCs w:val="28"/>
          <w:highlight w:val="none"/>
          <w:lang w:eastAsia="zh-CN"/>
        </w:rPr>
        <w:t>，</w:t>
      </w:r>
      <w:r>
        <w:rPr>
          <w:rFonts w:cs="宋体"/>
          <w:color w:val="auto"/>
          <w:sz w:val="28"/>
          <w:szCs w:val="28"/>
          <w:highlight w:val="none"/>
          <w:lang w:eastAsia="zh-CN"/>
        </w:rPr>
        <w:t>石材表面</w:t>
      </w:r>
      <w:r>
        <w:rPr>
          <w:rFonts w:hint="eastAsia" w:cs="宋体"/>
          <w:color w:val="auto"/>
          <w:sz w:val="28"/>
          <w:szCs w:val="28"/>
          <w:highlight w:val="none"/>
          <w:lang w:eastAsia="zh-CN"/>
        </w:rPr>
        <w:t>应</w:t>
      </w:r>
      <w:r>
        <w:rPr>
          <w:rFonts w:cs="宋体"/>
          <w:color w:val="auto"/>
          <w:sz w:val="28"/>
          <w:szCs w:val="28"/>
          <w:highlight w:val="none"/>
          <w:lang w:eastAsia="zh-CN"/>
        </w:rPr>
        <w:t>无泛碱</w:t>
      </w:r>
      <w:r>
        <w:rPr>
          <w:rFonts w:hint="eastAsia" w:cs="宋体"/>
          <w:color w:val="auto"/>
          <w:sz w:val="28"/>
          <w:szCs w:val="28"/>
          <w:highlight w:val="none"/>
          <w:lang w:eastAsia="zh-CN"/>
        </w:rPr>
        <w:t>现象</w:t>
      </w:r>
      <w:r>
        <w:rPr>
          <w:rFonts w:cs="宋体"/>
          <w:color w:val="auto"/>
          <w:sz w:val="28"/>
          <w:szCs w:val="28"/>
          <w:highlight w:val="none"/>
          <w:lang w:eastAsia="zh-CN"/>
        </w:rPr>
        <w:t>。</w:t>
      </w:r>
    </w:p>
    <w:p w14:paraId="3A616B2A">
      <w:pPr>
        <w:pStyle w:val="46"/>
        <w:spacing w:line="360" w:lineRule="auto"/>
        <w:rPr>
          <w:rFonts w:ascii="宋体" w:hAnsi="宋体" w:cs="宋体"/>
          <w:color w:val="auto"/>
          <w:highlight w:val="none"/>
        </w:rPr>
      </w:pPr>
      <w:r>
        <w:rPr>
          <w:rFonts w:ascii="宋体" w:hAnsi="宋体" w:cs="宋体"/>
          <w:color w:val="auto"/>
          <w:highlight w:val="none"/>
        </w:rPr>
        <w:t>检验方法：空鼓锤轻敲检查</w:t>
      </w:r>
      <w:r>
        <w:rPr>
          <w:rFonts w:hint="eastAsia" w:ascii="宋体" w:hAnsi="宋体" w:cs="宋体"/>
          <w:color w:val="auto"/>
          <w:highlight w:val="none"/>
        </w:rPr>
        <w:t>；观察</w:t>
      </w:r>
      <w:r>
        <w:rPr>
          <w:rFonts w:ascii="宋体" w:hAnsi="宋体" w:cs="宋体"/>
          <w:color w:val="auto"/>
          <w:highlight w:val="none"/>
        </w:rPr>
        <w:t>检查。</w:t>
      </w:r>
    </w:p>
    <w:p w14:paraId="189B1359">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1239CF2">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12</w:t>
      </w:r>
      <w:r>
        <w:rPr>
          <w:rFonts w:cs="宋体"/>
          <w:color w:val="auto"/>
          <w:sz w:val="28"/>
          <w:szCs w:val="28"/>
          <w:highlight w:val="none"/>
          <w:shd w:val="pct10" w:color="auto" w:fill="FFFFFF"/>
          <w:lang w:eastAsia="zh-CN"/>
        </w:rPr>
        <w:t xml:space="preserve"> 本条对饰面板（砖）的安装和粘贴提出牢固要求。</w:t>
      </w:r>
    </w:p>
    <w:p w14:paraId="5BFA76F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13</w:t>
      </w:r>
      <w:r>
        <w:rPr>
          <w:rFonts w:cs="宋体"/>
          <w:color w:val="auto"/>
          <w:sz w:val="28"/>
          <w:szCs w:val="28"/>
          <w:highlight w:val="none"/>
          <w:lang w:eastAsia="zh-CN"/>
        </w:rPr>
        <w:t xml:space="preserve"> 墙面饰面板（砖）面层表面应平整</w:t>
      </w:r>
      <w:r>
        <w:rPr>
          <w:rFonts w:hint="eastAsia" w:cs="宋体"/>
          <w:color w:val="auto"/>
          <w:sz w:val="28"/>
          <w:szCs w:val="28"/>
          <w:highlight w:val="none"/>
          <w:lang w:eastAsia="zh-CN"/>
        </w:rPr>
        <w:t>、洁净、色泽一致，应无裂痕和缺损。</w:t>
      </w:r>
    </w:p>
    <w:p w14:paraId="057CE310">
      <w:pPr>
        <w:pStyle w:val="46"/>
        <w:spacing w:line="360" w:lineRule="auto"/>
        <w:rPr>
          <w:rFonts w:ascii="宋体" w:hAnsi="宋体" w:cs="宋体"/>
          <w:color w:val="auto"/>
          <w:highlight w:val="none"/>
        </w:rPr>
      </w:pPr>
      <w:r>
        <w:rPr>
          <w:rFonts w:ascii="宋体" w:hAnsi="宋体" w:cs="宋体"/>
          <w:color w:val="auto"/>
          <w:highlight w:val="none"/>
        </w:rPr>
        <w:t>检验方法：观察检查；手摸</w:t>
      </w:r>
      <w:r>
        <w:rPr>
          <w:rFonts w:hint="eastAsia" w:ascii="宋体" w:hAnsi="宋体" w:cs="宋体"/>
          <w:color w:val="auto"/>
          <w:highlight w:val="none"/>
        </w:rPr>
        <w:t>检查</w:t>
      </w:r>
      <w:r>
        <w:rPr>
          <w:rFonts w:ascii="宋体" w:hAnsi="宋体" w:cs="宋体"/>
          <w:color w:val="auto"/>
          <w:highlight w:val="none"/>
        </w:rPr>
        <w:t>。</w:t>
      </w:r>
    </w:p>
    <w:p w14:paraId="1EC65C01">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2572BDB">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13</w:t>
      </w:r>
      <w:r>
        <w:rPr>
          <w:rFonts w:cs="宋体"/>
          <w:color w:val="auto"/>
          <w:sz w:val="28"/>
          <w:szCs w:val="28"/>
          <w:highlight w:val="none"/>
          <w:shd w:val="pct10" w:color="auto" w:fill="FFFFFF"/>
          <w:lang w:eastAsia="zh-CN"/>
        </w:rPr>
        <w:t xml:space="preserve"> 本条对墙面饰面板（砖）的观感质量作了规定。</w:t>
      </w:r>
    </w:p>
    <w:p w14:paraId="03E9D303">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 xml:space="preserve">14 </w:t>
      </w:r>
      <w:r>
        <w:rPr>
          <w:rFonts w:cs="宋体"/>
          <w:color w:val="auto"/>
          <w:sz w:val="28"/>
          <w:szCs w:val="28"/>
          <w:highlight w:val="none"/>
          <w:lang w:eastAsia="zh-CN"/>
        </w:rPr>
        <w:t>墙面饰面板（砖）</w:t>
      </w:r>
      <w:r>
        <w:rPr>
          <w:rFonts w:hint="eastAsia" w:cs="宋体"/>
          <w:color w:val="auto"/>
          <w:sz w:val="28"/>
          <w:szCs w:val="28"/>
          <w:highlight w:val="none"/>
          <w:lang w:eastAsia="zh-CN"/>
        </w:rPr>
        <w:t>立面垂直度允许偏差为2</w:t>
      </w:r>
      <w:r>
        <w:rPr>
          <w:rFonts w:cs="宋体"/>
          <w:color w:val="auto"/>
          <w:sz w:val="28"/>
          <w:szCs w:val="28"/>
          <w:highlight w:val="none"/>
          <w:lang w:eastAsia="zh-CN"/>
        </w:rPr>
        <w:t>mm</w:t>
      </w:r>
      <w:r>
        <w:rPr>
          <w:rFonts w:hint="eastAsia" w:cs="宋体"/>
          <w:color w:val="auto"/>
          <w:sz w:val="28"/>
          <w:szCs w:val="28"/>
          <w:highlight w:val="none"/>
          <w:lang w:eastAsia="zh-CN"/>
        </w:rPr>
        <w:t>，表面平整度允许偏差为</w:t>
      </w:r>
      <w:r>
        <w:rPr>
          <w:rFonts w:cs="宋体"/>
          <w:color w:val="auto"/>
          <w:sz w:val="28"/>
          <w:szCs w:val="28"/>
          <w:highlight w:val="none"/>
          <w:lang w:eastAsia="zh-CN"/>
        </w:rPr>
        <w:t>3mm</w:t>
      </w:r>
      <w:r>
        <w:rPr>
          <w:rFonts w:hint="eastAsia" w:cs="宋体"/>
          <w:color w:val="auto"/>
          <w:sz w:val="28"/>
          <w:szCs w:val="28"/>
          <w:highlight w:val="none"/>
          <w:lang w:eastAsia="zh-CN"/>
        </w:rPr>
        <w:t>，阴阳角方正允许偏差为3</w:t>
      </w:r>
      <w:r>
        <w:rPr>
          <w:rFonts w:cs="宋体"/>
          <w:color w:val="auto"/>
          <w:sz w:val="28"/>
          <w:szCs w:val="28"/>
          <w:highlight w:val="none"/>
          <w:lang w:eastAsia="zh-CN"/>
        </w:rPr>
        <w:t>mm</w:t>
      </w:r>
      <w:r>
        <w:rPr>
          <w:rFonts w:hint="eastAsia" w:cs="宋体"/>
          <w:color w:val="auto"/>
          <w:sz w:val="28"/>
          <w:szCs w:val="28"/>
          <w:highlight w:val="none"/>
          <w:lang w:eastAsia="zh-CN"/>
        </w:rPr>
        <w:t>。</w:t>
      </w:r>
    </w:p>
    <w:p w14:paraId="5A4FD60C">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14:paraId="78A4EB07">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089C354">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14</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外墙饰面板（砖）立面垂直度、表面平整度、阴阳角方正作了</w:t>
      </w:r>
      <w:r>
        <w:rPr>
          <w:rFonts w:cs="宋体"/>
          <w:color w:val="auto"/>
          <w:sz w:val="28"/>
          <w:szCs w:val="28"/>
          <w:highlight w:val="none"/>
          <w:shd w:val="pct10" w:color="auto" w:fill="FFFFFF"/>
          <w:lang w:eastAsia="zh-CN"/>
        </w:rPr>
        <w:t>规定。</w:t>
      </w:r>
    </w:p>
    <w:p w14:paraId="5BE40176">
      <w:pPr>
        <w:pStyle w:val="3"/>
        <w:spacing w:before="240" w:after="240"/>
        <w:rPr>
          <w:rStyle w:val="43"/>
          <w:rFonts w:ascii="仿宋" w:hAnsi="仿宋" w:cs="宋体"/>
          <w:b/>
          <w:bCs w:val="0"/>
          <w:color w:val="auto"/>
          <w:highlight w:val="none"/>
        </w:rPr>
      </w:pPr>
      <w:bookmarkStart w:id="141" w:name="_Toc81541036"/>
      <w:bookmarkStart w:id="142" w:name="_Toc16813"/>
      <w:bookmarkStart w:id="143" w:name="_Toc133572717"/>
      <w:bookmarkStart w:id="144" w:name="_Toc80365729"/>
      <w:bookmarkStart w:id="145" w:name="_Toc17592"/>
      <w:bookmarkStart w:id="146" w:name="_Toc17288"/>
      <w:bookmarkStart w:id="147" w:name="_Toc7263"/>
      <w:bookmarkStart w:id="148" w:name="_Toc31086"/>
      <w:bookmarkStart w:id="149" w:name="_Toc15144"/>
      <w:bookmarkStart w:id="150" w:name="_Toc14754"/>
      <w:bookmarkStart w:id="151" w:name="_Toc10219"/>
      <w:bookmarkStart w:id="152" w:name="_Toc79056260"/>
      <w:r>
        <w:rPr>
          <w:rStyle w:val="43"/>
          <w:rFonts w:hint="eastAsia" w:ascii="仿宋" w:hAnsi="仿宋" w:cs="宋体"/>
          <w:b/>
          <w:bCs w:val="0"/>
          <w:color w:val="auto"/>
          <w:highlight w:val="none"/>
        </w:rPr>
        <w:t>5.3</w:t>
      </w:r>
      <w:r>
        <w:rPr>
          <w:rStyle w:val="43"/>
          <w:rFonts w:ascii="仿宋" w:hAnsi="仿宋" w:cs="宋体"/>
          <w:b/>
          <w:bCs w:val="0"/>
          <w:color w:val="auto"/>
          <w:highlight w:val="none"/>
        </w:rPr>
        <w:t xml:space="preserve"> 室内顶棚</w:t>
      </w:r>
      <w:bookmarkEnd w:id="141"/>
      <w:bookmarkEnd w:id="142"/>
      <w:bookmarkEnd w:id="143"/>
      <w:bookmarkEnd w:id="144"/>
      <w:bookmarkEnd w:id="145"/>
      <w:bookmarkEnd w:id="146"/>
      <w:bookmarkEnd w:id="147"/>
      <w:bookmarkEnd w:id="148"/>
      <w:bookmarkEnd w:id="149"/>
      <w:bookmarkEnd w:id="150"/>
    </w:p>
    <w:p w14:paraId="1482662F">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 xml:space="preserve">.1 </w:t>
      </w:r>
      <w:r>
        <w:rPr>
          <w:rFonts w:hint="eastAsia" w:cs="宋体"/>
          <w:color w:val="auto"/>
          <w:sz w:val="28"/>
          <w:szCs w:val="28"/>
          <w:highlight w:val="none"/>
          <w:lang w:eastAsia="zh-CN"/>
        </w:rPr>
        <w:t>顶棚的抹灰层与基层之间及各抹灰层之间应粘结牢固。</w:t>
      </w:r>
    </w:p>
    <w:p w14:paraId="569859F0">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10448C7F">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3946EA5">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抹灰顶棚</w:t>
      </w:r>
      <w:r>
        <w:rPr>
          <w:rFonts w:cs="宋体"/>
          <w:color w:val="auto"/>
          <w:sz w:val="28"/>
          <w:szCs w:val="28"/>
          <w:highlight w:val="none"/>
          <w:shd w:val="pct10" w:color="auto" w:fill="FFFFFF"/>
          <w:lang w:eastAsia="zh-CN"/>
        </w:rPr>
        <w:t>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084D5580">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2 顶棚抹灰表面应光滑、洁净，面层应无爆灰和裂缝。</w:t>
      </w:r>
    </w:p>
    <w:p w14:paraId="39F2D20F">
      <w:pPr>
        <w:pStyle w:val="46"/>
        <w:spacing w:line="360" w:lineRule="auto"/>
        <w:rPr>
          <w:rFonts w:ascii="宋体" w:hAnsi="宋体" w:cs="宋体"/>
          <w:color w:val="auto"/>
          <w:highlight w:val="none"/>
        </w:rPr>
      </w:pPr>
      <w:r>
        <w:rPr>
          <w:rFonts w:ascii="宋体" w:hAnsi="宋体" w:cs="宋体"/>
          <w:color w:val="auto"/>
          <w:highlight w:val="none"/>
        </w:rPr>
        <w:t>检验方法：观察检查</w:t>
      </w:r>
      <w:r>
        <w:rPr>
          <w:rFonts w:hint="eastAsia" w:ascii="宋体" w:hAnsi="宋体" w:cs="宋体"/>
          <w:color w:val="auto"/>
          <w:highlight w:val="none"/>
        </w:rPr>
        <w:t>；</w:t>
      </w:r>
      <w:r>
        <w:rPr>
          <w:rFonts w:ascii="宋体" w:hAnsi="宋体" w:cs="宋体"/>
          <w:color w:val="auto"/>
          <w:highlight w:val="none"/>
        </w:rPr>
        <w:t>手摸检查。</w:t>
      </w:r>
    </w:p>
    <w:p w14:paraId="5D98BB1A">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9D115EB">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2</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抹灰顶棚</w:t>
      </w:r>
      <w:r>
        <w:rPr>
          <w:rFonts w:cs="宋体"/>
          <w:color w:val="auto"/>
          <w:sz w:val="28"/>
          <w:szCs w:val="28"/>
          <w:highlight w:val="none"/>
          <w:shd w:val="pct10" w:color="auto" w:fill="FFFFFF"/>
          <w:lang w:eastAsia="zh-CN"/>
        </w:rPr>
        <w:t>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426EC405">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3</w:t>
      </w:r>
      <w:r>
        <w:rPr>
          <w:rFonts w:cs="宋体"/>
          <w:color w:val="auto"/>
          <w:sz w:val="28"/>
          <w:szCs w:val="28"/>
          <w:highlight w:val="none"/>
          <w:lang w:eastAsia="zh-CN"/>
        </w:rPr>
        <w:t xml:space="preserve"> </w:t>
      </w:r>
      <w:r>
        <w:rPr>
          <w:rFonts w:hint="eastAsia" w:cs="宋体"/>
          <w:color w:val="auto"/>
          <w:sz w:val="28"/>
          <w:szCs w:val="28"/>
          <w:highlight w:val="none"/>
          <w:lang w:eastAsia="zh-CN"/>
        </w:rPr>
        <w:t>吊顶面层材料表面应洁净、色泽一致，不得有翘曲、裂缝及缺损。</w:t>
      </w:r>
    </w:p>
    <w:p w14:paraId="6CC5B38C">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1FB64307">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197E95FF">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3</w:t>
      </w:r>
      <w:r>
        <w:rPr>
          <w:rFonts w:cs="宋体"/>
          <w:color w:val="auto"/>
          <w:sz w:val="28"/>
          <w:szCs w:val="28"/>
          <w:highlight w:val="none"/>
          <w:shd w:val="pct10" w:color="auto" w:fill="FFFFFF"/>
          <w:lang w:eastAsia="zh-CN"/>
        </w:rPr>
        <w:t xml:space="preserve"> 本条对吊顶的外观质量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2AC251A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4</w:t>
      </w:r>
      <w:r>
        <w:rPr>
          <w:rFonts w:cs="宋体"/>
          <w:color w:val="auto"/>
          <w:sz w:val="28"/>
          <w:szCs w:val="28"/>
          <w:highlight w:val="none"/>
          <w:lang w:eastAsia="zh-CN"/>
        </w:rPr>
        <w:t xml:space="preserve"> </w:t>
      </w:r>
      <w:r>
        <w:rPr>
          <w:rFonts w:hint="eastAsia" w:cs="宋体"/>
          <w:color w:val="auto"/>
          <w:sz w:val="28"/>
          <w:szCs w:val="28"/>
          <w:highlight w:val="none"/>
          <w:lang w:eastAsia="zh-CN"/>
        </w:rPr>
        <w:t>吊顶</w:t>
      </w:r>
      <w:r>
        <w:rPr>
          <w:rFonts w:cs="宋体"/>
          <w:color w:val="auto"/>
          <w:sz w:val="28"/>
          <w:szCs w:val="28"/>
          <w:highlight w:val="none"/>
          <w:lang w:eastAsia="zh-CN"/>
        </w:rPr>
        <w:t>需要按照设计要求</w:t>
      </w:r>
      <w:r>
        <w:rPr>
          <w:rFonts w:hint="eastAsia" w:cs="宋体"/>
          <w:color w:val="auto"/>
          <w:sz w:val="28"/>
          <w:szCs w:val="28"/>
          <w:highlight w:val="none"/>
          <w:lang w:eastAsia="zh-CN"/>
        </w:rPr>
        <w:t>以及</w:t>
      </w:r>
      <w:r>
        <w:rPr>
          <w:rFonts w:cs="宋体"/>
          <w:color w:val="auto"/>
          <w:sz w:val="28"/>
          <w:szCs w:val="28"/>
          <w:highlight w:val="none"/>
          <w:lang w:eastAsia="zh-CN"/>
        </w:rPr>
        <w:t>使用功能预留检修口和上人孔。</w:t>
      </w:r>
    </w:p>
    <w:p w14:paraId="600FE660">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1F916371">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16C0BBF8">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4</w:t>
      </w:r>
      <w:r>
        <w:rPr>
          <w:rFonts w:cs="宋体"/>
          <w:color w:val="auto"/>
          <w:sz w:val="28"/>
          <w:szCs w:val="28"/>
          <w:highlight w:val="none"/>
          <w:shd w:val="pct10" w:color="auto" w:fill="FFFFFF"/>
          <w:lang w:eastAsia="zh-CN"/>
        </w:rPr>
        <w:t xml:space="preserve"> 本条对吊顶的预留设置和设备安装</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5ADEA62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吊顶表面平整度、接缝</w:t>
      </w:r>
      <w:r>
        <w:rPr>
          <w:rFonts w:cs="宋体"/>
          <w:color w:val="auto"/>
          <w:sz w:val="28"/>
          <w:szCs w:val="28"/>
          <w:highlight w:val="none"/>
          <w:lang w:eastAsia="zh-CN"/>
        </w:rPr>
        <w:t>直线度</w:t>
      </w:r>
      <w:r>
        <w:rPr>
          <w:rFonts w:hint="eastAsia" w:cs="宋体"/>
          <w:color w:val="auto"/>
          <w:sz w:val="28"/>
          <w:szCs w:val="28"/>
          <w:highlight w:val="none"/>
          <w:lang w:eastAsia="zh-CN"/>
        </w:rPr>
        <w:t>、</w:t>
      </w:r>
      <w:r>
        <w:rPr>
          <w:rFonts w:cs="宋体"/>
          <w:color w:val="auto"/>
          <w:sz w:val="28"/>
          <w:szCs w:val="28"/>
          <w:highlight w:val="none"/>
          <w:lang w:eastAsia="zh-CN"/>
        </w:rPr>
        <w:t>接缝高低差</w:t>
      </w:r>
      <w:r>
        <w:rPr>
          <w:rFonts w:hint="eastAsia" w:cs="宋体"/>
          <w:color w:val="auto"/>
          <w:sz w:val="28"/>
          <w:szCs w:val="28"/>
          <w:highlight w:val="none"/>
          <w:lang w:eastAsia="zh-CN"/>
        </w:rPr>
        <w:t>应符合</w:t>
      </w:r>
      <w:r>
        <w:rPr>
          <w:rFonts w:cs="宋体"/>
          <w:color w:val="auto"/>
          <w:sz w:val="28"/>
          <w:szCs w:val="28"/>
          <w:highlight w:val="none"/>
          <w:lang w:eastAsia="zh-CN"/>
        </w:rPr>
        <w:t>现行</w:t>
      </w:r>
      <w:r>
        <w:rPr>
          <w:rFonts w:hint="eastAsia" w:cs="宋体"/>
          <w:color w:val="auto"/>
          <w:sz w:val="28"/>
          <w:szCs w:val="28"/>
          <w:highlight w:val="none"/>
          <w:lang w:eastAsia="zh-CN"/>
        </w:rPr>
        <w:t>国家</w:t>
      </w:r>
      <w:r>
        <w:rPr>
          <w:rFonts w:cs="宋体"/>
          <w:color w:val="auto"/>
          <w:sz w:val="28"/>
          <w:szCs w:val="28"/>
          <w:highlight w:val="none"/>
          <w:lang w:eastAsia="zh-CN"/>
        </w:rPr>
        <w:t>标准</w:t>
      </w:r>
      <w:r>
        <w:rPr>
          <w:rFonts w:hint="eastAsia" w:cs="宋体"/>
          <w:color w:val="auto"/>
          <w:sz w:val="28"/>
          <w:szCs w:val="28"/>
          <w:highlight w:val="none"/>
          <w:lang w:eastAsia="zh-CN"/>
        </w:rPr>
        <w:t>《建筑装饰装修工程质量验收标准》GB</w:t>
      </w:r>
      <w:r>
        <w:rPr>
          <w:rFonts w:cs="宋体"/>
          <w:color w:val="auto"/>
          <w:sz w:val="28"/>
          <w:szCs w:val="28"/>
          <w:highlight w:val="none"/>
          <w:lang w:eastAsia="zh-CN"/>
        </w:rPr>
        <w:t xml:space="preserve"> </w:t>
      </w:r>
      <w:r>
        <w:rPr>
          <w:rFonts w:hint="eastAsia" w:cs="宋体"/>
          <w:color w:val="auto"/>
          <w:sz w:val="28"/>
          <w:szCs w:val="28"/>
          <w:highlight w:val="none"/>
          <w:lang w:eastAsia="zh-CN"/>
        </w:rPr>
        <w:t>50210的</w:t>
      </w:r>
      <w:r>
        <w:rPr>
          <w:rFonts w:cs="宋体"/>
          <w:color w:val="auto"/>
          <w:sz w:val="28"/>
          <w:szCs w:val="28"/>
          <w:highlight w:val="none"/>
          <w:lang w:eastAsia="zh-CN"/>
        </w:rPr>
        <w:t>相关规定</w:t>
      </w:r>
      <w:r>
        <w:rPr>
          <w:rFonts w:hint="eastAsia" w:cs="宋体"/>
          <w:color w:val="auto"/>
          <w:sz w:val="28"/>
          <w:szCs w:val="28"/>
          <w:highlight w:val="none"/>
          <w:lang w:eastAsia="zh-CN"/>
        </w:rPr>
        <w:t>。</w:t>
      </w:r>
    </w:p>
    <w:p w14:paraId="654EC7DF">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表面平整度采用</w:t>
      </w:r>
      <w:r>
        <w:rPr>
          <w:rFonts w:ascii="宋体" w:hAnsi="宋体" w:cs="宋体"/>
          <w:color w:val="auto"/>
          <w:highlight w:val="none"/>
        </w:rPr>
        <w:t>2m</w:t>
      </w:r>
      <w:r>
        <w:rPr>
          <w:rFonts w:hint="eastAsia" w:ascii="宋体" w:hAnsi="宋体" w:cs="宋体"/>
          <w:color w:val="auto"/>
          <w:highlight w:val="none"/>
        </w:rPr>
        <w:t>靠尺和塞尺检查，接缝直线度</w:t>
      </w:r>
      <w:r>
        <w:rPr>
          <w:rFonts w:ascii="宋体" w:hAnsi="宋体" w:cs="宋体"/>
          <w:color w:val="auto"/>
          <w:highlight w:val="none"/>
        </w:rPr>
        <w:t>检验方法为拉</w:t>
      </w:r>
      <w:r>
        <w:rPr>
          <w:rFonts w:hint="eastAsia" w:ascii="宋体" w:hAnsi="宋体" w:cs="宋体"/>
          <w:color w:val="auto"/>
          <w:highlight w:val="none"/>
        </w:rPr>
        <w:t>5</w:t>
      </w:r>
      <w:r>
        <w:rPr>
          <w:rFonts w:ascii="宋体" w:hAnsi="宋体" w:cs="宋体"/>
          <w:color w:val="auto"/>
          <w:highlight w:val="none"/>
        </w:rPr>
        <w:t>m线，不足</w:t>
      </w:r>
      <w:r>
        <w:rPr>
          <w:rFonts w:hint="eastAsia" w:ascii="宋体" w:hAnsi="宋体" w:cs="宋体"/>
          <w:color w:val="auto"/>
          <w:highlight w:val="none"/>
        </w:rPr>
        <w:t>5</w:t>
      </w:r>
      <w:r>
        <w:rPr>
          <w:rFonts w:ascii="宋体" w:hAnsi="宋体" w:cs="宋体"/>
          <w:color w:val="auto"/>
          <w:highlight w:val="none"/>
        </w:rPr>
        <w:t>m拉通线</w:t>
      </w:r>
      <w:r>
        <w:rPr>
          <w:rFonts w:hint="eastAsia" w:ascii="宋体" w:hAnsi="宋体" w:cs="宋体"/>
          <w:color w:val="auto"/>
          <w:highlight w:val="none"/>
        </w:rPr>
        <w:t>，</w:t>
      </w:r>
      <w:r>
        <w:rPr>
          <w:rFonts w:ascii="宋体" w:hAnsi="宋体" w:cs="宋体"/>
          <w:color w:val="auto"/>
          <w:highlight w:val="none"/>
        </w:rPr>
        <w:t>接缝高低差用钢直尺和塞尺检查</w:t>
      </w:r>
      <w:r>
        <w:rPr>
          <w:rFonts w:hint="eastAsia" w:ascii="宋体" w:hAnsi="宋体" w:cs="宋体"/>
          <w:color w:val="auto"/>
          <w:highlight w:val="none"/>
        </w:rPr>
        <w:t>，或采用三维激光扫描仪检查。</w:t>
      </w:r>
    </w:p>
    <w:p w14:paraId="487BF38E">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6F7B40D0">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5</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对吊顶表面</w:t>
      </w:r>
      <w:r>
        <w:rPr>
          <w:rFonts w:cs="宋体"/>
          <w:color w:val="auto"/>
          <w:sz w:val="28"/>
          <w:szCs w:val="28"/>
          <w:highlight w:val="none"/>
          <w:shd w:val="pct10" w:color="auto" w:fill="FFFFFF"/>
          <w:lang w:eastAsia="zh-CN"/>
        </w:rPr>
        <w:t>平整度、接缝直线度、接缝高低差</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bookmarkEnd w:id="151"/>
      <w:bookmarkEnd w:id="152"/>
      <w:r>
        <w:rPr>
          <w:rFonts w:cs="宋体"/>
          <w:color w:val="auto"/>
          <w:sz w:val="28"/>
          <w:szCs w:val="28"/>
          <w:highlight w:val="none"/>
          <w:shd w:val="pct10" w:color="auto" w:fill="FFFFFF"/>
          <w:lang w:eastAsia="zh-CN"/>
        </w:rPr>
        <w:br w:type="page"/>
      </w:r>
    </w:p>
    <w:p w14:paraId="71D742F3">
      <w:pPr>
        <w:pStyle w:val="2"/>
        <w:spacing w:before="240" w:after="240"/>
        <w:rPr>
          <w:rFonts w:ascii="宋体" w:hAnsi="宋体" w:eastAsia="宋体" w:cs="宋体"/>
          <w:color w:val="auto"/>
          <w:highlight w:val="none"/>
        </w:rPr>
      </w:pPr>
      <w:bookmarkStart w:id="153" w:name="_Toc28897"/>
      <w:bookmarkStart w:id="154" w:name="_Toc133572718"/>
      <w:bookmarkStart w:id="155" w:name="_Toc5054"/>
      <w:bookmarkStart w:id="156" w:name="_Toc28268"/>
      <w:bookmarkStart w:id="157" w:name="_Toc12318"/>
      <w:bookmarkStart w:id="158" w:name="_Toc6603"/>
      <w:bookmarkStart w:id="159" w:name="_Toc31294"/>
      <w:r>
        <w:rPr>
          <w:rFonts w:ascii="宋体" w:hAnsi="宋体" w:eastAsia="宋体" w:cs="宋体"/>
          <w:color w:val="auto"/>
          <w:highlight w:val="none"/>
        </w:rPr>
        <w:t xml:space="preserve">6 </w:t>
      </w:r>
      <w:r>
        <w:rPr>
          <w:rFonts w:hint="eastAsia" w:ascii="宋体" w:hAnsi="宋体" w:eastAsia="宋体" w:cs="宋体"/>
          <w:color w:val="auto"/>
          <w:highlight w:val="none"/>
        </w:rPr>
        <w:t>门窗</w:t>
      </w:r>
      <w:bookmarkEnd w:id="153"/>
      <w:bookmarkEnd w:id="154"/>
      <w:bookmarkEnd w:id="155"/>
      <w:bookmarkEnd w:id="156"/>
      <w:bookmarkEnd w:id="157"/>
      <w:bookmarkEnd w:id="158"/>
      <w:bookmarkEnd w:id="159"/>
    </w:p>
    <w:p w14:paraId="0D37158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6.0.1 门窗的品种、类型、规格、开启方式应符合设计要求。门窗表面应</w:t>
      </w:r>
      <w:r>
        <w:rPr>
          <w:rFonts w:hint="eastAsia" w:cs="宋体"/>
          <w:color w:val="auto"/>
          <w:sz w:val="28"/>
          <w:szCs w:val="28"/>
          <w:highlight w:val="none"/>
          <w:lang w:eastAsia="zh-CN"/>
        </w:rPr>
        <w:t>清洁无污迹</w:t>
      </w:r>
      <w:r>
        <w:rPr>
          <w:rFonts w:cs="宋体"/>
          <w:color w:val="auto"/>
          <w:sz w:val="28"/>
          <w:szCs w:val="28"/>
          <w:highlight w:val="none"/>
          <w:lang w:eastAsia="zh-CN"/>
        </w:rPr>
        <w:t>、无划痕、</w:t>
      </w:r>
      <w:r>
        <w:rPr>
          <w:rFonts w:hint="eastAsia" w:cs="宋体"/>
          <w:color w:val="auto"/>
          <w:sz w:val="28"/>
          <w:szCs w:val="28"/>
          <w:highlight w:val="none"/>
          <w:lang w:eastAsia="zh-CN"/>
        </w:rPr>
        <w:t>损伤</w:t>
      </w:r>
      <w:r>
        <w:rPr>
          <w:rFonts w:cs="宋体"/>
          <w:color w:val="auto"/>
          <w:sz w:val="28"/>
          <w:szCs w:val="28"/>
          <w:highlight w:val="none"/>
          <w:lang w:eastAsia="zh-CN"/>
        </w:rPr>
        <w:t>等缺陷。门窗导槽内应清洁</w:t>
      </w:r>
      <w:r>
        <w:rPr>
          <w:rFonts w:hint="eastAsia" w:cs="宋体"/>
          <w:color w:val="auto"/>
          <w:sz w:val="28"/>
          <w:szCs w:val="28"/>
          <w:highlight w:val="none"/>
          <w:lang w:eastAsia="zh-CN"/>
        </w:rPr>
        <w:t>无杂物</w:t>
      </w:r>
      <w:r>
        <w:rPr>
          <w:rFonts w:cs="宋体"/>
          <w:color w:val="auto"/>
          <w:sz w:val="28"/>
          <w:szCs w:val="28"/>
          <w:highlight w:val="none"/>
          <w:lang w:eastAsia="zh-CN"/>
        </w:rPr>
        <w:t>。</w:t>
      </w:r>
    </w:p>
    <w:p w14:paraId="3AD44416">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3669144F">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4F990369">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【条文说明】6.0.1 本条强调按照设计进行施工同时对门窗的观感质量作了规定。</w:t>
      </w:r>
    </w:p>
    <w:p w14:paraId="7EBD9D1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6.0.2 门窗框和门窗扇应安装牢固</w:t>
      </w:r>
      <w:r>
        <w:rPr>
          <w:rFonts w:hint="eastAsia" w:cs="宋体"/>
          <w:color w:val="auto"/>
          <w:sz w:val="28"/>
          <w:szCs w:val="28"/>
          <w:highlight w:val="none"/>
          <w:lang w:eastAsia="zh-CN"/>
        </w:rPr>
        <w:t>，窗扇开启角度符合设计要求</w:t>
      </w:r>
      <w:r>
        <w:rPr>
          <w:rFonts w:cs="宋体"/>
          <w:color w:val="auto"/>
          <w:sz w:val="28"/>
          <w:szCs w:val="28"/>
          <w:highlight w:val="none"/>
          <w:lang w:eastAsia="zh-CN"/>
        </w:rPr>
        <w:t>。门窗扇应开关灵活，关闭严密，无阻滞感，无倒翘。</w:t>
      </w:r>
    </w:p>
    <w:p w14:paraId="6DC18EFF">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；尺量检查；开启和关闭检查；手扳检查。</w:t>
      </w:r>
    </w:p>
    <w:p w14:paraId="353DE1CD">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08B22870">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【条文说明】6.0.2 本条对门窗的使用功能作了规定。门窗框和门窗扇安装的牢固性，门窗扇开关的灵活性以及关闭严密等是门窗质量投诉的热点，分户质量检验时必须对全部门窗进行开关操作，确保无使用故障。验收小组对门窗开关力有怀疑时可委托检测单位按国家标准《门的启闭力试验方法》GB/T 29555、《窗的启闭力试验方法》GB/T 29048等进行门窗启闭力试验，试验结果应符合国家标准《建筑装饰装修工程质量验收标准》GB 50210的要求。</w:t>
      </w:r>
    </w:p>
    <w:p w14:paraId="398E3ED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6.0.3 窗扇的密封条应平整、完好，不得脱槽，交角处应平顺。</w:t>
      </w:r>
      <w:r>
        <w:rPr>
          <w:rFonts w:hint="eastAsia" w:cs="宋体"/>
          <w:color w:val="auto"/>
          <w:sz w:val="28"/>
          <w:szCs w:val="28"/>
          <w:highlight w:val="none"/>
          <w:lang w:eastAsia="zh-CN"/>
        </w:rPr>
        <w:t>铝合金门窗的橡胶密封条应在转角处断开并用密封胶在转角处固定。</w:t>
      </w:r>
    </w:p>
    <w:p w14:paraId="3AEC9044">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lang w:val="en-US" w:eastAsia="zh-CN"/>
        </w:rPr>
        <w:t>检查</w:t>
      </w:r>
      <w:r>
        <w:rPr>
          <w:rFonts w:ascii="宋体" w:hAnsi="宋体" w:cs="宋体"/>
          <w:color w:val="auto"/>
          <w:highlight w:val="none"/>
        </w:rPr>
        <w:t>；开启和关闭检查。</w:t>
      </w:r>
    </w:p>
    <w:p w14:paraId="248556EF">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79ED6B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6.0.4 </w:t>
      </w:r>
      <w:r>
        <w:rPr>
          <w:rFonts w:hint="eastAsia" w:cs="宋体"/>
          <w:color w:val="auto"/>
          <w:sz w:val="28"/>
          <w:szCs w:val="28"/>
          <w:highlight w:val="none"/>
          <w:lang w:eastAsia="zh-CN"/>
        </w:rPr>
        <w:t>门</w:t>
      </w:r>
      <w:r>
        <w:rPr>
          <w:rFonts w:cs="宋体"/>
          <w:color w:val="auto"/>
          <w:sz w:val="28"/>
          <w:szCs w:val="28"/>
          <w:highlight w:val="none"/>
          <w:lang w:eastAsia="zh-CN"/>
        </w:rPr>
        <w:t>窗框与</w:t>
      </w:r>
      <w:r>
        <w:rPr>
          <w:rFonts w:hint="eastAsia" w:cs="宋体"/>
          <w:color w:val="auto"/>
          <w:sz w:val="28"/>
          <w:szCs w:val="28"/>
          <w:highlight w:val="none"/>
          <w:lang w:eastAsia="zh-CN"/>
        </w:rPr>
        <w:t>墙</w:t>
      </w:r>
      <w:r>
        <w:rPr>
          <w:rFonts w:cs="宋体"/>
          <w:color w:val="auto"/>
          <w:sz w:val="28"/>
          <w:szCs w:val="28"/>
          <w:highlight w:val="none"/>
          <w:lang w:eastAsia="zh-CN"/>
        </w:rPr>
        <w:t>体之</w:t>
      </w:r>
      <w:r>
        <w:rPr>
          <w:rFonts w:hint="eastAsia" w:cs="宋体"/>
          <w:color w:val="auto"/>
          <w:sz w:val="28"/>
          <w:szCs w:val="28"/>
          <w:highlight w:val="none"/>
          <w:lang w:eastAsia="zh-CN"/>
        </w:rPr>
        <w:t>间</w:t>
      </w:r>
      <w:r>
        <w:rPr>
          <w:rFonts w:cs="宋体"/>
          <w:color w:val="auto"/>
          <w:sz w:val="28"/>
          <w:szCs w:val="28"/>
          <w:highlight w:val="none"/>
          <w:lang w:eastAsia="zh-CN"/>
        </w:rPr>
        <w:t>的</w:t>
      </w:r>
      <w:r>
        <w:rPr>
          <w:rFonts w:hint="eastAsia" w:cs="宋体"/>
          <w:color w:val="auto"/>
          <w:sz w:val="28"/>
          <w:szCs w:val="28"/>
          <w:highlight w:val="none"/>
          <w:lang w:eastAsia="zh-CN"/>
        </w:rPr>
        <w:t>缝</w:t>
      </w:r>
      <w:r>
        <w:rPr>
          <w:rFonts w:cs="宋体"/>
          <w:color w:val="auto"/>
          <w:sz w:val="28"/>
          <w:szCs w:val="28"/>
          <w:highlight w:val="none"/>
          <w:lang w:eastAsia="zh-CN"/>
        </w:rPr>
        <w:t>隙</w:t>
      </w:r>
      <w:r>
        <w:rPr>
          <w:rFonts w:hint="eastAsia" w:cs="宋体"/>
          <w:color w:val="auto"/>
          <w:sz w:val="28"/>
          <w:szCs w:val="28"/>
          <w:highlight w:val="none"/>
          <w:lang w:eastAsia="zh-CN"/>
        </w:rPr>
        <w:t>应</w:t>
      </w:r>
      <w:r>
        <w:rPr>
          <w:rFonts w:cs="宋体"/>
          <w:color w:val="auto"/>
          <w:sz w:val="28"/>
          <w:szCs w:val="28"/>
          <w:highlight w:val="none"/>
          <w:lang w:eastAsia="zh-CN"/>
        </w:rPr>
        <w:t>填嵌</w:t>
      </w:r>
      <w:r>
        <w:rPr>
          <w:rFonts w:hint="eastAsia" w:cs="宋体"/>
          <w:color w:val="auto"/>
          <w:sz w:val="28"/>
          <w:szCs w:val="28"/>
          <w:highlight w:val="none"/>
          <w:lang w:eastAsia="zh-CN"/>
        </w:rPr>
        <w:t>饱满</w:t>
      </w:r>
      <w:r>
        <w:rPr>
          <w:rFonts w:cs="宋体"/>
          <w:color w:val="auto"/>
          <w:sz w:val="28"/>
          <w:szCs w:val="28"/>
          <w:highlight w:val="none"/>
          <w:lang w:eastAsia="zh-CN"/>
        </w:rPr>
        <w:t>并</w:t>
      </w:r>
      <w:r>
        <w:rPr>
          <w:rFonts w:hint="eastAsia" w:cs="宋体"/>
          <w:color w:val="auto"/>
          <w:sz w:val="28"/>
          <w:szCs w:val="28"/>
          <w:highlight w:val="none"/>
          <w:lang w:eastAsia="zh-CN"/>
        </w:rPr>
        <w:t>应</w:t>
      </w:r>
      <w:r>
        <w:rPr>
          <w:rFonts w:cs="宋体"/>
          <w:color w:val="auto"/>
          <w:sz w:val="28"/>
          <w:szCs w:val="28"/>
          <w:highlight w:val="none"/>
          <w:lang w:eastAsia="zh-CN"/>
        </w:rPr>
        <w:t>采用密</w:t>
      </w:r>
      <w:r>
        <w:rPr>
          <w:rFonts w:hint="eastAsia" w:cs="宋体"/>
          <w:color w:val="auto"/>
          <w:sz w:val="28"/>
          <w:szCs w:val="28"/>
          <w:highlight w:val="none"/>
          <w:lang w:eastAsia="zh-CN"/>
        </w:rPr>
        <w:t>封胶密封。密封胶表面应</w:t>
      </w:r>
      <w:r>
        <w:rPr>
          <w:rFonts w:cs="宋体"/>
          <w:color w:val="auto"/>
          <w:sz w:val="28"/>
          <w:szCs w:val="28"/>
          <w:highlight w:val="none"/>
          <w:lang w:eastAsia="zh-CN"/>
        </w:rPr>
        <w:t>光滑、</w:t>
      </w:r>
      <w:r>
        <w:rPr>
          <w:rFonts w:hint="eastAsia" w:cs="宋体"/>
          <w:color w:val="auto"/>
          <w:sz w:val="28"/>
          <w:szCs w:val="28"/>
          <w:highlight w:val="none"/>
          <w:lang w:eastAsia="zh-CN"/>
        </w:rPr>
        <w:t>顺直、无裂纹。</w:t>
      </w:r>
    </w:p>
    <w:p w14:paraId="5117A574">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34AA89C4">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5C6A7316">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val="en-US" w:eastAsia="zh-CN"/>
        </w:rPr>
        <w:t>6.0.4</w:t>
      </w:r>
      <w:r>
        <w:rPr>
          <w:rFonts w:hint="eastAsia" w:cs="宋体"/>
          <w:color w:val="auto"/>
          <w:sz w:val="28"/>
          <w:szCs w:val="28"/>
          <w:highlight w:val="none"/>
          <w:shd w:val="pct10" w:color="auto" w:fill="FFFFFF"/>
          <w:lang w:eastAsia="zh-CN"/>
        </w:rPr>
        <w:t>窗框周边已成住宅工程渗漏最凸出的部位，其主要原因是窗框周边塞缝不密实及塞缝材料的防渗性能不符合要求。</w:t>
      </w:r>
    </w:p>
    <w:p w14:paraId="0B87745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6.0.5 门窗配件的规格、数量应符合设计要求，安装应牢固，位置应正确，功能应满足使用要求。推拉门窗扇必须有防脱落措施。</w:t>
      </w:r>
    </w:p>
    <w:p w14:paraId="23E98299">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；开关检查；手扳检查。</w:t>
      </w:r>
    </w:p>
    <w:p w14:paraId="4F333192">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4F36927">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【条文说明】6.0.5 门窗配件必须配套，质量可靠。门窗配件包括门窗启闭的合页、销、扳手等，还包括金属门窗、塑钢门窗采用的限位</w:t>
      </w:r>
      <w:r>
        <w:rPr>
          <w:rFonts w:hint="eastAsia" w:cs="宋体"/>
          <w:color w:val="auto"/>
          <w:sz w:val="28"/>
          <w:szCs w:val="28"/>
          <w:highlight w:val="none"/>
          <w:shd w:val="pct10" w:color="auto" w:fill="FFFFFF"/>
          <w:lang w:eastAsia="zh-CN"/>
        </w:rPr>
        <w:t>块</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限位器、</w:t>
      </w:r>
      <w:r>
        <w:rPr>
          <w:rFonts w:cs="宋体"/>
          <w:color w:val="auto"/>
          <w:sz w:val="28"/>
          <w:szCs w:val="28"/>
          <w:highlight w:val="none"/>
          <w:shd w:val="pct10" w:color="auto" w:fill="FFFFFF"/>
          <w:lang w:eastAsia="zh-CN"/>
        </w:rPr>
        <w:t>缓冲器等，其直接影响到门窗的安全和使用功能，门窗验收时应全数检查。</w:t>
      </w:r>
    </w:p>
    <w:p w14:paraId="42AE1AF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6.0.6 门扇与侧框和下框（或地面）间留缝应基本均匀</w:t>
      </w:r>
      <w:r>
        <w:rPr>
          <w:rFonts w:hint="eastAsia" w:cs="宋体"/>
          <w:color w:val="auto"/>
          <w:sz w:val="28"/>
          <w:szCs w:val="28"/>
          <w:highlight w:val="none"/>
          <w:lang w:eastAsia="zh-CN"/>
        </w:rPr>
        <w:t>。设计无特殊要求时，</w:t>
      </w:r>
      <w:r>
        <w:rPr>
          <w:rFonts w:cs="宋体"/>
          <w:color w:val="auto"/>
          <w:sz w:val="28"/>
          <w:szCs w:val="28"/>
          <w:highlight w:val="none"/>
          <w:lang w:eastAsia="zh-CN"/>
        </w:rPr>
        <w:t>门扇与合页侧框间留缝限值为</w:t>
      </w:r>
      <w:r>
        <w:rPr>
          <w:rFonts w:hint="eastAsia" w:cs="宋体"/>
          <w:color w:val="auto"/>
          <w:sz w:val="28"/>
          <w:szCs w:val="28"/>
          <w:highlight w:val="none"/>
          <w:lang w:eastAsia="zh-CN"/>
        </w:rPr>
        <w:t>1</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3mm</w:t>
      </w:r>
      <w:r>
        <w:rPr>
          <w:rFonts w:hint="eastAsia" w:cs="宋体"/>
          <w:color w:val="auto"/>
          <w:sz w:val="28"/>
          <w:szCs w:val="28"/>
          <w:highlight w:val="none"/>
          <w:lang w:eastAsia="zh-CN"/>
        </w:rPr>
        <w:t>，</w:t>
      </w:r>
      <w:r>
        <w:rPr>
          <w:rFonts w:cs="宋体"/>
          <w:color w:val="auto"/>
          <w:sz w:val="28"/>
          <w:szCs w:val="28"/>
          <w:highlight w:val="none"/>
          <w:lang w:eastAsia="zh-CN"/>
        </w:rPr>
        <w:t>门扇与下框间留缝限值为</w:t>
      </w:r>
      <w:r>
        <w:rPr>
          <w:rFonts w:hint="eastAsia" w:cs="宋体"/>
          <w:color w:val="auto"/>
          <w:sz w:val="28"/>
          <w:szCs w:val="28"/>
          <w:highlight w:val="none"/>
          <w:lang w:eastAsia="zh-CN"/>
        </w:rPr>
        <w:t>3</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5mm</w:t>
      </w:r>
      <w:r>
        <w:rPr>
          <w:rFonts w:hint="eastAsia" w:cs="宋体"/>
          <w:color w:val="auto"/>
          <w:sz w:val="28"/>
          <w:szCs w:val="28"/>
          <w:highlight w:val="none"/>
          <w:lang w:eastAsia="zh-CN"/>
        </w:rPr>
        <w:t>。</w:t>
      </w:r>
      <w:r>
        <w:rPr>
          <w:rFonts w:cs="宋体"/>
          <w:color w:val="auto"/>
          <w:sz w:val="28"/>
          <w:szCs w:val="28"/>
          <w:highlight w:val="none"/>
          <w:lang w:eastAsia="zh-CN"/>
        </w:rPr>
        <w:t>无下框时</w:t>
      </w:r>
      <w:r>
        <w:rPr>
          <w:rFonts w:hint="eastAsia" w:cs="宋体"/>
          <w:color w:val="auto"/>
          <w:sz w:val="28"/>
          <w:szCs w:val="28"/>
          <w:highlight w:val="none"/>
          <w:lang w:eastAsia="zh-CN"/>
        </w:rPr>
        <w:t>，</w:t>
      </w:r>
      <w:r>
        <w:rPr>
          <w:rFonts w:cs="宋体"/>
          <w:color w:val="auto"/>
          <w:sz w:val="28"/>
          <w:szCs w:val="28"/>
          <w:highlight w:val="none"/>
          <w:lang w:eastAsia="zh-CN"/>
        </w:rPr>
        <w:t>门扇与地面间留缝限值</w:t>
      </w:r>
      <w:r>
        <w:rPr>
          <w:rFonts w:hint="eastAsia" w:cs="宋体"/>
          <w:color w:val="auto"/>
          <w:sz w:val="28"/>
          <w:szCs w:val="28"/>
          <w:highlight w:val="none"/>
          <w:lang w:eastAsia="zh-CN"/>
        </w:rPr>
        <w:t>，</w:t>
      </w:r>
      <w:r>
        <w:rPr>
          <w:rFonts w:cs="宋体"/>
          <w:color w:val="auto"/>
          <w:sz w:val="28"/>
          <w:szCs w:val="28"/>
          <w:highlight w:val="none"/>
          <w:lang w:eastAsia="zh-CN"/>
        </w:rPr>
        <w:t>室外门为</w:t>
      </w:r>
      <w:r>
        <w:rPr>
          <w:rFonts w:hint="eastAsia" w:cs="宋体"/>
          <w:color w:val="auto"/>
          <w:sz w:val="28"/>
          <w:szCs w:val="28"/>
          <w:highlight w:val="none"/>
          <w:lang w:eastAsia="zh-CN"/>
        </w:rPr>
        <w:t>4</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7mm</w:t>
      </w:r>
      <w:r>
        <w:rPr>
          <w:rFonts w:hint="eastAsia" w:cs="宋体"/>
          <w:color w:val="auto"/>
          <w:sz w:val="28"/>
          <w:szCs w:val="28"/>
          <w:highlight w:val="none"/>
          <w:lang w:eastAsia="zh-CN"/>
        </w:rPr>
        <w:t>，</w:t>
      </w:r>
      <w:r>
        <w:rPr>
          <w:rFonts w:cs="宋体"/>
          <w:color w:val="auto"/>
          <w:sz w:val="28"/>
          <w:szCs w:val="28"/>
          <w:highlight w:val="none"/>
          <w:lang w:eastAsia="zh-CN"/>
        </w:rPr>
        <w:t>室内门为</w:t>
      </w:r>
      <w:r>
        <w:rPr>
          <w:rFonts w:hint="eastAsia" w:cs="宋体"/>
          <w:color w:val="auto"/>
          <w:sz w:val="28"/>
          <w:szCs w:val="28"/>
          <w:highlight w:val="none"/>
          <w:lang w:eastAsia="zh-CN"/>
        </w:rPr>
        <w:t>4</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8mm</w:t>
      </w:r>
      <w:r>
        <w:rPr>
          <w:rFonts w:hint="eastAsia" w:cs="宋体"/>
          <w:color w:val="auto"/>
          <w:sz w:val="28"/>
          <w:szCs w:val="28"/>
          <w:highlight w:val="none"/>
          <w:lang w:eastAsia="zh-CN"/>
        </w:rPr>
        <w:t>。</w:t>
      </w:r>
    </w:p>
    <w:p w14:paraId="74857AA6">
      <w:pPr>
        <w:pStyle w:val="46"/>
        <w:spacing w:line="360" w:lineRule="auto"/>
        <w:rPr>
          <w:rFonts w:ascii="宋体" w:hAnsi="宋体" w:cs="宋体"/>
          <w:color w:val="auto"/>
          <w:highlight w:val="none"/>
        </w:rPr>
      </w:pPr>
      <w:r>
        <w:rPr>
          <w:rFonts w:ascii="宋体" w:hAnsi="宋体" w:cs="宋体"/>
          <w:color w:val="auto"/>
          <w:highlight w:val="none"/>
        </w:rPr>
        <w:t>检验方法：观察检查。留缝宽（高）度用楔形塞尺检测，每边中点附近抽测一点，均应符合标准要求。</w:t>
      </w:r>
    </w:p>
    <w:p w14:paraId="1A852FF4">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7CE02DB3">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【条文说明】6.0.6 当对留缝宽</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高</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均匀性有疑问时，应对每个留缝均匀测量3点，结果均符合要求即为留缝均匀。</w:t>
      </w:r>
    </w:p>
    <w:p w14:paraId="5C763FF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6.0.7 有排水孔的门窗，排水孔位置、数量，窗台流水坡向、滴水线（槽）设置应符合要求，排水孔应畅通。</w:t>
      </w:r>
    </w:p>
    <w:p w14:paraId="6B994BCD">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手摸检查</w:t>
      </w:r>
      <w:r>
        <w:rPr>
          <w:rFonts w:hint="eastAsia" w:ascii="宋体" w:hAnsi="宋体" w:cs="宋体"/>
          <w:color w:val="auto"/>
          <w:highlight w:val="none"/>
        </w:rPr>
        <w:t>；</w:t>
      </w:r>
      <w:r>
        <w:rPr>
          <w:rFonts w:ascii="宋体" w:hAnsi="宋体" w:cs="宋体"/>
          <w:color w:val="auto"/>
          <w:highlight w:val="none"/>
        </w:rPr>
        <w:t>无法确认时可灌水试验。</w:t>
      </w:r>
    </w:p>
    <w:p w14:paraId="6033FC05">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67B5D379">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【条文说明】6.0.7 门窗框扇排水孔、窗台坡度、滴水线（槽）这些细节对门窗防渗至关重要，设置不到位或错误会导致排水不畅，造成门窗周边出现渗水等质量通病。</w:t>
      </w:r>
    </w:p>
    <w:p w14:paraId="29657CF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6.0.8 分户门的种类、性能应符合设计要求。</w:t>
      </w:r>
    </w:p>
    <w:p w14:paraId="595722D3">
      <w:pPr>
        <w:pStyle w:val="46"/>
        <w:spacing w:line="360" w:lineRule="auto"/>
        <w:rPr>
          <w:rFonts w:ascii="宋体" w:hAnsi="宋体" w:cs="宋体"/>
          <w:color w:val="auto"/>
          <w:highlight w:val="none"/>
        </w:rPr>
      </w:pPr>
      <w:r>
        <w:rPr>
          <w:rFonts w:ascii="宋体" w:hAnsi="宋体" w:cs="宋体"/>
          <w:color w:val="auto"/>
          <w:highlight w:val="none"/>
        </w:rPr>
        <w:t>检验方法：检查产品合格证及检测报告。</w:t>
      </w:r>
    </w:p>
    <w:p w14:paraId="48A9DA9A">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63A029B3">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【条文说明】6.0.8 若分户门设计为防盗门，应在分户验收中进行核实。</w:t>
      </w:r>
    </w:p>
    <w:p w14:paraId="2C6951C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6.0.9 门窗玻璃的</w:t>
      </w:r>
      <w:r>
        <w:rPr>
          <w:rFonts w:hint="eastAsia" w:cs="宋体"/>
          <w:color w:val="auto"/>
          <w:sz w:val="28"/>
          <w:szCs w:val="28"/>
          <w:highlight w:val="none"/>
          <w:lang w:eastAsia="zh-CN"/>
        </w:rPr>
        <w:t>层数、</w:t>
      </w:r>
      <w:r>
        <w:rPr>
          <w:rFonts w:cs="宋体"/>
          <w:color w:val="auto"/>
          <w:sz w:val="28"/>
          <w:szCs w:val="28"/>
          <w:highlight w:val="none"/>
          <w:lang w:eastAsia="zh-CN"/>
        </w:rPr>
        <w:t>品种、规格、尺寸、色彩、图案和涂膜朝向</w:t>
      </w:r>
      <w:r>
        <w:rPr>
          <w:rFonts w:hint="eastAsia" w:cs="宋体"/>
          <w:color w:val="auto"/>
          <w:sz w:val="28"/>
          <w:szCs w:val="28"/>
          <w:highlight w:val="none"/>
          <w:lang w:eastAsia="zh-CN"/>
        </w:rPr>
        <w:t>应符合</w:t>
      </w:r>
      <w:r>
        <w:rPr>
          <w:rFonts w:cs="宋体"/>
          <w:color w:val="auto"/>
          <w:sz w:val="28"/>
          <w:szCs w:val="28"/>
          <w:highlight w:val="none"/>
          <w:lang w:eastAsia="zh-CN"/>
        </w:rPr>
        <w:t>设计要求</w:t>
      </w:r>
      <w:r>
        <w:rPr>
          <w:rFonts w:hint="eastAsia" w:cs="宋体"/>
          <w:color w:val="auto"/>
          <w:sz w:val="28"/>
          <w:szCs w:val="28"/>
          <w:highlight w:val="none"/>
          <w:lang w:eastAsia="zh-CN"/>
        </w:rPr>
        <w:t>，中空或夹胶层内不应有灰尘和水蒸气。</w:t>
      </w:r>
    </w:p>
    <w:p w14:paraId="271B57B3">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尺量检查；</w:t>
      </w:r>
      <w:r>
        <w:rPr>
          <w:rFonts w:hint="eastAsia" w:ascii="宋体" w:hAnsi="宋体" w:cs="宋体"/>
          <w:color w:val="auto"/>
          <w:highlight w:val="none"/>
        </w:rPr>
        <w:t>检查产品合格证书、性能检验报告和进场验收记录。</w:t>
      </w:r>
    </w:p>
    <w:p w14:paraId="6C35ACC4">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041E8D99">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 xml:space="preserve">【条文说明】6.0.9 </w:t>
      </w:r>
      <w:r>
        <w:rPr>
          <w:rFonts w:hint="eastAsia" w:cs="宋体"/>
          <w:color w:val="auto"/>
          <w:sz w:val="28"/>
          <w:szCs w:val="28"/>
          <w:highlight w:val="none"/>
          <w:shd w:val="pct10" w:color="auto" w:fill="FFFFFF"/>
          <w:lang w:eastAsia="zh-CN"/>
        </w:rPr>
        <w:t>本条对</w:t>
      </w:r>
      <w:r>
        <w:rPr>
          <w:rFonts w:cs="宋体"/>
          <w:color w:val="auto"/>
          <w:sz w:val="28"/>
          <w:szCs w:val="28"/>
          <w:highlight w:val="none"/>
          <w:shd w:val="pct10" w:color="auto" w:fill="FFFFFF"/>
          <w:lang w:eastAsia="zh-CN"/>
        </w:rPr>
        <w:t>玻璃外观质量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14:paraId="6AC947C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6.0.10 安装后的门窗玻璃应牢固，</w:t>
      </w:r>
      <w:r>
        <w:rPr>
          <w:rFonts w:hint="eastAsia" w:cs="宋体"/>
          <w:color w:val="auto"/>
          <w:sz w:val="28"/>
          <w:szCs w:val="28"/>
          <w:highlight w:val="none"/>
          <w:lang w:eastAsia="zh-CN"/>
        </w:rPr>
        <w:t>不得</w:t>
      </w:r>
      <w:r>
        <w:rPr>
          <w:rFonts w:cs="宋体"/>
          <w:color w:val="auto"/>
          <w:sz w:val="28"/>
          <w:szCs w:val="28"/>
          <w:highlight w:val="none"/>
          <w:lang w:eastAsia="zh-CN"/>
        </w:rPr>
        <w:t>有裂纹、损伤和松动。</w:t>
      </w:r>
    </w:p>
    <w:p w14:paraId="1C00CB2B">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手扳检查。</w:t>
      </w:r>
    </w:p>
    <w:p w14:paraId="7B3C4987">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245A5711">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 xml:space="preserve">【条文说明】6.0.10 </w:t>
      </w:r>
      <w:r>
        <w:rPr>
          <w:rFonts w:hint="eastAsia" w:cs="宋体"/>
          <w:color w:val="auto"/>
          <w:sz w:val="28"/>
          <w:szCs w:val="28"/>
          <w:highlight w:val="none"/>
          <w:shd w:val="pct10" w:color="auto" w:fill="FFFFFF"/>
          <w:lang w:eastAsia="zh-CN"/>
        </w:rPr>
        <w:t>本条对玻璃安装后</w:t>
      </w:r>
      <w:r>
        <w:rPr>
          <w:rFonts w:cs="宋体"/>
          <w:color w:val="auto"/>
          <w:sz w:val="28"/>
          <w:szCs w:val="28"/>
          <w:highlight w:val="none"/>
          <w:shd w:val="pct10" w:color="auto" w:fill="FFFFFF"/>
          <w:lang w:eastAsia="zh-CN"/>
        </w:rPr>
        <w:t>的质量</w:t>
      </w:r>
      <w:r>
        <w:rPr>
          <w:rFonts w:hint="eastAsia" w:cs="宋体"/>
          <w:color w:val="auto"/>
          <w:sz w:val="28"/>
          <w:szCs w:val="28"/>
          <w:highlight w:val="none"/>
          <w:shd w:val="pct10" w:color="auto" w:fill="FFFFFF"/>
          <w:lang w:eastAsia="zh-CN"/>
        </w:rPr>
        <w:t>作了规定。</w:t>
      </w:r>
    </w:p>
    <w:p w14:paraId="7B6A9523">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.0.11</w:t>
      </w:r>
      <w:r>
        <w:rPr>
          <w:rFonts w:cs="宋体"/>
          <w:color w:val="auto"/>
          <w:sz w:val="28"/>
          <w:szCs w:val="28"/>
          <w:highlight w:val="none"/>
          <w:lang w:eastAsia="zh-CN"/>
        </w:rPr>
        <w:t xml:space="preserve"> </w:t>
      </w:r>
      <w:r>
        <w:rPr>
          <w:rFonts w:hint="eastAsia" w:cs="宋体"/>
          <w:color w:val="auto"/>
          <w:sz w:val="28"/>
          <w:szCs w:val="28"/>
          <w:highlight w:val="none"/>
          <w:lang w:eastAsia="zh-CN"/>
        </w:rPr>
        <w:t>窗台的防护措施应符合设计要求。</w:t>
      </w:r>
    </w:p>
    <w:p w14:paraId="22A27981">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r>
        <w:rPr>
          <w:rFonts w:hint="eastAsia" w:ascii="宋体" w:hAnsi="宋体" w:cs="宋体"/>
          <w:color w:val="auto"/>
          <w:highlight w:val="none"/>
          <w:lang w:eastAsia="zh-CN"/>
        </w:rPr>
        <w:t>；</w:t>
      </w:r>
      <w:r>
        <w:rPr>
          <w:rFonts w:hint="eastAsia" w:ascii="宋体" w:hAnsi="宋体" w:cs="宋体"/>
          <w:color w:val="auto"/>
          <w:highlight w:val="none"/>
        </w:rPr>
        <w:t>高度和宽度尺量，每窗台抽测3点，取最不利值作为代表值。</w:t>
      </w:r>
    </w:p>
    <w:p w14:paraId="228576A3">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78F2829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.0.12</w:t>
      </w:r>
      <w:r>
        <w:rPr>
          <w:rFonts w:cs="宋体"/>
          <w:color w:val="auto"/>
          <w:sz w:val="28"/>
          <w:szCs w:val="28"/>
          <w:highlight w:val="none"/>
          <w:lang w:eastAsia="zh-CN"/>
        </w:rPr>
        <w:t xml:space="preserve"> </w:t>
      </w:r>
      <w:r>
        <w:rPr>
          <w:rFonts w:hint="eastAsia" w:cs="宋体"/>
          <w:color w:val="auto"/>
          <w:sz w:val="28"/>
          <w:szCs w:val="28"/>
          <w:highlight w:val="none"/>
          <w:lang w:eastAsia="zh-CN"/>
        </w:rPr>
        <w:t>当设置凸窗时应符合下列规定：</w:t>
      </w:r>
    </w:p>
    <w:p w14:paraId="0F99760C">
      <w:pPr>
        <w:pStyle w:val="46"/>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窗台低于或等于0.45m时，防护高度从窗台面起算不应低于0.90m</w:t>
      </w:r>
      <w:r>
        <w:rPr>
          <w:rFonts w:hint="eastAsia" w:ascii="宋体" w:hAnsi="宋体" w:cs="宋体"/>
          <w:color w:val="auto"/>
          <w:highlight w:val="none"/>
          <w:lang w:eastAsia="zh-CN"/>
        </w:rPr>
        <w:t>；</w:t>
      </w:r>
    </w:p>
    <w:p w14:paraId="1794C82A">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可开启窗扇窗洞口底距窗台面的净高低于0.90m时，窗洞口处应有防护措施。其防护高度从窗台面起算不应低于0.90m。</w:t>
      </w:r>
    </w:p>
    <w:p w14:paraId="3C0AA540">
      <w:pPr>
        <w:pStyle w:val="46"/>
        <w:spacing w:line="360" w:lineRule="auto"/>
        <w:rPr>
          <w:rFonts w:ascii="宋体" w:hAnsi="宋体" w:cs="宋体"/>
          <w:color w:val="auto"/>
          <w:highlight w:val="none"/>
        </w:rPr>
      </w:pPr>
      <w:r>
        <w:rPr>
          <w:rFonts w:hint="eastAsia" w:ascii="宋体" w:hAnsi="宋体" w:cs="宋体"/>
          <w:color w:val="auto"/>
          <w:highlight w:val="none"/>
        </w:rPr>
        <w:t>检验方法:观察、尺量，每窗台抽测3点，取最不利值作为代表值。</w:t>
      </w:r>
    </w:p>
    <w:p w14:paraId="6279ABDE">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5620F4D0">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.0.13</w:t>
      </w:r>
      <w:r>
        <w:rPr>
          <w:rFonts w:cs="宋体"/>
          <w:color w:val="auto"/>
          <w:sz w:val="28"/>
          <w:szCs w:val="28"/>
          <w:highlight w:val="none"/>
          <w:lang w:eastAsia="zh-CN"/>
        </w:rPr>
        <w:t xml:space="preserve"> </w:t>
      </w:r>
      <w:r>
        <w:rPr>
          <w:rFonts w:hint="eastAsia" w:cs="宋体"/>
          <w:color w:val="auto"/>
          <w:sz w:val="28"/>
          <w:szCs w:val="28"/>
          <w:highlight w:val="none"/>
          <w:lang w:eastAsia="zh-CN"/>
        </w:rPr>
        <w:t>外门窗及墙面不应有渗漏。</w:t>
      </w:r>
    </w:p>
    <w:p w14:paraId="3796CF8C">
      <w:pPr>
        <w:pStyle w:val="46"/>
        <w:spacing w:line="360" w:lineRule="auto"/>
        <w:rPr>
          <w:rFonts w:ascii="宋体" w:hAnsi="宋体" w:cs="宋体"/>
          <w:color w:val="auto"/>
          <w:highlight w:val="none"/>
        </w:rPr>
      </w:pPr>
      <w:r>
        <w:rPr>
          <w:rFonts w:hint="eastAsia" w:ascii="宋体" w:hAnsi="宋体" w:cs="宋体"/>
          <w:color w:val="auto"/>
          <w:highlight w:val="none"/>
        </w:rPr>
        <w:t>检验方法:外门窗及其周边墙面淋水试验后进户观察检查，或查看淋水试验记录。</w:t>
      </w:r>
    </w:p>
    <w:p w14:paraId="606E4CE8">
      <w:pPr>
        <w:pStyle w:val="46"/>
        <w:spacing w:line="360" w:lineRule="auto"/>
        <w:rPr>
          <w:rFonts w:ascii="宋体" w:hAnsi="宋体" w:cs="宋体"/>
          <w:color w:val="auto"/>
          <w:highlight w:val="none"/>
        </w:rPr>
      </w:pPr>
      <w:r>
        <w:rPr>
          <w:rFonts w:hint="eastAsia" w:ascii="宋体" w:hAnsi="宋体" w:cs="宋体"/>
          <w:color w:val="auto"/>
          <w:highlight w:val="none"/>
        </w:rPr>
        <w:t>在天气条件符合要求情况下也可采用雨后观察的方法。观察步骤如下：</w:t>
      </w:r>
    </w:p>
    <w:p w14:paraId="2B8A614F">
      <w:pPr>
        <w:pStyle w:val="46"/>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雨前对户内进行观察，对墙面、外门窗等有水迹水印的地方做标记，对渗漏引起的作为渗漏点记录，对不能确定是渗漏引起的进行表面处理</w:t>
      </w:r>
      <w:r>
        <w:rPr>
          <w:rFonts w:hint="eastAsia" w:ascii="宋体" w:hAnsi="宋体" w:cs="宋体"/>
          <w:color w:val="auto"/>
          <w:highlight w:val="none"/>
          <w:lang w:eastAsia="zh-CN"/>
        </w:rPr>
        <w:t>；</w:t>
      </w:r>
    </w:p>
    <w:p w14:paraId="6F957521">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关闭外门窗，在满足24小时降雨量不小于25mm条件下，降雨后12小时内及时观察。对外门窗、外墙面室内面等有水印、渗湿的地方作为渗漏点记录。</w:t>
      </w:r>
    </w:p>
    <w:p w14:paraId="3ED40AA0">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r>
        <w:rPr>
          <w:rFonts w:ascii="宋体" w:hAnsi="宋体" w:cs="宋体"/>
          <w:color w:val="auto"/>
          <w:highlight w:val="none"/>
        </w:rPr>
        <w:br w:type="page"/>
      </w:r>
    </w:p>
    <w:p w14:paraId="5969AFDB">
      <w:pPr>
        <w:pStyle w:val="2"/>
        <w:spacing w:before="240" w:after="240"/>
        <w:rPr>
          <w:rFonts w:ascii="宋体" w:hAnsi="宋体" w:eastAsia="宋体" w:cs="宋体"/>
          <w:color w:val="auto"/>
          <w:highlight w:val="none"/>
        </w:rPr>
      </w:pPr>
      <w:bookmarkStart w:id="160" w:name="_Toc133572719"/>
      <w:bookmarkStart w:id="161" w:name="_Toc2552"/>
      <w:bookmarkStart w:id="162" w:name="_Toc3217"/>
      <w:bookmarkStart w:id="163" w:name="_Toc22944"/>
      <w:bookmarkStart w:id="164" w:name="_Toc13467"/>
      <w:bookmarkStart w:id="165" w:name="_Toc3038"/>
      <w:bookmarkStart w:id="166" w:name="_Toc21149"/>
      <w:r>
        <w:rPr>
          <w:rFonts w:ascii="宋体" w:hAnsi="宋体" w:eastAsia="宋体" w:cs="宋体"/>
          <w:color w:val="auto"/>
          <w:highlight w:val="none"/>
        </w:rPr>
        <w:t xml:space="preserve">7 </w:t>
      </w:r>
      <w:r>
        <w:rPr>
          <w:rFonts w:hint="eastAsia" w:ascii="宋体" w:hAnsi="宋体" w:eastAsia="宋体" w:cs="宋体"/>
          <w:color w:val="auto"/>
          <w:highlight w:val="none"/>
        </w:rPr>
        <w:t>护栏、玻璃安装</w:t>
      </w:r>
      <w:bookmarkEnd w:id="160"/>
      <w:bookmarkEnd w:id="161"/>
      <w:bookmarkEnd w:id="162"/>
      <w:bookmarkEnd w:id="163"/>
      <w:bookmarkEnd w:id="164"/>
      <w:bookmarkEnd w:id="165"/>
      <w:bookmarkEnd w:id="166"/>
    </w:p>
    <w:p w14:paraId="3D907BC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7.0.1 护栏和扶手的造型、尺寸、高度、栏杆间距、安装位置应符合设计要求，护栏安装应牢固。</w:t>
      </w:r>
    </w:p>
    <w:p w14:paraId="798899D4">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检验方法：观察检查；尺量检查；手板检查。</w:t>
      </w:r>
    </w:p>
    <w:p w14:paraId="7F7AD959">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229408FE">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【条文说明】7.0.1 本条对护栏外观与扶手的外观以及尺寸、间距、安装作了规定。</w:t>
      </w:r>
    </w:p>
    <w:p w14:paraId="13B5550F">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7.0.2 护栏和扶手安装的允许偏差和检查方法应符合表7.0.2的规定。</w:t>
      </w:r>
    </w:p>
    <w:p w14:paraId="6FCDC784">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表7.0.2护栏和扶手安装的允许偏差和检验方法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1985"/>
        <w:gridCol w:w="3685"/>
      </w:tblGrid>
      <w:tr w14:paraId="5DE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F3E28F7">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项次</w:t>
            </w:r>
          </w:p>
        </w:tc>
        <w:tc>
          <w:tcPr>
            <w:tcW w:w="1559" w:type="dxa"/>
            <w:vAlign w:val="center"/>
          </w:tcPr>
          <w:p w14:paraId="034F71B6">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1985" w:type="dxa"/>
            <w:vAlign w:val="center"/>
          </w:tcPr>
          <w:p w14:paraId="47EE8224">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允许偏差（mm）</w:t>
            </w:r>
          </w:p>
        </w:tc>
        <w:tc>
          <w:tcPr>
            <w:tcW w:w="3685" w:type="dxa"/>
            <w:vAlign w:val="center"/>
          </w:tcPr>
          <w:p w14:paraId="281844BB">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检验方法</w:t>
            </w:r>
          </w:p>
        </w:tc>
      </w:tr>
      <w:tr w14:paraId="5719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5D76111">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559" w:type="dxa"/>
            <w:vAlign w:val="center"/>
          </w:tcPr>
          <w:p w14:paraId="4D379361">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栏杆间距</w:t>
            </w:r>
          </w:p>
        </w:tc>
        <w:tc>
          <w:tcPr>
            <w:tcW w:w="1985" w:type="dxa"/>
            <w:vAlign w:val="center"/>
          </w:tcPr>
          <w:p w14:paraId="2C37D70E">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0,-6</w:t>
            </w:r>
          </w:p>
        </w:tc>
        <w:tc>
          <w:tcPr>
            <w:tcW w:w="3685" w:type="dxa"/>
            <w:vAlign w:val="center"/>
          </w:tcPr>
          <w:p w14:paraId="49C175CB">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用钢直尺检查</w:t>
            </w:r>
          </w:p>
        </w:tc>
      </w:tr>
      <w:tr w14:paraId="3F74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BFD782B">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559" w:type="dxa"/>
            <w:vAlign w:val="center"/>
          </w:tcPr>
          <w:p w14:paraId="34344F1B">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扶手高度</w:t>
            </w:r>
          </w:p>
        </w:tc>
        <w:tc>
          <w:tcPr>
            <w:tcW w:w="1985" w:type="dxa"/>
            <w:vAlign w:val="center"/>
          </w:tcPr>
          <w:p w14:paraId="08AC3703">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w:t>
            </w:r>
          </w:p>
        </w:tc>
        <w:tc>
          <w:tcPr>
            <w:tcW w:w="3685" w:type="dxa"/>
            <w:vAlign w:val="center"/>
          </w:tcPr>
          <w:p w14:paraId="7E425494">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用钢卷尺检查</w:t>
            </w:r>
          </w:p>
        </w:tc>
      </w:tr>
    </w:tbl>
    <w:p w14:paraId="72686B8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7.0.3 玻璃的品种、规格尺寸、色彩、图案和涂膜朝向应符合设计和相关标准要求，安全玻璃上应有安全认证标识。</w:t>
      </w:r>
    </w:p>
    <w:p w14:paraId="6E2B4396">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检验方法：观察检查；尺量检查；检查玻璃检查产品合格证书、性能检验报告。</w:t>
      </w:r>
    </w:p>
    <w:p w14:paraId="636CA6A5">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39676398">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7.0.4 安装后的玻璃应牢固，不应有裂缝、损伤和松动。</w:t>
      </w:r>
    </w:p>
    <w:p w14:paraId="4D728577">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检验方法：观察检查、手扳检查。</w:t>
      </w:r>
    </w:p>
    <w:p w14:paraId="77922251">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438BAF1E">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7.0.5 玻璃表面应无明显污迹，中空玻璃中空层内不应有灰尘和水蒸气。</w:t>
      </w:r>
    </w:p>
    <w:p w14:paraId="7B698451">
      <w:pPr>
        <w:pStyle w:val="46"/>
        <w:spacing w:line="360" w:lineRule="auto"/>
        <w:rPr>
          <w:rFonts w:ascii="宋体" w:hAnsi="宋体" w:cs="宋体"/>
          <w:color w:val="auto"/>
          <w:highlight w:val="none"/>
        </w:rPr>
      </w:pPr>
      <w:r>
        <w:rPr>
          <w:rFonts w:hint="eastAsia" w:ascii="宋体" w:hAnsi="宋体" w:cs="宋体"/>
          <w:color w:val="auto"/>
          <w:highlight w:val="none"/>
        </w:rPr>
        <w:t>检验方法：距玻璃约1.5m处观察检查。</w:t>
      </w:r>
    </w:p>
    <w:p w14:paraId="41EA3F0F">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1EE9A54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7.0.6 玻璃的应用应符合设计要求和现行行业标准《</w:t>
      </w:r>
      <w:r>
        <w:rPr>
          <w:rFonts w:hint="eastAsia" w:cs="宋体"/>
          <w:color w:val="auto"/>
          <w:sz w:val="28"/>
          <w:szCs w:val="28"/>
          <w:highlight w:val="none"/>
          <w:lang w:val="en-US" w:eastAsia="zh-CN"/>
        </w:rPr>
        <w:t>建筑</w:t>
      </w:r>
      <w:r>
        <w:rPr>
          <w:rFonts w:cs="宋体"/>
          <w:color w:val="auto"/>
          <w:sz w:val="28"/>
          <w:szCs w:val="28"/>
          <w:highlight w:val="none"/>
          <w:lang w:eastAsia="zh-CN"/>
        </w:rPr>
        <w:t>玻璃应用技术规程</w:t>
      </w:r>
      <w:r>
        <w:rPr>
          <w:rFonts w:hint="eastAsia" w:cs="宋体"/>
          <w:color w:val="auto"/>
          <w:sz w:val="28"/>
          <w:szCs w:val="28"/>
          <w:highlight w:val="none"/>
          <w:lang w:eastAsia="zh-CN"/>
        </w:rPr>
        <w:t>》</w:t>
      </w:r>
      <w:r>
        <w:rPr>
          <w:rFonts w:cs="宋体"/>
          <w:color w:val="auto"/>
          <w:sz w:val="28"/>
          <w:szCs w:val="28"/>
          <w:highlight w:val="none"/>
          <w:lang w:eastAsia="zh-CN"/>
        </w:rPr>
        <w:t>JGJ 11</w:t>
      </w:r>
      <w:r>
        <w:rPr>
          <w:rFonts w:hint="eastAsia" w:cs="宋体"/>
          <w:color w:val="auto"/>
          <w:sz w:val="28"/>
          <w:szCs w:val="28"/>
          <w:highlight w:val="none"/>
          <w:lang w:eastAsia="zh-CN"/>
        </w:rPr>
        <w:t>3</w:t>
      </w:r>
      <w:r>
        <w:rPr>
          <w:rFonts w:cs="宋体"/>
          <w:color w:val="auto"/>
          <w:sz w:val="28"/>
          <w:szCs w:val="28"/>
          <w:highlight w:val="none"/>
          <w:lang w:eastAsia="zh-CN"/>
        </w:rPr>
        <w:t>的规定</w:t>
      </w:r>
      <w:r>
        <w:rPr>
          <w:rFonts w:hint="eastAsia" w:cs="宋体"/>
          <w:color w:val="auto"/>
          <w:sz w:val="28"/>
          <w:szCs w:val="28"/>
          <w:highlight w:val="none"/>
          <w:lang w:eastAsia="zh-CN"/>
        </w:rPr>
        <w:t>。</w:t>
      </w:r>
    </w:p>
    <w:p w14:paraId="337BE728">
      <w:pPr>
        <w:pStyle w:val="46"/>
        <w:spacing w:line="360" w:lineRule="auto"/>
        <w:rPr>
          <w:rFonts w:ascii="宋体" w:hAnsi="宋体" w:cs="宋体"/>
          <w:color w:val="auto"/>
          <w:highlight w:val="none"/>
        </w:rPr>
      </w:pPr>
      <w:r>
        <w:rPr>
          <w:rFonts w:hint="eastAsia" w:ascii="宋体" w:hAnsi="宋体" w:cs="宋体"/>
          <w:color w:val="auto"/>
          <w:highlight w:val="none"/>
        </w:rPr>
        <w:t>检验方法：观察；</w:t>
      </w:r>
      <w:r>
        <w:rPr>
          <w:rFonts w:ascii="宋体" w:hAnsi="宋体" w:cs="宋体"/>
          <w:color w:val="auto"/>
          <w:highlight w:val="none"/>
        </w:rPr>
        <w:t>尺量检查</w:t>
      </w:r>
      <w:r>
        <w:rPr>
          <w:rFonts w:hint="eastAsia" w:ascii="宋体" w:hAnsi="宋体" w:cs="宋体"/>
          <w:color w:val="auto"/>
          <w:highlight w:val="none"/>
        </w:rPr>
        <w:t>；</w:t>
      </w:r>
      <w:r>
        <w:rPr>
          <w:rFonts w:ascii="宋体" w:hAnsi="宋体" w:cs="宋体"/>
          <w:color w:val="auto"/>
          <w:highlight w:val="none"/>
        </w:rPr>
        <w:t>检查产品合格证书和进场验收记录</w:t>
      </w:r>
      <w:r>
        <w:rPr>
          <w:rFonts w:hint="eastAsia" w:ascii="宋体" w:hAnsi="宋体" w:cs="宋体"/>
          <w:color w:val="auto"/>
          <w:highlight w:val="none"/>
        </w:rPr>
        <w:t>。</w:t>
      </w:r>
    </w:p>
    <w:p w14:paraId="344AF3A3">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39BAA227">
      <w:pPr>
        <w:pStyle w:val="9"/>
        <w:spacing w:before="115" w:line="360" w:lineRule="auto"/>
        <w:ind w:left="0"/>
        <w:jc w:val="center"/>
        <w:rPr>
          <w:rFonts w:cs="宋体"/>
          <w:color w:val="auto"/>
          <w:sz w:val="28"/>
          <w:szCs w:val="28"/>
          <w:highlight w:val="none"/>
          <w:u w:val="single"/>
          <w:lang w:eastAsia="zh-CN"/>
        </w:rPr>
      </w:pPr>
    </w:p>
    <w:p w14:paraId="2BA685C3">
      <w:pPr>
        <w:pStyle w:val="9"/>
        <w:spacing w:before="115" w:line="360" w:lineRule="auto"/>
        <w:ind w:left="0"/>
        <w:jc w:val="center"/>
        <w:rPr>
          <w:rFonts w:cs="宋体"/>
          <w:color w:val="auto"/>
          <w:sz w:val="28"/>
          <w:szCs w:val="28"/>
          <w:highlight w:val="none"/>
          <w:u w:val="single"/>
          <w:lang w:eastAsia="zh-CN"/>
        </w:rPr>
      </w:pPr>
    </w:p>
    <w:p w14:paraId="6A989C97">
      <w:pPr>
        <w:pStyle w:val="9"/>
        <w:spacing w:before="115" w:line="360" w:lineRule="auto"/>
        <w:ind w:left="0"/>
        <w:jc w:val="center"/>
        <w:rPr>
          <w:rFonts w:cs="宋体"/>
          <w:color w:val="auto"/>
          <w:sz w:val="28"/>
          <w:szCs w:val="28"/>
          <w:highlight w:val="none"/>
          <w:u w:val="single"/>
          <w:lang w:eastAsia="zh-CN"/>
        </w:rPr>
      </w:pPr>
    </w:p>
    <w:p w14:paraId="3EC5E78E">
      <w:pPr>
        <w:pStyle w:val="9"/>
        <w:spacing w:before="115" w:line="360" w:lineRule="auto"/>
        <w:ind w:left="0"/>
        <w:jc w:val="center"/>
        <w:rPr>
          <w:rFonts w:cs="宋体"/>
          <w:color w:val="auto"/>
          <w:sz w:val="28"/>
          <w:szCs w:val="28"/>
          <w:highlight w:val="none"/>
          <w:u w:val="single"/>
          <w:lang w:eastAsia="zh-CN"/>
        </w:rPr>
      </w:pPr>
      <w:r>
        <w:rPr>
          <w:rFonts w:cs="宋体"/>
          <w:color w:val="auto"/>
          <w:sz w:val="28"/>
          <w:szCs w:val="28"/>
          <w:highlight w:val="none"/>
          <w:u w:val="single"/>
          <w:lang w:eastAsia="zh-CN"/>
        </w:rPr>
        <w:br w:type="page"/>
      </w:r>
    </w:p>
    <w:p w14:paraId="2D8C954E">
      <w:pPr>
        <w:pStyle w:val="2"/>
        <w:spacing w:before="240" w:after="240"/>
        <w:rPr>
          <w:rFonts w:hint="eastAsia" w:ascii="宋体" w:hAnsi="宋体" w:eastAsia="宋体" w:cs="宋体"/>
          <w:color w:val="auto"/>
          <w:highlight w:val="none"/>
        </w:rPr>
      </w:pPr>
      <w:bookmarkStart w:id="167" w:name="_Toc7157"/>
      <w:bookmarkStart w:id="168" w:name="_Toc5861"/>
      <w:bookmarkStart w:id="169" w:name="_Toc11323"/>
      <w:bookmarkStart w:id="170" w:name="_Toc25457"/>
      <w:bookmarkStart w:id="171" w:name="_Toc4957"/>
      <w:bookmarkStart w:id="172" w:name="_Toc29821"/>
      <w:bookmarkStart w:id="173" w:name="_Toc133572720"/>
      <w:r>
        <w:rPr>
          <w:rFonts w:ascii="宋体" w:hAnsi="宋体" w:eastAsia="宋体" w:cs="宋体"/>
          <w:color w:val="auto"/>
          <w:highlight w:val="none"/>
        </w:rPr>
        <w:t xml:space="preserve">8 </w:t>
      </w:r>
      <w:r>
        <w:rPr>
          <w:rFonts w:hint="eastAsia" w:ascii="宋体" w:hAnsi="宋体" w:eastAsia="宋体" w:cs="宋体"/>
          <w:color w:val="auto"/>
          <w:highlight w:val="none"/>
        </w:rPr>
        <w:t>给水排水及消防设施工程</w:t>
      </w:r>
      <w:bookmarkEnd w:id="167"/>
      <w:bookmarkEnd w:id="168"/>
      <w:bookmarkEnd w:id="169"/>
      <w:bookmarkEnd w:id="170"/>
      <w:bookmarkEnd w:id="171"/>
      <w:bookmarkEnd w:id="172"/>
      <w:bookmarkEnd w:id="173"/>
    </w:p>
    <w:p w14:paraId="39E0F003">
      <w:pPr>
        <w:pStyle w:val="3"/>
        <w:spacing w:before="240" w:after="240"/>
        <w:rPr>
          <w:rStyle w:val="43"/>
          <w:rFonts w:ascii="仿宋" w:hAnsi="仿宋" w:cs="宋体"/>
          <w:b/>
          <w:bCs w:val="0"/>
          <w:color w:val="auto"/>
          <w:highlight w:val="none"/>
        </w:rPr>
      </w:pPr>
      <w:bookmarkStart w:id="174" w:name="_Toc4792"/>
      <w:bookmarkStart w:id="175" w:name="_Toc26063"/>
      <w:bookmarkStart w:id="176" w:name="_Toc133572721"/>
      <w:bookmarkStart w:id="177" w:name="_Toc1626"/>
      <w:bookmarkStart w:id="178" w:name="_Toc25016"/>
      <w:bookmarkStart w:id="179" w:name="_Toc20098"/>
      <w:bookmarkStart w:id="180" w:name="_Toc12152"/>
      <w:r>
        <w:rPr>
          <w:rStyle w:val="43"/>
          <w:rFonts w:ascii="仿宋" w:hAnsi="仿宋" w:cs="宋体"/>
          <w:b/>
          <w:bCs w:val="0"/>
          <w:color w:val="auto"/>
          <w:highlight w:val="none"/>
        </w:rPr>
        <w:t>8</w:t>
      </w:r>
      <w:r>
        <w:rPr>
          <w:rStyle w:val="43"/>
          <w:rFonts w:hint="eastAsia" w:ascii="仿宋" w:hAnsi="仿宋" w:cs="宋体"/>
          <w:b/>
          <w:bCs w:val="0"/>
          <w:color w:val="auto"/>
          <w:highlight w:val="none"/>
        </w:rPr>
        <w:t>.1 给水工程</w:t>
      </w:r>
      <w:bookmarkEnd w:id="174"/>
      <w:bookmarkEnd w:id="175"/>
      <w:bookmarkEnd w:id="176"/>
      <w:bookmarkEnd w:id="177"/>
      <w:bookmarkEnd w:id="178"/>
      <w:bookmarkEnd w:id="179"/>
      <w:bookmarkEnd w:id="180"/>
    </w:p>
    <w:p w14:paraId="46A0C5D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.1.1 室内给水管道及配件的材质、型号规格和设置应符合设计和卫生要求。管道接口应严密、无渗漏，冷、热水管道安装位置正确，各配水点接口</w:t>
      </w:r>
      <w:r>
        <w:rPr>
          <w:rFonts w:hint="eastAsia" w:cs="宋体"/>
          <w:color w:val="auto"/>
          <w:sz w:val="28"/>
          <w:szCs w:val="28"/>
          <w:highlight w:val="none"/>
          <w:lang w:val="en-US" w:eastAsia="zh-CN"/>
        </w:rPr>
        <w:t>应安装检修阀并</w:t>
      </w:r>
      <w:r>
        <w:rPr>
          <w:rFonts w:hint="eastAsia" w:cs="宋体"/>
          <w:color w:val="auto"/>
          <w:sz w:val="28"/>
          <w:szCs w:val="28"/>
          <w:highlight w:val="none"/>
          <w:lang w:eastAsia="zh-CN"/>
        </w:rPr>
        <w:t>应符合左热右冷的要求。管卡应设置合理，安装牢固。</w:t>
      </w:r>
    </w:p>
    <w:p w14:paraId="5D806B55">
      <w:pPr>
        <w:pStyle w:val="46"/>
        <w:spacing w:line="360" w:lineRule="auto"/>
        <w:rPr>
          <w:rFonts w:ascii="宋体" w:hAnsi="宋体" w:cs="宋体"/>
          <w:color w:val="auto"/>
          <w:highlight w:val="none"/>
        </w:rPr>
      </w:pPr>
      <w:r>
        <w:rPr>
          <w:rFonts w:hint="eastAsia" w:ascii="宋体" w:hAnsi="宋体" w:cs="宋体"/>
          <w:color w:val="auto"/>
          <w:highlight w:val="none"/>
        </w:rPr>
        <w:t>检验方法：查看资料，通水试验、观察。</w:t>
      </w:r>
    </w:p>
    <w:p w14:paraId="72A32D63">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检验数量：全数检查，每户管卡抽查不少于</w:t>
      </w:r>
      <w:r>
        <w:rPr>
          <w:rFonts w:ascii="宋体" w:hAnsi="宋体" w:cs="宋体"/>
          <w:color w:val="auto"/>
          <w:highlight w:val="none"/>
        </w:rPr>
        <w:t>3处</w:t>
      </w:r>
      <w:r>
        <w:rPr>
          <w:rFonts w:hint="eastAsia" w:ascii="宋体" w:hAnsi="宋体" w:cs="宋体"/>
          <w:color w:val="auto"/>
          <w:highlight w:val="none"/>
        </w:rPr>
        <w:t>。</w:t>
      </w:r>
    </w:p>
    <w:p w14:paraId="0C42491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.1.2 室内水嘴、角阀等应开启灵活，关闭严密。各用水点应放水通畅，出水压力应符合标准要求，水质</w:t>
      </w:r>
      <w:r>
        <w:rPr>
          <w:rFonts w:hint="eastAsia" w:cs="宋体"/>
          <w:color w:val="auto"/>
          <w:sz w:val="28"/>
          <w:szCs w:val="28"/>
          <w:highlight w:val="none"/>
          <w:lang w:val="en-US" w:eastAsia="zh-CN"/>
        </w:rPr>
        <w:t>应符合相关国家饮用水水质标准</w:t>
      </w:r>
      <w:r>
        <w:rPr>
          <w:rFonts w:hint="eastAsia" w:cs="宋体"/>
          <w:color w:val="auto"/>
          <w:sz w:val="28"/>
          <w:szCs w:val="28"/>
          <w:highlight w:val="none"/>
          <w:lang w:eastAsia="zh-CN"/>
        </w:rPr>
        <w:t>。</w:t>
      </w:r>
    </w:p>
    <w:p w14:paraId="5C77DC6D">
      <w:pPr>
        <w:pStyle w:val="46"/>
        <w:spacing w:line="360" w:lineRule="auto"/>
        <w:rPr>
          <w:rFonts w:ascii="宋体" w:hAnsi="宋体" w:cs="宋体"/>
          <w:color w:val="auto"/>
          <w:highlight w:val="none"/>
        </w:rPr>
      </w:pPr>
      <w:r>
        <w:rPr>
          <w:rFonts w:hint="eastAsia" w:ascii="宋体" w:hAnsi="宋体" w:cs="宋体"/>
          <w:color w:val="auto"/>
          <w:highlight w:val="none"/>
        </w:rPr>
        <w:t>检验方法：开关检查、通水后观察并检查水质检验报告。</w:t>
      </w:r>
    </w:p>
    <w:p w14:paraId="126F6E3C">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1EB57C5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.1.3 室内给水管道的水压试验应符合要求。</w:t>
      </w:r>
    </w:p>
    <w:p w14:paraId="67DA361A">
      <w:pPr>
        <w:pStyle w:val="46"/>
        <w:spacing w:line="360" w:lineRule="auto"/>
        <w:rPr>
          <w:rFonts w:ascii="宋体" w:hAnsi="宋体" w:cs="宋体"/>
          <w:color w:val="auto"/>
          <w:highlight w:val="none"/>
        </w:rPr>
      </w:pPr>
      <w:r>
        <w:rPr>
          <w:rFonts w:hint="eastAsia" w:ascii="宋体" w:hAnsi="宋体" w:cs="宋体"/>
          <w:color w:val="auto"/>
          <w:highlight w:val="none"/>
        </w:rPr>
        <w:t>检验方法：现场进行水压试验</w:t>
      </w:r>
      <w:r>
        <w:rPr>
          <w:rFonts w:ascii="宋体" w:hAnsi="宋体" w:cs="宋体"/>
          <w:color w:val="auto"/>
          <w:highlight w:val="none"/>
        </w:rPr>
        <w:t>3处，其余检查水压试验记录</w:t>
      </w:r>
      <w:r>
        <w:rPr>
          <w:rFonts w:hint="eastAsia" w:ascii="宋体" w:hAnsi="宋体" w:cs="宋体"/>
          <w:color w:val="auto"/>
          <w:highlight w:val="none"/>
        </w:rPr>
        <w:t>。</w:t>
      </w:r>
    </w:p>
    <w:p w14:paraId="26A8CD63">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396E48DF">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8.1.3 根据《建筑给水排水及采暖工程施工质量验收规范》GB</w:t>
      </w:r>
      <w:r>
        <w:rPr>
          <w:rFonts w:hint="eastAsia" w:cs="宋体"/>
          <w:color w:val="auto"/>
          <w:sz w:val="28"/>
          <w:szCs w:val="28"/>
          <w:highlight w:val="none"/>
          <w:shd w:val="pct10" w:color="auto" w:fill="FFFFFF"/>
          <w:lang w:val="en-US" w:eastAsia="zh-CN"/>
        </w:rPr>
        <w:t xml:space="preserve"> </w:t>
      </w:r>
      <w:r>
        <w:rPr>
          <w:rFonts w:cs="宋体"/>
          <w:color w:val="auto"/>
          <w:sz w:val="28"/>
          <w:szCs w:val="28"/>
          <w:highlight w:val="none"/>
          <w:shd w:val="pct10" w:color="auto" w:fill="FFFFFF"/>
          <w:lang w:eastAsia="zh-CN"/>
        </w:rPr>
        <w:t>50242规定，当设计未注明时，各种材质的给水管道系统试验压力均为工作压力的1.5倍，但不得小于0.6MPa</w:t>
      </w:r>
    </w:p>
    <w:p w14:paraId="67C1F4F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cs="宋体"/>
          <w:color w:val="auto"/>
          <w:sz w:val="28"/>
          <w:szCs w:val="28"/>
          <w:highlight w:val="none"/>
          <w:lang w:eastAsia="zh-CN"/>
        </w:rPr>
        <w:t>4</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户</w:t>
      </w:r>
      <w:r>
        <w:rPr>
          <w:rFonts w:hint="eastAsia" w:cs="宋体"/>
          <w:color w:val="auto"/>
          <w:sz w:val="28"/>
          <w:szCs w:val="28"/>
          <w:highlight w:val="none"/>
          <w:lang w:eastAsia="zh-CN"/>
        </w:rPr>
        <w:t>内受阳光直射明装给水管道应有防晒及防紫外线措施。</w:t>
      </w:r>
      <w:r>
        <w:rPr>
          <w:rFonts w:hint="eastAsia" w:cs="宋体"/>
          <w:color w:val="auto"/>
          <w:sz w:val="28"/>
          <w:szCs w:val="28"/>
          <w:highlight w:val="none"/>
          <w:lang w:val="en-US" w:eastAsia="zh-CN"/>
        </w:rPr>
        <w:t>户</w:t>
      </w:r>
      <w:r>
        <w:rPr>
          <w:rFonts w:hint="eastAsia" w:cs="宋体"/>
          <w:color w:val="auto"/>
          <w:sz w:val="28"/>
          <w:szCs w:val="28"/>
          <w:highlight w:val="none"/>
          <w:lang w:eastAsia="zh-CN"/>
        </w:rPr>
        <w:t>内精装修区域明装冷、热水管道应有防结露和保温措施。</w:t>
      </w:r>
    </w:p>
    <w:p w14:paraId="76ED9808">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56F0E1C8">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53C31852">
      <w:pPr>
        <w:pStyle w:val="9"/>
        <w:spacing w:line="360" w:lineRule="auto"/>
        <w:ind w:left="0"/>
        <w:rPr>
          <w:rFonts w:cs="宋体"/>
          <w:color w:val="auto"/>
          <w:sz w:val="28"/>
          <w:szCs w:val="28"/>
          <w:highlight w:val="none"/>
          <w:shd w:val="pct10" w:color="auto" w:fill="FFFFFF"/>
          <w:lang w:eastAsia="zh-CN"/>
        </w:rPr>
      </w:pPr>
      <w:bookmarkStart w:id="181" w:name="_Hlk133503244"/>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8.1.4根据《建筑给水排水设计标准》GB 50015规定，室外明敷给水管道，当受阳光直射时，应有防晒和防紫外线措施，其中金属管道应设保温措施，塑料管道应有防</w:t>
      </w:r>
      <w:bookmarkEnd w:id="181"/>
      <w:r>
        <w:rPr>
          <w:rFonts w:cs="宋体"/>
          <w:color w:val="auto"/>
          <w:sz w:val="28"/>
          <w:szCs w:val="28"/>
          <w:highlight w:val="none"/>
          <w:shd w:val="pct10" w:color="auto" w:fill="FFFFFF"/>
          <w:lang w:eastAsia="zh-CN"/>
        </w:rPr>
        <w:t>紫外线措施。目前较多项目冷、热水支管采用天花明装方式，如位于室内精装修区域，冷水管应设防结露保温措施，热水管应设管道保温措施</w:t>
      </w:r>
      <w:r>
        <w:rPr>
          <w:rFonts w:hint="eastAsia" w:cs="宋体"/>
          <w:color w:val="auto"/>
          <w:sz w:val="28"/>
          <w:szCs w:val="28"/>
          <w:highlight w:val="none"/>
          <w:shd w:val="pct10" w:color="auto" w:fill="FFFFFF"/>
          <w:lang w:eastAsia="zh-CN"/>
        </w:rPr>
        <w:t>。</w:t>
      </w:r>
    </w:p>
    <w:p w14:paraId="565CFEE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cs="宋体"/>
          <w:color w:val="auto"/>
          <w:sz w:val="28"/>
          <w:szCs w:val="28"/>
          <w:highlight w:val="none"/>
          <w:lang w:eastAsia="zh-CN"/>
        </w:rPr>
        <w:t>5</w:t>
      </w:r>
      <w:r>
        <w:rPr>
          <w:rFonts w:hint="eastAsia" w:cs="宋体"/>
          <w:color w:val="auto"/>
          <w:sz w:val="28"/>
          <w:szCs w:val="28"/>
          <w:highlight w:val="none"/>
          <w:lang w:eastAsia="zh-CN"/>
        </w:rPr>
        <w:t xml:space="preserve"> 不同材质管道、管件、阀门及管卡连接或接触时，应有防电化学腐蚀措施。</w:t>
      </w:r>
    </w:p>
    <w:p w14:paraId="30C95FA1">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0B40CE1F">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707A8F03">
      <w:pPr>
        <w:pStyle w:val="46"/>
        <w:spacing w:line="360" w:lineRule="auto"/>
        <w:ind w:firstLine="0" w:firstLineChars="0"/>
        <w:rPr>
          <w:rFonts w:hint="eastAsia" w:ascii="宋体" w:hAnsi="宋体" w:eastAsia="宋体" w:cs="宋体"/>
          <w:color w:val="auto"/>
          <w:highlight w:val="none"/>
          <w:lang w:eastAsia="zh-CN"/>
        </w:rPr>
      </w:pPr>
      <w:r>
        <w:rPr>
          <w:rFonts w:hint="eastAsia" w:cs="宋体"/>
          <w:color w:val="auto"/>
          <w:highlight w:val="none"/>
          <w:shd w:val="pct10" w:color="auto" w:fill="FFFFFF"/>
        </w:rPr>
        <w:t>【条文说明】</w:t>
      </w:r>
      <w:r>
        <w:rPr>
          <w:rFonts w:hint="default" w:ascii="宋体" w:hAnsi="宋体" w:cs="宋体"/>
          <w:color w:val="auto"/>
          <w:kern w:val="0"/>
          <w:highlight w:val="none"/>
          <w:shd w:val="pct10" w:color="auto" w:fill="FFFFFF"/>
          <w:lang w:val="en-US" w:eastAsia="zh-CN"/>
        </w:rPr>
        <w:t>8.1.5</w:t>
      </w:r>
      <w:r>
        <w:rPr>
          <w:rFonts w:cs="宋体"/>
          <w:color w:val="auto"/>
          <w:highlight w:val="none"/>
          <w:shd w:val="pct10" w:color="auto" w:fill="FFFFFF"/>
        </w:rPr>
        <w:t>不同金属连接或接触时会产生电化学腐蚀并加速管道锈蚀，故安装时应在不同管道、管件接触处增加橡胶垫片隔离，如不锈钢管道与普通金属管卡等</w:t>
      </w:r>
      <w:r>
        <w:rPr>
          <w:rFonts w:hint="eastAsia" w:cs="宋体"/>
          <w:color w:val="auto"/>
          <w:highlight w:val="none"/>
          <w:shd w:val="pct10" w:color="auto" w:fill="FFFFFF"/>
          <w:lang w:eastAsia="zh-CN"/>
        </w:rPr>
        <w:t>。</w:t>
      </w:r>
    </w:p>
    <w:p w14:paraId="0BCD09B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hint="eastAsia" w:cs="宋体"/>
          <w:color w:val="auto"/>
          <w:sz w:val="28"/>
          <w:szCs w:val="28"/>
          <w:highlight w:val="none"/>
          <w:lang w:val="en-US" w:eastAsia="zh-CN"/>
        </w:rPr>
        <w:t>6</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明装塑料给水管距灶台边缘不得小于0.4m，距燃气热水器边缘不得小于0.2m，否则应用保护措施</w:t>
      </w:r>
      <w:r>
        <w:rPr>
          <w:rFonts w:hint="eastAsia" w:cs="宋体"/>
          <w:color w:val="auto"/>
          <w:sz w:val="28"/>
          <w:szCs w:val="28"/>
          <w:highlight w:val="none"/>
          <w:lang w:eastAsia="zh-CN"/>
        </w:rPr>
        <w:t>。</w:t>
      </w:r>
    </w:p>
    <w:p w14:paraId="75D453D4">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2D68944D">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53DF9D06">
      <w:pPr>
        <w:pStyle w:val="3"/>
        <w:spacing w:before="240" w:after="240"/>
        <w:rPr>
          <w:rStyle w:val="43"/>
          <w:rFonts w:ascii="仿宋" w:hAnsi="仿宋" w:cs="宋体"/>
          <w:b/>
          <w:bCs w:val="0"/>
          <w:color w:val="auto"/>
          <w:highlight w:val="none"/>
        </w:rPr>
      </w:pPr>
      <w:bookmarkStart w:id="182" w:name="_Toc18080"/>
      <w:bookmarkStart w:id="183" w:name="_Toc17143"/>
      <w:bookmarkStart w:id="184" w:name="_Toc133572722"/>
      <w:bookmarkStart w:id="185" w:name="_Toc10977"/>
      <w:bookmarkStart w:id="186" w:name="_Toc20507"/>
      <w:bookmarkStart w:id="187" w:name="_Toc22026"/>
      <w:bookmarkStart w:id="188" w:name="_Toc18553"/>
      <w:r>
        <w:rPr>
          <w:rStyle w:val="43"/>
          <w:rFonts w:ascii="仿宋" w:hAnsi="仿宋" w:cs="宋体"/>
          <w:b/>
          <w:bCs w:val="0"/>
          <w:color w:val="auto"/>
          <w:highlight w:val="none"/>
        </w:rPr>
        <w:t>8</w:t>
      </w:r>
      <w:r>
        <w:rPr>
          <w:rStyle w:val="43"/>
          <w:rFonts w:hint="eastAsia" w:ascii="仿宋" w:hAnsi="仿宋" w:cs="宋体"/>
          <w:b/>
          <w:bCs w:val="0"/>
          <w:color w:val="auto"/>
          <w:highlight w:val="none"/>
        </w:rPr>
        <w:t>.2 排水工程</w:t>
      </w:r>
      <w:bookmarkEnd w:id="182"/>
      <w:bookmarkEnd w:id="183"/>
      <w:bookmarkEnd w:id="184"/>
      <w:bookmarkEnd w:id="185"/>
      <w:bookmarkEnd w:id="186"/>
      <w:bookmarkEnd w:id="187"/>
      <w:bookmarkEnd w:id="188"/>
    </w:p>
    <w:p w14:paraId="5E58DB70">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.2.1 室内排水管道及配件安装应符合下列要求：</w:t>
      </w:r>
    </w:p>
    <w:p w14:paraId="282F6B97">
      <w:pPr>
        <w:pStyle w:val="46"/>
        <w:spacing w:line="360" w:lineRule="auto"/>
        <w:rPr>
          <w:rFonts w:ascii="宋体" w:hAnsi="宋体" w:cs="宋体"/>
          <w:color w:val="auto"/>
          <w:highlight w:val="none"/>
        </w:rPr>
      </w:pPr>
      <w:r>
        <w:rPr>
          <w:rFonts w:hint="eastAsia" w:ascii="宋体" w:hAnsi="宋体" w:cs="宋体"/>
          <w:color w:val="auto"/>
          <w:highlight w:val="none"/>
        </w:rPr>
        <w:t>1 管材及管件规格、型号应符合设计要求；</w:t>
      </w:r>
    </w:p>
    <w:p w14:paraId="4DC3CA81">
      <w:pPr>
        <w:pStyle w:val="46"/>
        <w:spacing w:line="360" w:lineRule="auto"/>
        <w:rPr>
          <w:rFonts w:ascii="宋体" w:hAnsi="宋体" w:cs="宋体"/>
          <w:color w:val="auto"/>
          <w:highlight w:val="none"/>
        </w:rPr>
      </w:pPr>
      <w:r>
        <w:rPr>
          <w:rFonts w:hint="eastAsia" w:ascii="宋体" w:hAnsi="宋体" w:cs="宋体"/>
          <w:color w:val="auto"/>
          <w:highlight w:val="none"/>
        </w:rPr>
        <w:t>2 排水塑料管应按设计要求设置伸缩节；</w:t>
      </w:r>
    </w:p>
    <w:p w14:paraId="684B0BC8">
      <w:pPr>
        <w:pStyle w:val="46"/>
        <w:spacing w:line="360" w:lineRule="auto"/>
        <w:rPr>
          <w:rFonts w:ascii="宋体" w:hAnsi="宋体" w:cs="宋体"/>
          <w:color w:val="auto"/>
          <w:highlight w:val="none"/>
        </w:rPr>
      </w:pPr>
      <w:r>
        <w:rPr>
          <w:rFonts w:hint="eastAsia" w:ascii="宋体" w:hAnsi="宋体" w:cs="宋体"/>
          <w:color w:val="auto"/>
          <w:highlight w:val="none"/>
        </w:rPr>
        <w:t>3 管道坡向</w:t>
      </w:r>
      <w:r>
        <w:rPr>
          <w:rFonts w:hint="eastAsia" w:ascii="宋体" w:hAnsi="宋体" w:cs="宋体"/>
          <w:color w:val="auto"/>
          <w:highlight w:val="none"/>
          <w:lang w:val="en-US" w:eastAsia="zh-CN"/>
        </w:rPr>
        <w:t>应</w:t>
      </w:r>
      <w:r>
        <w:rPr>
          <w:rFonts w:hint="eastAsia" w:ascii="宋体" w:hAnsi="宋体" w:cs="宋体"/>
          <w:color w:val="auto"/>
          <w:highlight w:val="none"/>
        </w:rPr>
        <w:t>符合设计及相关标准要求，不应有倒坡或平坡现象；</w:t>
      </w:r>
    </w:p>
    <w:p w14:paraId="49F94BD7">
      <w:pPr>
        <w:pStyle w:val="46"/>
        <w:spacing w:line="360" w:lineRule="auto"/>
        <w:rPr>
          <w:rFonts w:ascii="宋体" w:hAnsi="宋体" w:cs="宋体"/>
          <w:color w:val="auto"/>
          <w:highlight w:val="none"/>
        </w:rPr>
      </w:pPr>
      <w:r>
        <w:rPr>
          <w:rFonts w:hint="eastAsia" w:ascii="宋体" w:hAnsi="宋体" w:cs="宋体"/>
          <w:color w:val="auto"/>
          <w:highlight w:val="none"/>
        </w:rPr>
        <w:t>4 暗敷</w:t>
      </w:r>
      <w:r>
        <w:rPr>
          <w:rFonts w:hint="eastAsia" w:ascii="宋体" w:hAnsi="宋体" w:cs="宋体"/>
          <w:color w:val="auto"/>
          <w:highlight w:val="none"/>
          <w:lang w:val="en-US" w:eastAsia="zh-CN"/>
        </w:rPr>
        <w:t>的</w:t>
      </w:r>
      <w:r>
        <w:rPr>
          <w:rFonts w:hint="eastAsia" w:ascii="宋体" w:hAnsi="宋体" w:cs="宋体"/>
          <w:color w:val="auto"/>
          <w:highlight w:val="none"/>
        </w:rPr>
        <w:t>排水管道检查口的设置应符合设计要求并</w:t>
      </w:r>
      <w:r>
        <w:rPr>
          <w:rFonts w:hint="eastAsia" w:ascii="宋体" w:hAnsi="宋体" w:cs="宋体"/>
          <w:color w:val="auto"/>
          <w:highlight w:val="none"/>
          <w:lang w:val="en-US" w:eastAsia="zh-CN"/>
        </w:rPr>
        <w:t>应有</w:t>
      </w:r>
      <w:r>
        <w:rPr>
          <w:rFonts w:hint="eastAsia" w:ascii="宋体" w:hAnsi="宋体" w:cs="宋体"/>
          <w:color w:val="auto"/>
          <w:highlight w:val="none"/>
        </w:rPr>
        <w:t>便于检查</w:t>
      </w:r>
      <w:r>
        <w:rPr>
          <w:rFonts w:hint="eastAsia" w:ascii="宋体" w:hAnsi="宋体" w:cs="宋体"/>
          <w:color w:val="auto"/>
          <w:highlight w:val="none"/>
          <w:lang w:val="en-US" w:eastAsia="zh-CN"/>
        </w:rPr>
        <w:t>的措施</w:t>
      </w:r>
      <w:r>
        <w:rPr>
          <w:rFonts w:hint="eastAsia" w:ascii="宋体" w:hAnsi="宋体" w:cs="宋体"/>
          <w:color w:val="auto"/>
          <w:highlight w:val="none"/>
        </w:rPr>
        <w:t>；</w:t>
      </w:r>
    </w:p>
    <w:p w14:paraId="132327B0">
      <w:pPr>
        <w:pStyle w:val="46"/>
        <w:spacing w:line="360" w:lineRule="auto"/>
        <w:rPr>
          <w:rFonts w:ascii="宋体" w:hAnsi="宋体" w:cs="宋体"/>
          <w:color w:val="auto"/>
          <w:highlight w:val="none"/>
        </w:rPr>
      </w:pPr>
      <w:r>
        <w:rPr>
          <w:rFonts w:hint="eastAsia" w:ascii="宋体" w:hAnsi="宋体" w:cs="宋体"/>
          <w:color w:val="auto"/>
          <w:highlight w:val="none"/>
        </w:rPr>
        <w:t>5 高层建筑中的塑料排水管道系统，应按设计要求设置阻火圈或防火套管。当管径大于110mm时，设置的阻火圈应有膨胀螺栓固定。</w:t>
      </w:r>
    </w:p>
    <w:p w14:paraId="799B0DFE">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r>
        <w:rPr>
          <w:rFonts w:hint="eastAsia" w:ascii="宋体" w:hAnsi="宋体" w:cs="宋体"/>
          <w:color w:val="auto"/>
          <w:highlight w:val="none"/>
          <w:lang w:eastAsia="zh-CN"/>
        </w:rPr>
        <w:t>、</w:t>
      </w:r>
      <w:r>
        <w:rPr>
          <w:rFonts w:hint="eastAsia" w:ascii="宋体" w:hAnsi="宋体" w:cs="宋体"/>
          <w:color w:val="auto"/>
          <w:highlight w:val="none"/>
        </w:rPr>
        <w:t>尺量检查，隐蔽的管道及配件查看隐蔽工程验收记录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阻火圈等消防产品性能参数查看产品手册</w:t>
      </w:r>
      <w:r>
        <w:rPr>
          <w:rFonts w:hint="eastAsia" w:ascii="宋体" w:hAnsi="宋体" w:cs="宋体"/>
          <w:color w:val="auto"/>
          <w:highlight w:val="none"/>
        </w:rPr>
        <w:t>。</w:t>
      </w:r>
    </w:p>
    <w:p w14:paraId="767EBB01">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13D14FB4">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8.2.1 排水管道安装时管材材质、规格、生产厂家等信息应朝向可见侧，易于观察，以便住户以后维修方便。住宅工程排水塑料管道应每层设伸缩节，伸缩节应与固定支架配套设置，两个固定支架之间设一个伸缩节。当排水管道穿过楼板没有设套管而是管道直接与楼板采用混凝土封堵固定时，管道洞封堵处就充当了一个固定支架，在两楼板之间只能设滑动支架，才不会影响伸缩节的正常动作。室内塑料雨水管道也按室内生活污水排水管道要求设置伸缩节；支架、吊架安装间距按《建筑给</w:t>
      </w:r>
      <w:r>
        <w:rPr>
          <w:rFonts w:hint="eastAsia" w:cs="宋体"/>
          <w:color w:val="auto"/>
          <w:sz w:val="28"/>
          <w:szCs w:val="28"/>
          <w:highlight w:val="none"/>
          <w:shd w:val="pct10" w:color="auto" w:fill="FFFFFF"/>
          <w:lang w:val="en-US" w:eastAsia="zh-CN"/>
        </w:rPr>
        <w:t>水</w:t>
      </w:r>
      <w:r>
        <w:rPr>
          <w:rFonts w:cs="宋体"/>
          <w:color w:val="auto"/>
          <w:sz w:val="28"/>
          <w:szCs w:val="28"/>
          <w:highlight w:val="none"/>
          <w:shd w:val="pct10" w:color="auto" w:fill="FFFFFF"/>
          <w:lang w:eastAsia="zh-CN"/>
        </w:rPr>
        <w:t>排水及采暖工程施工质量验收规范》GB 50242的要求检查；因排水管道较多</w:t>
      </w:r>
      <w:r>
        <w:rPr>
          <w:rFonts w:hint="eastAsia" w:cs="宋体"/>
          <w:color w:val="auto"/>
          <w:sz w:val="28"/>
          <w:szCs w:val="28"/>
          <w:highlight w:val="none"/>
          <w:shd w:val="pct10" w:color="auto" w:fill="FFFFFF"/>
          <w:lang w:eastAsia="zh-CN"/>
        </w:rPr>
        <w:t>，对所有管道坡度进行测量工作量较大，分户质量检验时可对坡向进行观察，对有怀疑的排水管道的坡度应用水平尺测量。</w:t>
      </w:r>
    </w:p>
    <w:p w14:paraId="3098A42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.2.2 排水管道系统应畅通，管道及接口无渗漏。</w:t>
      </w:r>
    </w:p>
    <w:p w14:paraId="306C125C">
      <w:pPr>
        <w:pStyle w:val="46"/>
        <w:spacing w:line="360" w:lineRule="auto"/>
        <w:rPr>
          <w:rFonts w:ascii="宋体" w:hAnsi="宋体" w:cs="宋体"/>
          <w:color w:val="auto"/>
          <w:highlight w:val="none"/>
        </w:rPr>
      </w:pPr>
      <w:r>
        <w:rPr>
          <w:rFonts w:hint="eastAsia" w:ascii="宋体" w:hAnsi="宋体" w:cs="宋体"/>
          <w:color w:val="auto"/>
          <w:highlight w:val="none"/>
        </w:rPr>
        <w:t>检验方法：通水后打开该户所有用水点，对排水管道及接口部位进行通水检查。</w:t>
      </w:r>
    </w:p>
    <w:p w14:paraId="60D070B2">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14:paraId="7DEAE2D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.2.3 排水栓和地漏的安装应平整、牢固，位置合理，位置应低于排水表面，满足排水要求；无水封的地漏与生活排水管道连接时，在排水口以下应设存水弯；存水弯和有水封地漏的水封高度不应小于</w:t>
      </w:r>
      <w:r>
        <w:rPr>
          <w:rFonts w:cs="宋体"/>
          <w:color w:val="auto"/>
          <w:sz w:val="28"/>
          <w:szCs w:val="28"/>
          <w:highlight w:val="none"/>
          <w:lang w:eastAsia="zh-CN"/>
        </w:rPr>
        <w:t>50mm。</w:t>
      </w:r>
    </w:p>
    <w:p w14:paraId="1EC0FBC7">
      <w:pPr>
        <w:pStyle w:val="46"/>
        <w:spacing w:line="360" w:lineRule="auto"/>
        <w:rPr>
          <w:rFonts w:ascii="宋体" w:hAnsi="宋体" w:cs="宋体"/>
          <w:color w:val="auto"/>
          <w:highlight w:val="none"/>
        </w:rPr>
      </w:pPr>
      <w:r>
        <w:rPr>
          <w:rFonts w:ascii="宋体" w:hAnsi="宋体" w:cs="宋体"/>
          <w:color w:val="auto"/>
          <w:highlight w:val="none"/>
        </w:rPr>
        <w:t>检验方法：观察检查；查看产品质保单或插入尺量存水高（深）度。</w:t>
      </w:r>
    </w:p>
    <w:p w14:paraId="5DE25918">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14:paraId="00AD5F21">
      <w:pPr>
        <w:pStyle w:val="3"/>
        <w:spacing w:before="240" w:after="240"/>
        <w:rPr>
          <w:rStyle w:val="43"/>
          <w:rFonts w:ascii="仿宋" w:hAnsi="仿宋" w:cs="宋体"/>
          <w:b/>
          <w:bCs w:val="0"/>
          <w:color w:val="auto"/>
          <w:highlight w:val="none"/>
        </w:rPr>
      </w:pPr>
      <w:bookmarkStart w:id="189" w:name="_Toc133572723"/>
      <w:bookmarkStart w:id="190" w:name="_Toc21529"/>
      <w:bookmarkStart w:id="191" w:name="_Toc5132"/>
      <w:bookmarkStart w:id="192" w:name="_Toc18227"/>
      <w:bookmarkStart w:id="193" w:name="_Toc10677"/>
      <w:bookmarkStart w:id="194" w:name="_Toc22956"/>
      <w:bookmarkStart w:id="195" w:name="_Toc26074"/>
      <w:r>
        <w:rPr>
          <w:rStyle w:val="43"/>
          <w:rFonts w:ascii="仿宋" w:hAnsi="仿宋" w:cs="宋体"/>
          <w:b/>
          <w:bCs w:val="0"/>
          <w:color w:val="auto"/>
          <w:highlight w:val="none"/>
        </w:rPr>
        <w:t>8</w:t>
      </w:r>
      <w:r>
        <w:rPr>
          <w:rStyle w:val="43"/>
          <w:rFonts w:hint="eastAsia" w:ascii="仿宋" w:hAnsi="仿宋" w:cs="宋体"/>
          <w:b/>
          <w:bCs w:val="0"/>
          <w:color w:val="auto"/>
          <w:highlight w:val="none"/>
        </w:rPr>
        <w:t>.3 太阳能热水系统</w:t>
      </w:r>
      <w:bookmarkEnd w:id="189"/>
      <w:bookmarkEnd w:id="190"/>
      <w:bookmarkEnd w:id="191"/>
      <w:bookmarkEnd w:id="192"/>
      <w:bookmarkEnd w:id="193"/>
      <w:bookmarkEnd w:id="194"/>
      <w:bookmarkEnd w:id="195"/>
    </w:p>
    <w:p w14:paraId="437C5BA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.3.1 太阳能热水系统型号规格、安装位置应符合设计要求，安装应牢固</w:t>
      </w:r>
      <w:r>
        <w:rPr>
          <w:rFonts w:cs="宋体"/>
          <w:color w:val="auto"/>
          <w:sz w:val="28"/>
          <w:szCs w:val="28"/>
          <w:highlight w:val="none"/>
          <w:lang w:eastAsia="zh-CN"/>
        </w:rPr>
        <w:t>。</w:t>
      </w:r>
    </w:p>
    <w:p w14:paraId="7C8E20CA">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366AC057">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14:paraId="2F57D541">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.3.1 太阳能热水系统安装涉及到建筑、结构、电气和给排水等专业，系统应在使用前进行调试，其施工验收应符合《民用建筑太阳能热水系统应用技术标准》GB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50364的规定。本标准仅对太阳能热水系统进行简单检查，不可替代相关验收标准。</w:t>
      </w:r>
    </w:p>
    <w:p w14:paraId="308C159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.3.2 太阳能热水系统配件应齐全，功能正常，通水后不渗不漏。热水箱及管道保温层应无遗漏、无破损，金属部件应接地可靠</w:t>
      </w:r>
      <w:r>
        <w:rPr>
          <w:rFonts w:cs="宋体"/>
          <w:color w:val="auto"/>
          <w:sz w:val="28"/>
          <w:szCs w:val="28"/>
          <w:highlight w:val="none"/>
          <w:lang w:eastAsia="zh-CN"/>
        </w:rPr>
        <w:t>。</w:t>
      </w:r>
    </w:p>
    <w:p w14:paraId="3A9846E6">
      <w:pPr>
        <w:pStyle w:val="46"/>
        <w:spacing w:line="360" w:lineRule="auto"/>
        <w:rPr>
          <w:rFonts w:ascii="宋体" w:hAnsi="宋体" w:cs="宋体"/>
          <w:color w:val="auto"/>
          <w:highlight w:val="none"/>
        </w:rPr>
      </w:pPr>
      <w:r>
        <w:rPr>
          <w:rFonts w:ascii="宋体" w:hAnsi="宋体" w:cs="宋体"/>
          <w:color w:val="auto"/>
          <w:highlight w:val="none"/>
        </w:rPr>
        <w:t>检验方法：通水试验检查，观察检查。</w:t>
      </w:r>
    </w:p>
    <w:p w14:paraId="3E2F9821">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14:paraId="37257644">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8.3.2 太阳能热水系统约定在竣工验收后进行调试启用的，可不进行通水功能测试。太阳能热水系统管道保温比较容易在安装过程中破损，故规定对保温层进行检查</w:t>
      </w:r>
      <w:r>
        <w:rPr>
          <w:rFonts w:hint="eastAsia" w:cs="宋体"/>
          <w:color w:val="auto"/>
          <w:sz w:val="28"/>
          <w:szCs w:val="28"/>
          <w:highlight w:val="none"/>
          <w:shd w:val="pct10" w:color="auto" w:fill="FFFFFF"/>
          <w:lang w:eastAsia="zh-CN"/>
        </w:rPr>
        <w:t>。</w:t>
      </w:r>
    </w:p>
    <w:p w14:paraId="40175D39">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w:t>
      </w:r>
      <w:r>
        <w:rPr>
          <w:rFonts w:cs="宋体"/>
          <w:color w:val="auto"/>
          <w:sz w:val="28"/>
          <w:szCs w:val="28"/>
          <w:highlight w:val="none"/>
          <w:lang w:eastAsia="zh-CN"/>
        </w:rPr>
        <w:t>3</w:t>
      </w:r>
      <w:r>
        <w:rPr>
          <w:rFonts w:hint="eastAsia" w:cs="宋体"/>
          <w:color w:val="auto"/>
          <w:sz w:val="28"/>
          <w:szCs w:val="28"/>
          <w:highlight w:val="none"/>
          <w:lang w:eastAsia="zh-CN"/>
        </w:rPr>
        <w:t xml:space="preserve"> 检查</w:t>
      </w:r>
      <w:r>
        <w:rPr>
          <w:rFonts w:cs="宋体"/>
          <w:color w:val="auto"/>
          <w:sz w:val="28"/>
          <w:szCs w:val="28"/>
          <w:highlight w:val="none"/>
          <w:lang w:eastAsia="zh-CN"/>
        </w:rPr>
        <w:t>太阳能热水系统</w:t>
      </w:r>
      <w:r>
        <w:rPr>
          <w:rFonts w:hint="eastAsia" w:cs="宋体"/>
          <w:color w:val="auto"/>
          <w:sz w:val="28"/>
          <w:szCs w:val="28"/>
          <w:highlight w:val="none"/>
          <w:lang w:eastAsia="zh-CN"/>
        </w:rPr>
        <w:t>是否设置高温保护装置，</w:t>
      </w:r>
      <w:r>
        <w:rPr>
          <w:rFonts w:hint="eastAsia" w:cs="宋体"/>
          <w:color w:val="auto"/>
          <w:sz w:val="28"/>
          <w:szCs w:val="28"/>
          <w:highlight w:val="none"/>
          <w:lang w:val="en-US" w:eastAsia="zh-CN"/>
        </w:rPr>
        <w:t>安全阀排蒸汽和高温水时，其安装位置不应危及周围人员安全</w:t>
      </w:r>
      <w:r>
        <w:rPr>
          <w:rFonts w:cs="宋体"/>
          <w:color w:val="auto"/>
          <w:sz w:val="28"/>
          <w:szCs w:val="28"/>
          <w:highlight w:val="none"/>
          <w:lang w:eastAsia="zh-CN"/>
        </w:rPr>
        <w:t>。</w:t>
      </w:r>
    </w:p>
    <w:p w14:paraId="4A43CEEC">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3F4072F4">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14:paraId="651DC819">
      <w:pPr>
        <w:pStyle w:val="3"/>
        <w:spacing w:before="240" w:after="240"/>
        <w:rPr>
          <w:rStyle w:val="43"/>
          <w:rFonts w:ascii="仿宋" w:hAnsi="仿宋" w:cs="宋体"/>
          <w:b/>
          <w:bCs w:val="0"/>
          <w:color w:val="auto"/>
          <w:highlight w:val="none"/>
        </w:rPr>
      </w:pPr>
      <w:bookmarkStart w:id="196" w:name="_Toc31051"/>
      <w:bookmarkStart w:id="197" w:name="_Toc133572724"/>
      <w:bookmarkStart w:id="198" w:name="_Toc28790"/>
      <w:bookmarkStart w:id="199" w:name="_Toc2630"/>
      <w:bookmarkStart w:id="200" w:name="_Toc26492"/>
      <w:bookmarkStart w:id="201" w:name="_Toc28700"/>
      <w:bookmarkStart w:id="202" w:name="_Toc20555"/>
      <w:r>
        <w:rPr>
          <w:rStyle w:val="43"/>
          <w:rFonts w:ascii="仿宋" w:hAnsi="仿宋" w:cs="宋体"/>
          <w:b/>
          <w:bCs w:val="0"/>
          <w:color w:val="auto"/>
          <w:highlight w:val="none"/>
        </w:rPr>
        <w:t>8</w:t>
      </w:r>
      <w:r>
        <w:rPr>
          <w:rStyle w:val="43"/>
          <w:rFonts w:hint="eastAsia" w:ascii="仿宋" w:hAnsi="仿宋" w:cs="宋体"/>
          <w:b/>
          <w:bCs w:val="0"/>
          <w:color w:val="auto"/>
          <w:highlight w:val="none"/>
        </w:rPr>
        <w:t>.4 空气源热泵热水系统</w:t>
      </w:r>
      <w:bookmarkEnd w:id="196"/>
      <w:bookmarkEnd w:id="197"/>
      <w:bookmarkEnd w:id="198"/>
      <w:bookmarkEnd w:id="199"/>
      <w:bookmarkEnd w:id="200"/>
      <w:bookmarkEnd w:id="201"/>
      <w:bookmarkEnd w:id="202"/>
    </w:p>
    <w:p w14:paraId="6340CA9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.4.1 空气源热泵热水系统型号规格、安装位置应符合设计要求，安装应牢固。</w:t>
      </w:r>
    </w:p>
    <w:p w14:paraId="5AB546EC">
      <w:pPr>
        <w:pStyle w:val="46"/>
        <w:spacing w:line="360" w:lineRule="auto"/>
        <w:rPr>
          <w:rFonts w:ascii="宋体" w:hAnsi="宋体" w:cs="宋体"/>
          <w:color w:val="auto"/>
          <w:highlight w:val="none"/>
        </w:rPr>
      </w:pPr>
      <w:r>
        <w:rPr>
          <w:rFonts w:hint="eastAsia" w:ascii="宋体" w:hAnsi="宋体" w:cs="宋体"/>
          <w:color w:val="auto"/>
          <w:highlight w:val="none"/>
        </w:rPr>
        <w:t>检验方法：查看产品合格证、检测报告。</w:t>
      </w:r>
    </w:p>
    <w:p w14:paraId="346C99A4">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571ABC98">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8.4.1 空气源热泵热水系统安装涉及到建筑、结构、电气和给排水等专业，系统安装完毕、竣工验收前，应进行系统调试，其施工验收应符合行业标准《空气源热泵热水工程施工及验收规范》NB/T 34067的相关规定</w:t>
      </w:r>
      <w:r>
        <w:rPr>
          <w:rFonts w:hint="eastAsia" w:cs="宋体"/>
          <w:color w:val="auto"/>
          <w:sz w:val="28"/>
          <w:szCs w:val="28"/>
          <w:highlight w:val="none"/>
          <w:shd w:val="pct10" w:color="auto" w:fill="FFFFFF"/>
          <w:lang w:eastAsia="zh-CN"/>
        </w:rPr>
        <w:t>。</w:t>
      </w:r>
    </w:p>
    <w:p w14:paraId="7CEA6D1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.4.2 空气源热水系统配件应齐全，功能正常，通水后不渗不漏。热水箱及</w:t>
      </w:r>
      <w:r>
        <w:rPr>
          <w:rFonts w:cs="宋体"/>
          <w:color w:val="auto"/>
          <w:sz w:val="28"/>
          <w:szCs w:val="28"/>
          <w:highlight w:val="none"/>
          <w:lang w:eastAsia="zh-CN"/>
        </w:rPr>
        <w:t>管道保温层应</w:t>
      </w:r>
      <w:r>
        <w:rPr>
          <w:rFonts w:hint="eastAsia" w:cs="宋体"/>
          <w:color w:val="auto"/>
          <w:sz w:val="28"/>
          <w:szCs w:val="28"/>
          <w:highlight w:val="none"/>
          <w:lang w:eastAsia="zh-CN"/>
        </w:rPr>
        <w:t>无遗漏、</w:t>
      </w:r>
      <w:r>
        <w:rPr>
          <w:rFonts w:cs="宋体"/>
          <w:color w:val="auto"/>
          <w:sz w:val="28"/>
          <w:szCs w:val="28"/>
          <w:highlight w:val="none"/>
          <w:lang w:eastAsia="zh-CN"/>
        </w:rPr>
        <w:t>无破损，金属部件应接地可靠。</w:t>
      </w:r>
    </w:p>
    <w:p w14:paraId="422BB5C7">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检验方法：观察检查；通水检查。</w:t>
      </w:r>
    </w:p>
    <w:p w14:paraId="61EB4758">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4B44763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w:t>
      </w:r>
      <w:r>
        <w:rPr>
          <w:rFonts w:cs="宋体"/>
          <w:color w:val="auto"/>
          <w:sz w:val="28"/>
          <w:szCs w:val="28"/>
          <w:highlight w:val="none"/>
          <w:lang w:eastAsia="zh-CN"/>
        </w:rPr>
        <w:t>3</w:t>
      </w:r>
      <w:r>
        <w:rPr>
          <w:rFonts w:hint="eastAsia" w:cs="宋体"/>
          <w:color w:val="auto"/>
          <w:sz w:val="28"/>
          <w:szCs w:val="28"/>
          <w:highlight w:val="none"/>
          <w:lang w:eastAsia="zh-CN"/>
        </w:rPr>
        <w:t xml:space="preserve"> 空气源热水设备位置应通风良好，进风和排风距离满足产品要求。</w:t>
      </w:r>
    </w:p>
    <w:p w14:paraId="49C37D5D">
      <w:pPr>
        <w:pStyle w:val="46"/>
        <w:spacing w:line="360" w:lineRule="auto"/>
        <w:rPr>
          <w:rFonts w:ascii="宋体" w:hAnsi="宋体" w:cs="宋体"/>
          <w:color w:val="auto"/>
          <w:highlight w:val="none"/>
        </w:rPr>
      </w:pPr>
      <w:r>
        <w:rPr>
          <w:rFonts w:hint="eastAsia" w:ascii="宋体" w:hAnsi="宋体" w:cs="宋体"/>
          <w:color w:val="auto"/>
          <w:highlight w:val="none"/>
        </w:rPr>
        <w:t>检验方法：查看产品合格证；观察检查。</w:t>
      </w:r>
    </w:p>
    <w:p w14:paraId="10A5F2E0">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69CBC632">
      <w:pPr>
        <w:pStyle w:val="3"/>
        <w:spacing w:before="240" w:after="240"/>
        <w:rPr>
          <w:rStyle w:val="43"/>
          <w:rFonts w:ascii="仿宋" w:hAnsi="仿宋" w:cs="宋体"/>
          <w:b/>
          <w:bCs w:val="0"/>
          <w:color w:val="auto"/>
          <w:highlight w:val="none"/>
        </w:rPr>
      </w:pPr>
      <w:bookmarkStart w:id="203" w:name="_Toc133572725"/>
      <w:bookmarkStart w:id="204" w:name="_Toc31001"/>
      <w:bookmarkStart w:id="205" w:name="_Toc28032"/>
      <w:bookmarkStart w:id="206" w:name="_Toc9166"/>
      <w:bookmarkStart w:id="207" w:name="_Toc131078644"/>
      <w:bookmarkStart w:id="208" w:name="_Toc32178"/>
      <w:bookmarkStart w:id="209" w:name="_Toc17960"/>
      <w:bookmarkStart w:id="210" w:name="_Toc4502"/>
      <w:r>
        <w:rPr>
          <w:rStyle w:val="43"/>
          <w:rFonts w:ascii="仿宋" w:hAnsi="仿宋" w:cs="宋体"/>
          <w:b/>
          <w:bCs w:val="0"/>
          <w:color w:val="auto"/>
          <w:highlight w:val="none"/>
        </w:rPr>
        <w:t>8</w:t>
      </w:r>
      <w:r>
        <w:rPr>
          <w:rStyle w:val="43"/>
          <w:rFonts w:hint="eastAsia" w:ascii="仿宋" w:hAnsi="仿宋" w:cs="宋体"/>
          <w:b/>
          <w:bCs w:val="0"/>
          <w:color w:val="auto"/>
          <w:highlight w:val="none"/>
        </w:rPr>
        <w:t>.5 消防设施工程</w:t>
      </w:r>
      <w:bookmarkEnd w:id="203"/>
      <w:bookmarkEnd w:id="204"/>
      <w:bookmarkEnd w:id="205"/>
      <w:bookmarkEnd w:id="206"/>
      <w:bookmarkEnd w:id="207"/>
      <w:bookmarkEnd w:id="208"/>
      <w:bookmarkEnd w:id="209"/>
      <w:bookmarkEnd w:id="210"/>
    </w:p>
    <w:p w14:paraId="47136E19">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.5.1 高层住宅户内</w:t>
      </w:r>
      <w:r>
        <w:rPr>
          <w:rFonts w:hint="eastAsia" w:cs="宋体"/>
          <w:color w:val="auto"/>
          <w:sz w:val="28"/>
          <w:szCs w:val="28"/>
          <w:highlight w:val="none"/>
          <w:lang w:val="en-US" w:eastAsia="zh-CN"/>
        </w:rPr>
        <w:t>设置消防软管卷盘或</w:t>
      </w:r>
      <w:r>
        <w:rPr>
          <w:rFonts w:hint="eastAsia" w:cs="宋体"/>
          <w:color w:val="auto"/>
          <w:sz w:val="28"/>
          <w:szCs w:val="28"/>
          <w:highlight w:val="none"/>
          <w:lang w:eastAsia="zh-CN"/>
        </w:rPr>
        <w:t>轻便消防水龙</w:t>
      </w:r>
      <w:r>
        <w:rPr>
          <w:rFonts w:hint="eastAsia" w:cs="宋体"/>
          <w:color w:val="auto"/>
          <w:sz w:val="28"/>
          <w:szCs w:val="28"/>
          <w:highlight w:val="none"/>
          <w:lang w:val="en-US" w:eastAsia="zh-CN"/>
        </w:rPr>
        <w:t>的场所，消防设施</w:t>
      </w:r>
      <w:r>
        <w:rPr>
          <w:rFonts w:hint="eastAsia" w:cs="宋体"/>
          <w:color w:val="auto"/>
          <w:sz w:val="28"/>
          <w:szCs w:val="28"/>
          <w:highlight w:val="none"/>
          <w:lang w:eastAsia="zh-CN"/>
        </w:rPr>
        <w:t>应取用方便，轻便消防水龙应配套专用消防接口、水带及水枪。</w:t>
      </w:r>
    </w:p>
    <w:p w14:paraId="464346E9">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检验方法：观察检查；通水检查。</w:t>
      </w:r>
    </w:p>
    <w:p w14:paraId="05B53523">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49ECF852">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.5.1 根据《建筑设计防火规范》GB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50016的相关要求，</w:t>
      </w:r>
      <w:r>
        <w:rPr>
          <w:rFonts w:hint="eastAsia" w:cs="宋体"/>
          <w:color w:val="auto"/>
          <w:sz w:val="28"/>
          <w:szCs w:val="28"/>
          <w:highlight w:val="none"/>
          <w:shd w:val="pct10" w:color="auto" w:fill="FFFFFF"/>
          <w:lang w:val="en-US" w:eastAsia="zh-CN"/>
        </w:rPr>
        <w:t>超高层建筑应设置消防软管卷盘或轻便消防水龙，</w:t>
      </w:r>
      <w:r>
        <w:rPr>
          <w:rFonts w:hint="eastAsia" w:cs="宋体"/>
          <w:color w:val="auto"/>
          <w:sz w:val="28"/>
          <w:szCs w:val="28"/>
          <w:highlight w:val="none"/>
          <w:shd w:val="pct10" w:color="auto" w:fill="FFFFFF"/>
          <w:lang w:eastAsia="zh-CN"/>
        </w:rPr>
        <w:t>高层住宅户内宜设置轻便消防水龙，项目如果设置轻便消防水龙，应满足消防救援行业标准《轻便消防水龙》</w:t>
      </w:r>
      <w:r>
        <w:rPr>
          <w:rFonts w:hint="eastAsia" w:cs="宋体"/>
          <w:color w:val="auto"/>
          <w:sz w:val="28"/>
          <w:szCs w:val="28"/>
          <w:highlight w:val="none"/>
          <w:shd w:val="pct10" w:color="auto" w:fill="FFFFFF"/>
          <w:lang w:val="en-US" w:eastAsia="zh-CN"/>
        </w:rPr>
        <w:t>XF</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180的要求。</w:t>
      </w:r>
    </w:p>
    <w:p w14:paraId="766297F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.5.2 超高层住宅户内自动喷淋管道材质应符合相关国家</w:t>
      </w:r>
      <w:r>
        <w:rPr>
          <w:rFonts w:hint="eastAsia" w:cs="宋体"/>
          <w:color w:val="auto"/>
          <w:sz w:val="28"/>
          <w:szCs w:val="28"/>
          <w:highlight w:val="none"/>
          <w:lang w:val="en-US" w:eastAsia="zh-CN"/>
        </w:rPr>
        <w:t>规范</w:t>
      </w:r>
      <w:r>
        <w:rPr>
          <w:rFonts w:hint="eastAsia" w:cs="宋体"/>
          <w:color w:val="auto"/>
          <w:sz w:val="28"/>
          <w:szCs w:val="28"/>
          <w:highlight w:val="none"/>
          <w:lang w:eastAsia="zh-CN"/>
        </w:rPr>
        <w:t>要求，接口严密无渗漏；喷头位置设置合理，</w:t>
      </w:r>
      <w:r>
        <w:rPr>
          <w:rFonts w:hint="eastAsia" w:cs="宋体"/>
          <w:color w:val="auto"/>
          <w:sz w:val="28"/>
          <w:szCs w:val="28"/>
          <w:highlight w:val="none"/>
          <w:lang w:val="en-US" w:eastAsia="zh-CN"/>
        </w:rPr>
        <w:t>喷头选型符合设计要求，</w:t>
      </w:r>
      <w:r>
        <w:rPr>
          <w:rFonts w:hint="eastAsia" w:cs="宋体"/>
          <w:color w:val="auto"/>
          <w:sz w:val="28"/>
          <w:szCs w:val="28"/>
          <w:highlight w:val="none"/>
          <w:lang w:eastAsia="zh-CN"/>
        </w:rPr>
        <w:t>喷头</w:t>
      </w:r>
      <w:r>
        <w:rPr>
          <w:rFonts w:hint="eastAsia" w:cs="宋体"/>
          <w:color w:val="auto"/>
          <w:sz w:val="28"/>
          <w:szCs w:val="28"/>
          <w:highlight w:val="none"/>
          <w:lang w:val="en-US" w:eastAsia="zh-CN"/>
        </w:rPr>
        <w:t>溅水盘</w:t>
      </w:r>
      <w:r>
        <w:rPr>
          <w:rFonts w:hint="eastAsia" w:cs="宋体"/>
          <w:color w:val="auto"/>
          <w:sz w:val="28"/>
          <w:szCs w:val="28"/>
          <w:highlight w:val="none"/>
          <w:lang w:eastAsia="zh-CN"/>
        </w:rPr>
        <w:t>距天花高度满足相关国家</w:t>
      </w:r>
      <w:r>
        <w:rPr>
          <w:rFonts w:hint="eastAsia" w:cs="宋体"/>
          <w:color w:val="auto"/>
          <w:sz w:val="28"/>
          <w:szCs w:val="28"/>
          <w:highlight w:val="none"/>
          <w:lang w:val="en-US" w:eastAsia="zh-CN"/>
        </w:rPr>
        <w:t>规范</w:t>
      </w:r>
      <w:r>
        <w:rPr>
          <w:rFonts w:hint="eastAsia" w:cs="宋体"/>
          <w:color w:val="auto"/>
          <w:sz w:val="28"/>
          <w:szCs w:val="28"/>
          <w:highlight w:val="none"/>
          <w:lang w:eastAsia="zh-CN"/>
        </w:rPr>
        <w:t>要求。</w:t>
      </w:r>
    </w:p>
    <w:p w14:paraId="126357BB">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检验方法：观察检查；检查管道试压验收资料；工具测量</w:t>
      </w:r>
      <w:r>
        <w:rPr>
          <w:rFonts w:hint="eastAsia" w:ascii="宋体" w:hAnsi="宋体" w:cs="宋体"/>
          <w:color w:val="auto"/>
          <w:highlight w:val="none"/>
          <w:lang w:eastAsia="zh-CN"/>
        </w:rPr>
        <w:t>，</w:t>
      </w:r>
      <w:r>
        <w:rPr>
          <w:rFonts w:hint="eastAsia" w:ascii="宋体" w:hAnsi="宋体" w:cs="宋体"/>
          <w:color w:val="auto"/>
          <w:highlight w:val="none"/>
        </w:rPr>
        <w:t>查看</w:t>
      </w:r>
      <w:r>
        <w:rPr>
          <w:rFonts w:hint="eastAsia" w:ascii="宋体" w:hAnsi="宋体" w:cs="宋体"/>
          <w:color w:val="auto"/>
          <w:highlight w:val="none"/>
          <w:lang w:val="en-US" w:eastAsia="zh-CN"/>
        </w:rPr>
        <w:t>喷头</w:t>
      </w:r>
      <w:r>
        <w:rPr>
          <w:rFonts w:hint="eastAsia" w:ascii="宋体" w:hAnsi="宋体" w:cs="宋体"/>
          <w:color w:val="auto"/>
          <w:highlight w:val="none"/>
        </w:rPr>
        <w:t>产品合格证。</w:t>
      </w:r>
    </w:p>
    <w:p w14:paraId="30CB27BA">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502FD31E">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.5.2 喷淋管道材质，接口做法，喷头位置及安装高度应符合《自动喷水灭火系统设计规范》</w:t>
      </w:r>
      <w:r>
        <w:rPr>
          <w:rFonts w:cs="宋体"/>
          <w:color w:val="auto"/>
          <w:sz w:val="28"/>
          <w:szCs w:val="28"/>
          <w:highlight w:val="none"/>
          <w:shd w:val="pct10" w:color="auto" w:fill="FFFFFF"/>
          <w:lang w:eastAsia="zh-CN"/>
        </w:rPr>
        <w:t>GB 50084</w:t>
      </w:r>
      <w:r>
        <w:rPr>
          <w:rFonts w:hint="eastAsia" w:cs="宋体"/>
          <w:color w:val="auto"/>
          <w:sz w:val="28"/>
          <w:szCs w:val="28"/>
          <w:highlight w:val="none"/>
          <w:shd w:val="pct10" w:color="auto" w:fill="FFFFFF"/>
          <w:lang w:eastAsia="zh-CN"/>
        </w:rPr>
        <w:t>的要求。</w:t>
      </w:r>
    </w:p>
    <w:p w14:paraId="251785A4">
      <w:pPr>
        <w:pStyle w:val="3"/>
        <w:spacing w:before="240" w:after="240"/>
        <w:rPr>
          <w:rStyle w:val="43"/>
          <w:rFonts w:ascii="仿宋" w:hAnsi="仿宋" w:cs="宋体"/>
          <w:b/>
          <w:bCs w:val="0"/>
          <w:color w:val="auto"/>
          <w:highlight w:val="none"/>
        </w:rPr>
      </w:pPr>
      <w:bookmarkStart w:id="211" w:name="_Toc16278"/>
      <w:bookmarkStart w:id="212" w:name="_Toc23422"/>
      <w:bookmarkStart w:id="213" w:name="_Toc131078645"/>
      <w:bookmarkStart w:id="214" w:name="_Toc133572726"/>
      <w:bookmarkStart w:id="215" w:name="_Toc7123"/>
      <w:bookmarkStart w:id="216" w:name="_Toc13004"/>
      <w:bookmarkStart w:id="217" w:name="_Toc8681"/>
      <w:bookmarkStart w:id="218" w:name="_Toc12919"/>
      <w:r>
        <w:rPr>
          <w:rStyle w:val="43"/>
          <w:rFonts w:ascii="仿宋" w:hAnsi="仿宋" w:cs="宋体"/>
          <w:b/>
          <w:bCs w:val="0"/>
          <w:color w:val="auto"/>
          <w:highlight w:val="none"/>
        </w:rPr>
        <w:t>8</w:t>
      </w:r>
      <w:r>
        <w:rPr>
          <w:rStyle w:val="43"/>
          <w:rFonts w:hint="eastAsia" w:ascii="仿宋" w:hAnsi="仿宋" w:cs="宋体"/>
          <w:b/>
          <w:bCs w:val="0"/>
          <w:color w:val="auto"/>
          <w:highlight w:val="none"/>
        </w:rPr>
        <w:t xml:space="preserve">.6 </w:t>
      </w:r>
      <w:r>
        <w:rPr>
          <w:rStyle w:val="43"/>
          <w:rFonts w:hint="eastAsia" w:ascii="仿宋" w:hAnsi="仿宋" w:cs="宋体"/>
          <w:b/>
          <w:bCs w:val="0"/>
          <w:color w:val="auto"/>
          <w:highlight w:val="none"/>
          <w:lang w:val="en-US" w:eastAsia="zh-CN"/>
        </w:rPr>
        <w:t>厨</w:t>
      </w:r>
      <w:r>
        <w:rPr>
          <w:rStyle w:val="43"/>
          <w:rFonts w:hint="eastAsia" w:ascii="仿宋" w:hAnsi="仿宋" w:cs="宋体"/>
          <w:b/>
          <w:bCs w:val="0"/>
          <w:color w:val="auto"/>
          <w:highlight w:val="none"/>
        </w:rPr>
        <w:t>卫工程</w:t>
      </w:r>
      <w:bookmarkEnd w:id="211"/>
      <w:bookmarkEnd w:id="212"/>
      <w:bookmarkEnd w:id="213"/>
      <w:bookmarkEnd w:id="214"/>
      <w:bookmarkEnd w:id="215"/>
      <w:bookmarkEnd w:id="216"/>
      <w:bookmarkEnd w:id="217"/>
      <w:bookmarkEnd w:id="218"/>
    </w:p>
    <w:p w14:paraId="25AC91C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 xml:space="preserve">.6.1 </w:t>
      </w:r>
      <w:r>
        <w:rPr>
          <w:rFonts w:hint="eastAsia" w:cs="宋体"/>
          <w:color w:val="auto"/>
          <w:sz w:val="28"/>
          <w:szCs w:val="28"/>
          <w:highlight w:val="none"/>
          <w:lang w:val="en-US" w:eastAsia="zh-CN"/>
        </w:rPr>
        <w:t>厨房、</w:t>
      </w:r>
      <w:r>
        <w:rPr>
          <w:rFonts w:cs="宋体"/>
          <w:color w:val="auto"/>
          <w:sz w:val="28"/>
          <w:szCs w:val="28"/>
          <w:highlight w:val="none"/>
          <w:lang w:eastAsia="zh-CN"/>
        </w:rPr>
        <w:t>卫浴间</w:t>
      </w:r>
      <w:r>
        <w:rPr>
          <w:rFonts w:hint="eastAsia" w:cs="宋体"/>
          <w:color w:val="auto"/>
          <w:sz w:val="28"/>
          <w:szCs w:val="28"/>
          <w:highlight w:val="none"/>
          <w:lang w:eastAsia="zh-CN"/>
        </w:rPr>
        <w:t>内采用的</w:t>
      </w:r>
      <w:r>
        <w:rPr>
          <w:rFonts w:cs="宋体"/>
          <w:color w:val="auto"/>
          <w:sz w:val="28"/>
          <w:szCs w:val="28"/>
          <w:highlight w:val="none"/>
          <w:lang w:eastAsia="zh-CN"/>
        </w:rPr>
        <w:t>卫生器具、</w:t>
      </w:r>
      <w:r>
        <w:rPr>
          <w:rFonts w:hint="eastAsia" w:cs="宋体"/>
          <w:color w:val="auto"/>
          <w:sz w:val="28"/>
          <w:szCs w:val="28"/>
          <w:highlight w:val="none"/>
          <w:lang w:eastAsia="zh-CN"/>
        </w:rPr>
        <w:t>水嘴、淋浴器等，均应符合现行行业标准《节水型生活用水器具》</w:t>
      </w:r>
      <w:r>
        <w:rPr>
          <w:rFonts w:cs="宋体"/>
          <w:color w:val="auto"/>
          <w:sz w:val="28"/>
          <w:szCs w:val="28"/>
          <w:highlight w:val="none"/>
          <w:lang w:eastAsia="zh-CN"/>
        </w:rPr>
        <w:t>CJ</w:t>
      </w:r>
      <w:r>
        <w:rPr>
          <w:rFonts w:hint="eastAsia" w:cs="宋体"/>
          <w:color w:val="auto"/>
          <w:sz w:val="28"/>
          <w:szCs w:val="28"/>
          <w:highlight w:val="none"/>
          <w:lang w:val="en-US" w:eastAsia="zh-CN"/>
        </w:rPr>
        <w:t>/T</w:t>
      </w:r>
      <w:r>
        <w:rPr>
          <w:rFonts w:cs="宋体"/>
          <w:color w:val="auto"/>
          <w:sz w:val="28"/>
          <w:szCs w:val="28"/>
          <w:highlight w:val="none"/>
          <w:lang w:eastAsia="zh-CN"/>
        </w:rPr>
        <w:t xml:space="preserve"> 164</w:t>
      </w:r>
      <w:r>
        <w:rPr>
          <w:rFonts w:hint="eastAsia" w:cs="宋体"/>
          <w:color w:val="auto"/>
          <w:sz w:val="28"/>
          <w:szCs w:val="28"/>
          <w:highlight w:val="none"/>
          <w:lang w:eastAsia="zh-CN"/>
        </w:rPr>
        <w:t>的规定。坐便器一次冲洗水量不得大于</w:t>
      </w:r>
      <w:r>
        <w:rPr>
          <w:rFonts w:cs="宋体"/>
          <w:color w:val="auto"/>
          <w:sz w:val="28"/>
          <w:szCs w:val="28"/>
          <w:highlight w:val="none"/>
          <w:lang w:eastAsia="zh-CN"/>
        </w:rPr>
        <w:t>6L。</w:t>
      </w:r>
    </w:p>
    <w:p w14:paraId="47CBB713">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检验方法：观察检查；产品资料检查。</w:t>
      </w:r>
    </w:p>
    <w:p w14:paraId="5D572A8D">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2C6327BD">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.1 根据《民用建筑节水设计标准》GB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w:t>
      </w:r>
      <w:r>
        <w:rPr>
          <w:rFonts w:cs="宋体"/>
          <w:color w:val="auto"/>
          <w:sz w:val="28"/>
          <w:szCs w:val="28"/>
          <w:highlight w:val="none"/>
          <w:shd w:val="pct10" w:color="auto" w:fill="FFFFFF"/>
          <w:lang w:eastAsia="zh-CN"/>
        </w:rPr>
        <w:t>555</w:t>
      </w:r>
      <w:r>
        <w:rPr>
          <w:rFonts w:hint="eastAsia" w:cs="宋体"/>
          <w:color w:val="auto"/>
          <w:sz w:val="28"/>
          <w:szCs w:val="28"/>
          <w:highlight w:val="none"/>
          <w:shd w:val="pct10" w:color="auto" w:fill="FFFFFF"/>
          <w:lang w:eastAsia="zh-CN"/>
        </w:rPr>
        <w:t>的相关要求，居住建造采用的卫生器具应满足城建行业标准《节水型生活用水器具》C</w:t>
      </w:r>
      <w:r>
        <w:rPr>
          <w:rFonts w:cs="宋体"/>
          <w:color w:val="auto"/>
          <w:sz w:val="28"/>
          <w:szCs w:val="28"/>
          <w:highlight w:val="none"/>
          <w:shd w:val="pct10" w:color="auto" w:fill="FFFFFF"/>
          <w:lang w:eastAsia="zh-CN"/>
        </w:rPr>
        <w:t>J</w:t>
      </w:r>
      <w:r>
        <w:rPr>
          <w:rFonts w:hint="eastAsia" w:cs="宋体"/>
          <w:color w:val="auto"/>
          <w:sz w:val="28"/>
          <w:szCs w:val="28"/>
          <w:highlight w:val="none"/>
          <w:shd w:val="pct10" w:color="auto" w:fill="FFFFFF"/>
          <w:lang w:val="en-US" w:eastAsia="zh-CN"/>
        </w:rPr>
        <w:t xml:space="preserve">/T </w:t>
      </w:r>
      <w:r>
        <w:rPr>
          <w:rFonts w:cs="宋体"/>
          <w:color w:val="auto"/>
          <w:sz w:val="28"/>
          <w:szCs w:val="28"/>
          <w:highlight w:val="none"/>
          <w:shd w:val="pct10" w:color="auto" w:fill="FFFFFF"/>
          <w:lang w:eastAsia="zh-CN"/>
        </w:rPr>
        <w:t>164</w:t>
      </w:r>
      <w:r>
        <w:rPr>
          <w:rFonts w:hint="eastAsia" w:cs="宋体"/>
          <w:color w:val="auto"/>
          <w:sz w:val="28"/>
          <w:szCs w:val="28"/>
          <w:highlight w:val="none"/>
          <w:shd w:val="pct10" w:color="auto" w:fill="FFFFFF"/>
          <w:lang w:eastAsia="zh-CN"/>
        </w:rPr>
        <w:t>的规定。</w:t>
      </w:r>
    </w:p>
    <w:p w14:paraId="44649E80">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8.6</w:t>
      </w:r>
      <w:r>
        <w:rPr>
          <w:rFonts w:cs="宋体"/>
          <w:b/>
          <w:bCs/>
          <w:color w:val="auto"/>
          <w:sz w:val="28"/>
          <w:szCs w:val="28"/>
          <w:highlight w:val="none"/>
          <w:lang w:eastAsia="zh-CN"/>
        </w:rPr>
        <w:t>.</w:t>
      </w:r>
      <w:r>
        <w:rPr>
          <w:rFonts w:cs="宋体"/>
          <w:color w:val="auto"/>
          <w:sz w:val="28"/>
          <w:szCs w:val="28"/>
          <w:highlight w:val="none"/>
          <w:lang w:eastAsia="zh-CN"/>
        </w:rPr>
        <w:t>2</w:t>
      </w:r>
      <w:r>
        <w:rPr>
          <w:rFonts w:cs="宋体"/>
          <w:b/>
          <w:bCs/>
          <w:color w:val="auto"/>
          <w:sz w:val="28"/>
          <w:szCs w:val="28"/>
          <w:highlight w:val="none"/>
          <w:lang w:eastAsia="zh-CN"/>
        </w:rPr>
        <w:t xml:space="preserve"> </w:t>
      </w:r>
      <w:r>
        <w:rPr>
          <w:rFonts w:hint="eastAsia" w:cs="宋体"/>
          <w:color w:val="auto"/>
          <w:sz w:val="28"/>
          <w:szCs w:val="28"/>
          <w:highlight w:val="none"/>
          <w:lang w:val="en-US" w:eastAsia="zh-CN"/>
        </w:rPr>
        <w:t>厨房、</w:t>
      </w:r>
      <w:r>
        <w:rPr>
          <w:rFonts w:cs="宋体"/>
          <w:color w:val="auto"/>
          <w:sz w:val="28"/>
          <w:szCs w:val="28"/>
          <w:highlight w:val="none"/>
          <w:lang w:eastAsia="zh-CN"/>
        </w:rPr>
        <w:t>卫浴间安装的电器、设备能正常运行</w:t>
      </w:r>
      <w:r>
        <w:rPr>
          <w:rFonts w:hint="eastAsia" w:cs="宋体"/>
          <w:color w:val="auto"/>
          <w:sz w:val="28"/>
          <w:szCs w:val="28"/>
          <w:highlight w:val="none"/>
          <w:lang w:eastAsia="zh-CN"/>
        </w:rPr>
        <w:t>，应具有防漏电及接地等安全措施</w:t>
      </w:r>
      <w:r>
        <w:rPr>
          <w:rFonts w:cs="宋体"/>
          <w:color w:val="auto"/>
          <w:sz w:val="28"/>
          <w:szCs w:val="28"/>
          <w:highlight w:val="none"/>
          <w:lang w:eastAsia="zh-CN"/>
        </w:rPr>
        <w:t>。</w:t>
      </w:r>
    </w:p>
    <w:p w14:paraId="6E0552BD">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检验方法：试运行检查。</w:t>
      </w:r>
    </w:p>
    <w:p w14:paraId="1F63D974">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14:paraId="1465A999">
      <w:pPr>
        <w:pStyle w:val="9"/>
        <w:spacing w:line="360" w:lineRule="auto"/>
        <w:ind w:left="0" w:firstLine="560" w:firstLineChars="20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2</w:t>
      </w:r>
      <w:r>
        <w:rPr>
          <w:rFonts w:hint="eastAsia" w:cs="宋体"/>
          <w:color w:val="auto"/>
          <w:sz w:val="28"/>
          <w:szCs w:val="28"/>
          <w:highlight w:val="none"/>
          <w:shd w:val="pct10" w:color="auto" w:fill="FFFFFF"/>
          <w:lang w:eastAsia="zh-CN"/>
        </w:rPr>
        <w:t xml:space="preserve"> 为避免安装于</w:t>
      </w:r>
      <w:r>
        <w:rPr>
          <w:rFonts w:hint="eastAsia" w:cs="宋体"/>
          <w:color w:val="auto"/>
          <w:sz w:val="28"/>
          <w:szCs w:val="28"/>
          <w:highlight w:val="none"/>
          <w:shd w:val="pct10" w:color="auto" w:fill="FFFFFF"/>
          <w:lang w:val="en-US" w:eastAsia="zh-CN"/>
        </w:rPr>
        <w:t>厨房或</w:t>
      </w:r>
      <w:r>
        <w:rPr>
          <w:rFonts w:hint="eastAsia" w:cs="宋体"/>
          <w:color w:val="auto"/>
          <w:sz w:val="28"/>
          <w:szCs w:val="28"/>
          <w:highlight w:val="none"/>
          <w:shd w:val="pct10" w:color="auto" w:fill="FFFFFF"/>
          <w:lang w:eastAsia="zh-CN"/>
        </w:rPr>
        <w:t>卫浴间内的电热水器发生漏电事故，要求有防漏电及接地措施。</w:t>
      </w:r>
    </w:p>
    <w:p w14:paraId="0985DBE7">
      <w:pPr>
        <w:pStyle w:val="9"/>
        <w:spacing w:before="115" w:line="360" w:lineRule="auto"/>
        <w:ind w:left="0" w:firstLine="0" w:firstLineChars="0"/>
        <w:rPr>
          <w:rFonts w:hint="eastAsia" w:cs="宋体"/>
          <w:color w:val="auto"/>
          <w:sz w:val="28"/>
          <w:szCs w:val="28"/>
          <w:highlight w:val="none"/>
          <w:shd w:val="clear"/>
          <w:lang w:val="en-US" w:eastAsia="zh-CN"/>
        </w:rPr>
      </w:pPr>
      <w:r>
        <w:rPr>
          <w:rFonts w:hint="eastAsia" w:cs="宋体"/>
          <w:color w:val="auto"/>
          <w:sz w:val="28"/>
          <w:szCs w:val="28"/>
          <w:highlight w:val="none"/>
          <w:shd w:val="clear"/>
          <w:lang w:val="en-US" w:eastAsia="zh-CN"/>
        </w:rPr>
        <w:t>8.6.3 厨房设备、卫生洁具安装应正确、牢固，功能正常，外观无损。</w:t>
      </w:r>
    </w:p>
    <w:p w14:paraId="70432003">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val="en-US" w:eastAsia="zh-CN"/>
        </w:rPr>
        <w:t>手扳检查；观察检查</w:t>
      </w:r>
      <w:r>
        <w:rPr>
          <w:rFonts w:cs="宋体"/>
          <w:color w:val="auto"/>
          <w:sz w:val="28"/>
          <w:szCs w:val="28"/>
          <w:highlight w:val="none"/>
          <w:lang w:eastAsia="zh-CN"/>
        </w:rPr>
        <w:t>。</w:t>
      </w:r>
    </w:p>
    <w:p w14:paraId="7082A720">
      <w:pPr>
        <w:pStyle w:val="9"/>
        <w:spacing w:before="115" w:line="360" w:lineRule="auto"/>
        <w:ind w:left="0" w:firstLine="560" w:firstLineChars="200"/>
        <w:rPr>
          <w:rFonts w:hint="default" w:cs="宋体"/>
          <w:color w:val="auto"/>
          <w:sz w:val="28"/>
          <w:szCs w:val="28"/>
          <w:highlight w:val="none"/>
          <w:shd w:val="clear"/>
          <w:lang w:val="en-US" w:eastAsia="zh-CN"/>
        </w:rPr>
      </w:pPr>
      <w:r>
        <w:rPr>
          <w:rFonts w:cs="宋体"/>
          <w:color w:val="auto"/>
          <w:sz w:val="28"/>
          <w:szCs w:val="28"/>
          <w:highlight w:val="none"/>
          <w:lang w:eastAsia="zh-CN"/>
        </w:rPr>
        <w:t>检查数量：全数检查</w:t>
      </w:r>
    </w:p>
    <w:p w14:paraId="0288D47E">
      <w:pPr>
        <w:pStyle w:val="9"/>
        <w:spacing w:before="115" w:line="360" w:lineRule="auto"/>
        <w:ind w:left="0"/>
        <w:rPr>
          <w:rFonts w:hint="default" w:cs="宋体"/>
          <w:color w:val="auto"/>
          <w:sz w:val="28"/>
          <w:szCs w:val="28"/>
          <w:highlight w:val="none"/>
          <w:lang w:val="en-US" w:eastAsia="zh-CN"/>
        </w:rPr>
      </w:pPr>
      <w:r>
        <w:rPr>
          <w:rFonts w:cs="宋体"/>
          <w:color w:val="auto"/>
          <w:sz w:val="28"/>
          <w:szCs w:val="28"/>
          <w:highlight w:val="none"/>
          <w:lang w:eastAsia="zh-CN"/>
        </w:rPr>
        <w:t>8.6</w:t>
      </w:r>
      <w:r>
        <w:rPr>
          <w:rFonts w:cs="宋体"/>
          <w:b/>
          <w:bCs/>
          <w:color w:val="auto"/>
          <w:sz w:val="28"/>
          <w:szCs w:val="28"/>
          <w:highlight w:val="none"/>
          <w:lang w:eastAsia="zh-CN"/>
        </w:rPr>
        <w:t>.</w:t>
      </w:r>
      <w:r>
        <w:rPr>
          <w:rFonts w:hint="eastAsia" w:cs="宋体"/>
          <w:color w:val="auto"/>
          <w:sz w:val="28"/>
          <w:szCs w:val="28"/>
          <w:highlight w:val="none"/>
          <w:lang w:val="en-US" w:eastAsia="zh-CN"/>
        </w:rPr>
        <w:t>4</w:t>
      </w:r>
      <w:r>
        <w:rPr>
          <w:rFonts w:cs="宋体"/>
          <w:b/>
          <w:bCs/>
          <w:color w:val="auto"/>
          <w:sz w:val="28"/>
          <w:szCs w:val="28"/>
          <w:highlight w:val="none"/>
          <w:lang w:eastAsia="zh-CN"/>
        </w:rPr>
        <w:t xml:space="preserve"> </w:t>
      </w:r>
      <w:r>
        <w:rPr>
          <w:rFonts w:hint="eastAsia" w:cs="宋体"/>
          <w:color w:val="auto"/>
          <w:sz w:val="28"/>
          <w:szCs w:val="28"/>
          <w:highlight w:val="none"/>
          <w:lang w:val="en-US" w:eastAsia="zh-CN"/>
        </w:rPr>
        <w:t>排水卫生器具应有防止排水管道有害气体进入室内的措施</w:t>
      </w:r>
      <w:r>
        <w:rPr>
          <w:rFonts w:cs="宋体"/>
          <w:color w:val="auto"/>
          <w:sz w:val="28"/>
          <w:szCs w:val="28"/>
          <w:highlight w:val="none"/>
          <w:lang w:eastAsia="zh-CN"/>
        </w:rPr>
        <w:t>。</w:t>
      </w:r>
      <w:r>
        <w:rPr>
          <w:rFonts w:hint="eastAsia" w:cs="宋体"/>
          <w:color w:val="auto"/>
          <w:sz w:val="28"/>
          <w:szCs w:val="28"/>
          <w:highlight w:val="none"/>
          <w:lang w:val="en-US" w:eastAsia="zh-CN"/>
        </w:rPr>
        <w:t>当卫生器具构造内无存水弯时应在器具排水口下方设置存水弯并保证水封高度不小于50mm。当卫生器具构造内有存水弯时，在器具排水口下方不得重复设置存水弯。</w:t>
      </w:r>
    </w:p>
    <w:p w14:paraId="36A3592E">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val="en-US" w:eastAsia="zh-CN"/>
        </w:rPr>
        <w:t>观察检查、产品资料检查、工具测量。</w:t>
      </w:r>
    </w:p>
    <w:p w14:paraId="287235FB">
      <w:pPr>
        <w:pStyle w:val="9"/>
        <w:spacing w:before="115" w:line="360" w:lineRule="auto"/>
        <w:ind w:left="0" w:firstLine="560" w:firstLineChars="200"/>
        <w:rPr>
          <w:rFonts w:hint="eastAsia" w:cs="宋体"/>
          <w:color w:val="auto"/>
          <w:sz w:val="28"/>
          <w:szCs w:val="28"/>
          <w:highlight w:val="none"/>
          <w:shd w:val="pct10" w:color="auto" w:fill="FFFFFF"/>
          <w:lang w:eastAsia="zh-CN"/>
        </w:rPr>
      </w:pPr>
      <w:r>
        <w:rPr>
          <w:rFonts w:cs="宋体"/>
          <w:color w:val="auto"/>
          <w:sz w:val="28"/>
          <w:szCs w:val="28"/>
          <w:highlight w:val="none"/>
          <w:lang w:eastAsia="zh-CN"/>
        </w:rPr>
        <w:t>检查数量：全数检查。</w:t>
      </w:r>
    </w:p>
    <w:p w14:paraId="6CB2E32D">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8.6.</w:t>
      </w:r>
      <w:r>
        <w:rPr>
          <w:rFonts w:hint="eastAsia" w:cs="宋体"/>
          <w:color w:val="auto"/>
          <w:sz w:val="28"/>
          <w:szCs w:val="28"/>
          <w:highlight w:val="none"/>
          <w:lang w:val="en-US"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卫浴间内坐便器底座四周应密封打胶，坐便器上的孔洞应有封堵材料</w:t>
      </w:r>
      <w:r>
        <w:rPr>
          <w:rFonts w:cs="宋体"/>
          <w:color w:val="auto"/>
          <w:sz w:val="28"/>
          <w:szCs w:val="28"/>
          <w:highlight w:val="none"/>
          <w:lang w:eastAsia="zh-CN"/>
        </w:rPr>
        <w:t>。</w:t>
      </w:r>
    </w:p>
    <w:p w14:paraId="3B9A4338">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eastAsia="zh-CN"/>
        </w:rPr>
        <w:t>观察检查。</w:t>
      </w:r>
    </w:p>
    <w:p w14:paraId="07BFC57A">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14:paraId="06BEFD6D">
      <w:pPr>
        <w:pStyle w:val="9"/>
        <w:spacing w:line="360" w:lineRule="auto"/>
        <w:ind w:left="0" w:firstLine="560" w:firstLineChars="20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5</w:t>
      </w:r>
      <w:r>
        <w:rPr>
          <w:rFonts w:hint="eastAsia" w:cs="宋体"/>
          <w:color w:val="auto"/>
          <w:sz w:val="28"/>
          <w:szCs w:val="28"/>
          <w:highlight w:val="none"/>
          <w:shd w:val="pct10" w:color="auto" w:fill="FFFFFF"/>
          <w:lang w:eastAsia="zh-CN"/>
        </w:rPr>
        <w:t xml:space="preserve"> 为避免</w:t>
      </w:r>
      <w:r>
        <w:rPr>
          <w:rFonts w:hint="eastAsia" w:cs="宋体"/>
          <w:color w:val="auto"/>
          <w:sz w:val="28"/>
          <w:szCs w:val="28"/>
          <w:highlight w:val="none"/>
          <w:shd w:val="pct10" w:color="auto" w:fill="FFFFFF"/>
          <w:lang w:val="en-US" w:eastAsia="zh-CN"/>
        </w:rPr>
        <w:t>排水管道内有害气体通过卫生器具本体进入室内</w:t>
      </w:r>
      <w:r>
        <w:rPr>
          <w:rFonts w:hint="eastAsia" w:cs="宋体"/>
          <w:color w:val="auto"/>
          <w:sz w:val="28"/>
          <w:szCs w:val="28"/>
          <w:highlight w:val="none"/>
          <w:shd w:val="pct10" w:color="auto" w:fill="FFFFFF"/>
          <w:lang w:eastAsia="zh-CN"/>
        </w:rPr>
        <w:t>。</w:t>
      </w:r>
    </w:p>
    <w:p w14:paraId="6F95EAEE">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val="en-US" w:eastAsia="zh-CN"/>
        </w:rPr>
        <w:t>8.6.6 室内安装的</w:t>
      </w:r>
      <w:r>
        <w:rPr>
          <w:rFonts w:cs="宋体"/>
          <w:color w:val="auto"/>
          <w:sz w:val="28"/>
          <w:szCs w:val="28"/>
          <w:highlight w:val="none"/>
          <w:lang w:eastAsia="zh-CN"/>
        </w:rPr>
        <w:t>燃气热水器应</w:t>
      </w:r>
      <w:r>
        <w:rPr>
          <w:rFonts w:hint="eastAsia" w:cs="宋体"/>
          <w:color w:val="auto"/>
          <w:sz w:val="28"/>
          <w:szCs w:val="28"/>
          <w:highlight w:val="none"/>
          <w:lang w:val="en-US" w:eastAsia="zh-CN"/>
        </w:rPr>
        <w:t>有专用</w:t>
      </w:r>
      <w:r>
        <w:rPr>
          <w:rFonts w:cs="宋体"/>
          <w:color w:val="auto"/>
          <w:sz w:val="28"/>
          <w:szCs w:val="28"/>
          <w:highlight w:val="none"/>
          <w:lang w:eastAsia="zh-CN"/>
        </w:rPr>
        <w:t>排气管直接通至户外。</w:t>
      </w:r>
    </w:p>
    <w:p w14:paraId="76AE4892">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检验方法：观察</w:t>
      </w:r>
      <w:r>
        <w:rPr>
          <w:rFonts w:hint="eastAsia" w:cs="宋体"/>
          <w:color w:val="auto"/>
          <w:sz w:val="28"/>
          <w:szCs w:val="28"/>
          <w:highlight w:val="none"/>
          <w:lang w:eastAsia="zh-CN"/>
        </w:rPr>
        <w:t>检查；</w:t>
      </w:r>
      <w:r>
        <w:rPr>
          <w:rFonts w:cs="宋体"/>
          <w:color w:val="auto"/>
          <w:sz w:val="28"/>
          <w:szCs w:val="28"/>
          <w:highlight w:val="none"/>
          <w:lang w:eastAsia="zh-CN"/>
        </w:rPr>
        <w:t>尺量检查。</w:t>
      </w:r>
    </w:p>
    <w:p w14:paraId="5A018064">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14:paraId="18630CAF">
      <w:pPr>
        <w:pStyle w:val="9"/>
        <w:spacing w:before="115" w:line="360" w:lineRule="auto"/>
        <w:ind w:left="0" w:firstLine="560" w:firstLineChars="200"/>
        <w:jc w:val="left"/>
        <w:rPr>
          <w:rFonts w:cs="宋体"/>
          <w:color w:val="auto"/>
          <w:sz w:val="28"/>
          <w:szCs w:val="28"/>
          <w:highlight w:val="none"/>
          <w:lang w:eastAsia="zh-CN"/>
        </w:rPr>
      </w:pPr>
      <w:r>
        <w:rPr>
          <w:rFonts w:hint="eastAsia"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val="en-US" w:eastAsia="zh-CN"/>
        </w:rPr>
        <w:t>8</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6</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6</w:t>
      </w:r>
      <w:r>
        <w:rPr>
          <w:rFonts w:hint="eastAsia"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val="en-US" w:eastAsia="zh-CN"/>
        </w:rPr>
        <w:t>防止燃气热水器漏气导致安全事故</w:t>
      </w:r>
      <w:r>
        <w:rPr>
          <w:rFonts w:hint="eastAsia" w:cs="宋体"/>
          <w:color w:val="auto"/>
          <w:sz w:val="28"/>
          <w:szCs w:val="28"/>
          <w:highlight w:val="none"/>
          <w:shd w:val="pct10" w:color="auto" w:fill="FFFFFF"/>
          <w:lang w:eastAsia="zh-CN"/>
        </w:rPr>
        <w:t>。</w:t>
      </w:r>
    </w:p>
    <w:p w14:paraId="042DAE9C">
      <w:pPr>
        <w:pStyle w:val="9"/>
        <w:spacing w:before="115" w:line="360" w:lineRule="auto"/>
        <w:ind w:left="0"/>
        <w:jc w:val="left"/>
        <w:rPr>
          <w:rFonts w:cs="宋体"/>
          <w:color w:val="auto"/>
          <w:sz w:val="28"/>
          <w:szCs w:val="28"/>
          <w:highlight w:val="none"/>
          <w:lang w:eastAsia="zh-CN"/>
        </w:rPr>
      </w:pPr>
    </w:p>
    <w:p w14:paraId="784589CF">
      <w:pPr>
        <w:pStyle w:val="9"/>
        <w:spacing w:before="115" w:line="360" w:lineRule="auto"/>
        <w:ind w:left="0"/>
        <w:jc w:val="both"/>
        <w:rPr>
          <w:rFonts w:cs="宋体"/>
          <w:color w:val="auto"/>
          <w:sz w:val="28"/>
          <w:szCs w:val="28"/>
          <w:highlight w:val="none"/>
          <w:lang w:eastAsia="zh-CN"/>
        </w:rPr>
      </w:pPr>
      <w:r>
        <w:rPr>
          <w:rFonts w:cs="宋体"/>
          <w:color w:val="auto"/>
          <w:sz w:val="28"/>
          <w:szCs w:val="28"/>
          <w:highlight w:val="none"/>
          <w:lang w:eastAsia="zh-CN"/>
        </w:rPr>
        <w:br w:type="page"/>
      </w:r>
    </w:p>
    <w:p w14:paraId="627A9B88">
      <w:pPr>
        <w:pStyle w:val="2"/>
        <w:spacing w:before="240" w:after="240"/>
        <w:rPr>
          <w:rFonts w:ascii="宋体" w:hAnsi="宋体" w:eastAsia="宋体" w:cs="宋体"/>
          <w:color w:val="auto"/>
          <w:highlight w:val="none"/>
        </w:rPr>
      </w:pPr>
      <w:bookmarkStart w:id="219" w:name="_Toc133572727"/>
      <w:bookmarkStart w:id="220" w:name="_Toc4862"/>
      <w:bookmarkStart w:id="221" w:name="_Toc1650"/>
      <w:bookmarkStart w:id="222" w:name="_Toc20"/>
      <w:bookmarkStart w:id="223" w:name="_Toc13110"/>
      <w:bookmarkStart w:id="224" w:name="_Toc4769"/>
      <w:bookmarkStart w:id="225" w:name="_Toc2643"/>
      <w:r>
        <w:rPr>
          <w:rFonts w:ascii="宋体" w:hAnsi="宋体" w:eastAsia="宋体" w:cs="宋体"/>
          <w:color w:val="auto"/>
          <w:highlight w:val="none"/>
        </w:rPr>
        <w:t xml:space="preserve">9 </w:t>
      </w:r>
      <w:r>
        <w:rPr>
          <w:rFonts w:hint="eastAsia" w:ascii="宋体" w:hAnsi="宋体" w:eastAsia="宋体" w:cs="宋体"/>
          <w:color w:val="auto"/>
          <w:highlight w:val="none"/>
        </w:rPr>
        <w:t>电气工程</w:t>
      </w:r>
      <w:bookmarkEnd w:id="219"/>
      <w:bookmarkEnd w:id="220"/>
      <w:bookmarkEnd w:id="221"/>
      <w:bookmarkEnd w:id="222"/>
      <w:bookmarkEnd w:id="223"/>
      <w:bookmarkEnd w:id="224"/>
      <w:bookmarkEnd w:id="225"/>
    </w:p>
    <w:p w14:paraId="7188BF47">
      <w:pPr>
        <w:pStyle w:val="3"/>
        <w:spacing w:before="240" w:after="240"/>
        <w:rPr>
          <w:rStyle w:val="43"/>
          <w:rFonts w:ascii="仿宋" w:hAnsi="仿宋" w:cs="宋体"/>
          <w:b/>
          <w:bCs w:val="0"/>
          <w:color w:val="auto"/>
          <w:highlight w:val="none"/>
        </w:rPr>
      </w:pPr>
      <w:bookmarkStart w:id="226" w:name="_Toc133572728"/>
      <w:bookmarkStart w:id="227" w:name="_Toc32075"/>
      <w:bookmarkStart w:id="228" w:name="_Toc21238"/>
      <w:bookmarkStart w:id="229" w:name="_Toc8737"/>
      <w:bookmarkStart w:id="230" w:name="_Toc19667"/>
      <w:bookmarkStart w:id="231" w:name="_Toc13456"/>
      <w:bookmarkStart w:id="232" w:name="_Toc21259"/>
      <w:r>
        <w:rPr>
          <w:rStyle w:val="43"/>
          <w:rFonts w:ascii="仿宋" w:hAnsi="仿宋" w:cs="宋体"/>
          <w:b/>
          <w:bCs w:val="0"/>
          <w:color w:val="auto"/>
          <w:highlight w:val="none"/>
        </w:rPr>
        <w:t xml:space="preserve">9.1 </w:t>
      </w:r>
      <w:r>
        <w:rPr>
          <w:rStyle w:val="43"/>
          <w:rFonts w:hint="eastAsia" w:ascii="仿宋" w:hAnsi="仿宋" w:cs="宋体"/>
          <w:b/>
          <w:bCs w:val="0"/>
          <w:color w:val="auto"/>
          <w:highlight w:val="none"/>
        </w:rPr>
        <w:t>一般规定</w:t>
      </w:r>
      <w:bookmarkEnd w:id="226"/>
      <w:bookmarkEnd w:id="227"/>
      <w:bookmarkEnd w:id="228"/>
      <w:bookmarkEnd w:id="229"/>
      <w:bookmarkEnd w:id="230"/>
      <w:bookmarkEnd w:id="231"/>
      <w:bookmarkEnd w:id="232"/>
    </w:p>
    <w:p w14:paraId="5BFD162A">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9.1.1 </w:t>
      </w:r>
      <w:r>
        <w:rPr>
          <w:rFonts w:hint="eastAsia" w:cs="宋体"/>
          <w:color w:val="auto"/>
          <w:sz w:val="28"/>
          <w:szCs w:val="28"/>
          <w:highlight w:val="none"/>
          <w:lang w:eastAsia="zh-CN"/>
        </w:rPr>
        <w:t>本章适用于住宅工程各分户电气工程质量验收。</w:t>
      </w:r>
    </w:p>
    <w:p w14:paraId="1C71D854">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【条文说明】9.1.1 本条规定了本章内容的适用范围。</w:t>
      </w:r>
    </w:p>
    <w:p w14:paraId="38C9317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9.1.2 </w:t>
      </w:r>
      <w:r>
        <w:rPr>
          <w:rFonts w:hint="eastAsia" w:cs="宋体"/>
          <w:color w:val="auto"/>
          <w:sz w:val="28"/>
          <w:szCs w:val="28"/>
          <w:highlight w:val="none"/>
          <w:lang w:eastAsia="zh-CN"/>
        </w:rPr>
        <w:t>工程建设单位应委托具有相应检测资质的第三方检测机构，从事剩余电流保护装置的动作特性、电气线路绝缘电阻、接地电阻的检测工作。</w:t>
      </w:r>
    </w:p>
    <w:p w14:paraId="1C806595">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【条文说明】9.1.2 剩余电流保护装置的动作特性、电气线路绝缘电阻、接地电阻检测专业性高、检测注意事项多，需配备专业的检测仪器，因此相关检测工作应委托具备相应检测资质的专业检测机构实施。</w:t>
      </w:r>
    </w:p>
    <w:p w14:paraId="0E7C07BF">
      <w:pPr>
        <w:pStyle w:val="3"/>
        <w:spacing w:before="240" w:after="240"/>
        <w:rPr>
          <w:rStyle w:val="43"/>
          <w:rFonts w:ascii="仿宋" w:hAnsi="仿宋" w:cs="宋体"/>
          <w:b/>
          <w:bCs w:val="0"/>
          <w:color w:val="auto"/>
          <w:highlight w:val="none"/>
        </w:rPr>
      </w:pPr>
      <w:bookmarkStart w:id="233" w:name="_Toc133572729"/>
      <w:bookmarkStart w:id="234" w:name="_Toc9696"/>
      <w:bookmarkStart w:id="235" w:name="_Toc31314"/>
      <w:bookmarkStart w:id="236" w:name="_Toc4827"/>
      <w:bookmarkStart w:id="237" w:name="_Toc23503"/>
      <w:bookmarkStart w:id="238" w:name="_Toc18776"/>
      <w:bookmarkStart w:id="239" w:name="_Toc7873"/>
      <w:r>
        <w:rPr>
          <w:rStyle w:val="43"/>
          <w:rFonts w:ascii="仿宋" w:hAnsi="仿宋" w:cs="宋体"/>
          <w:b/>
          <w:bCs w:val="0"/>
          <w:color w:val="auto"/>
          <w:highlight w:val="none"/>
        </w:rPr>
        <w:t xml:space="preserve">9.2 </w:t>
      </w:r>
      <w:bookmarkEnd w:id="233"/>
      <w:r>
        <w:rPr>
          <w:rStyle w:val="43"/>
          <w:rFonts w:hint="eastAsia" w:ascii="仿宋" w:hAnsi="仿宋" w:cs="宋体"/>
          <w:b/>
          <w:bCs w:val="0"/>
          <w:color w:val="auto"/>
          <w:highlight w:val="none"/>
        </w:rPr>
        <w:t>户内配电箱</w:t>
      </w:r>
      <w:bookmarkEnd w:id="234"/>
      <w:bookmarkEnd w:id="235"/>
      <w:bookmarkEnd w:id="236"/>
      <w:bookmarkEnd w:id="237"/>
      <w:bookmarkEnd w:id="238"/>
      <w:bookmarkEnd w:id="239"/>
    </w:p>
    <w:p w14:paraId="4D846E38">
      <w:pPr>
        <w:pStyle w:val="9"/>
        <w:spacing w:before="115" w:line="360" w:lineRule="auto"/>
        <w:ind w:left="0"/>
        <w:rPr>
          <w:rFonts w:hint="eastAsia" w:cs="宋体"/>
          <w:color w:val="auto"/>
          <w:sz w:val="28"/>
          <w:szCs w:val="28"/>
          <w:highlight w:val="none"/>
          <w:lang w:eastAsia="zh-CN"/>
        </w:rPr>
      </w:pPr>
      <w:r>
        <w:rPr>
          <w:rFonts w:hint="eastAsia" w:cs="宋体"/>
          <w:color w:val="auto"/>
          <w:sz w:val="28"/>
          <w:szCs w:val="28"/>
          <w:highlight w:val="none"/>
          <w:lang w:val="en-US" w:eastAsia="zh-CN"/>
        </w:rPr>
        <w:t xml:space="preserve">9.2.1 </w:t>
      </w:r>
      <w:r>
        <w:rPr>
          <w:rFonts w:hint="eastAsia" w:cs="宋体"/>
          <w:color w:val="auto"/>
          <w:sz w:val="28"/>
          <w:szCs w:val="28"/>
          <w:highlight w:val="none"/>
          <w:lang w:eastAsia="zh-CN"/>
        </w:rPr>
        <w:t>户内配电箱各回路标识齐全、准确，回路设置应符合设计要求；箱体及盖板完整、无破损，箱体安装螺栓齐全、固定可靠、</w:t>
      </w:r>
      <w:r>
        <w:rPr>
          <w:rFonts w:hint="eastAsia" w:cs="宋体"/>
          <w:color w:val="auto"/>
          <w:sz w:val="28"/>
          <w:szCs w:val="28"/>
          <w:highlight w:val="none"/>
          <w:lang w:val="en-US" w:eastAsia="zh-CN"/>
        </w:rPr>
        <w:t>安装高度应符合设计要求，垂直度允许偏差不应大于1.5</w:t>
      </w:r>
      <w:r>
        <w:rPr>
          <w:rFonts w:hint="default" w:ascii="Arial" w:hAnsi="Arial" w:cs="Arial"/>
          <w:color w:val="auto"/>
          <w:sz w:val="28"/>
          <w:szCs w:val="28"/>
          <w:highlight w:val="none"/>
          <w:lang w:val="en-US" w:eastAsia="zh-CN"/>
        </w:rPr>
        <w:t>‰</w:t>
      </w:r>
      <w:r>
        <w:rPr>
          <w:rFonts w:hint="eastAsia" w:cs="宋体"/>
          <w:color w:val="auto"/>
          <w:sz w:val="28"/>
          <w:szCs w:val="28"/>
          <w:highlight w:val="none"/>
          <w:lang w:eastAsia="zh-CN"/>
        </w:rPr>
        <w:t>；</w:t>
      </w:r>
      <w:r>
        <w:rPr>
          <w:rFonts w:hint="eastAsia" w:cs="宋体"/>
          <w:color w:val="auto"/>
          <w:sz w:val="28"/>
          <w:szCs w:val="28"/>
          <w:highlight w:val="none"/>
          <w:lang w:val="en-US" w:eastAsia="zh-CN"/>
        </w:rPr>
        <w:t>暗装的配电箱厚度应满足设计要求，箱盖应紧贴墙面，箱涂层应完整</w:t>
      </w:r>
      <w:r>
        <w:rPr>
          <w:rFonts w:hint="eastAsia" w:cs="宋体"/>
          <w:color w:val="auto"/>
          <w:sz w:val="28"/>
          <w:szCs w:val="28"/>
          <w:highlight w:val="none"/>
          <w:lang w:eastAsia="zh-CN"/>
        </w:rPr>
        <w:t>；配电箱内各电器保护装置外观无破损，铭牌信息完整，开关闭合与断开动作灵活，按动剩余电流保护装置的测试按钮，保护装置应能正常分断。</w:t>
      </w:r>
    </w:p>
    <w:p w14:paraId="1278193F">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检验方法：观察检查，操作验证。</w:t>
      </w:r>
    </w:p>
    <w:p w14:paraId="1D14A991">
      <w:pPr>
        <w:pStyle w:val="46"/>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检验数量：按配电箱全数检查。</w:t>
      </w:r>
      <w:r>
        <w:rPr>
          <w:rFonts w:hint="eastAsia" w:ascii="宋体" w:hAnsi="宋体" w:cs="宋体"/>
          <w:color w:val="auto"/>
          <w:highlight w:val="none"/>
          <w:lang w:val="en-US" w:eastAsia="zh-CN"/>
        </w:rPr>
        <w:t xml:space="preserve"> </w:t>
      </w:r>
    </w:p>
    <w:p w14:paraId="1540D317">
      <w:pPr>
        <w:pStyle w:val="9"/>
        <w:spacing w:line="360" w:lineRule="auto"/>
        <w:ind w:left="0"/>
        <w:rPr>
          <w:rFonts w:hint="default" w:ascii="宋体" w:hAnsi="宋体" w:cs="宋体"/>
          <w:color w:val="auto"/>
          <w:highlight w:val="none"/>
          <w:lang w:val="en-US"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2</w:t>
      </w:r>
      <w:r>
        <w:rPr>
          <w:rFonts w:hint="eastAsia" w:cs="宋体"/>
          <w:color w:val="auto"/>
          <w:sz w:val="28"/>
          <w:szCs w:val="28"/>
          <w:highlight w:val="none"/>
          <w:shd w:val="pct10" w:color="auto" w:fill="FFFFFF"/>
          <w:lang w:eastAsia="zh-CN"/>
        </w:rPr>
        <w:t>.1 住宅用户应周期性的通过按剩余电流保护装置的测试按钮来初步判断其动作状态是否正常，因此在分户验收时应对剩余电流保护装置的测试按钮及其脱扣机构的动作状态进行检验。</w:t>
      </w:r>
    </w:p>
    <w:p w14:paraId="72DBFDDA">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9.2.</w:t>
      </w:r>
      <w:r>
        <w:rPr>
          <w:rFonts w:hint="eastAsia" w:cs="宋体"/>
          <w:color w:val="auto"/>
          <w:sz w:val="28"/>
          <w:szCs w:val="28"/>
          <w:highlight w:val="none"/>
          <w:lang w:val="en-US" w:eastAsia="zh-CN"/>
        </w:rPr>
        <w:t>2</w:t>
      </w:r>
      <w:r>
        <w:rPr>
          <w:rFonts w:hint="eastAsia" w:cs="宋体"/>
          <w:color w:val="auto"/>
          <w:sz w:val="28"/>
          <w:szCs w:val="28"/>
          <w:highlight w:val="none"/>
          <w:lang w:eastAsia="zh-CN"/>
        </w:rPr>
        <w:t>户内配电箱安装应符合下列要求：</w:t>
      </w:r>
    </w:p>
    <w:p w14:paraId="01ADB9C7">
      <w:pPr>
        <w:pStyle w:val="46"/>
        <w:spacing w:line="360" w:lineRule="auto"/>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配电箱内的导线分色应符合要求；配电箱内配线应整齐、无绞接现象；导线连接紧密，不伤线芯、不断股；垫圈下螺丝两侧压的导线截面积相同，同一电器器件端子上的导线连接不应多于</w:t>
      </w:r>
      <w:r>
        <w:rPr>
          <w:rFonts w:ascii="宋体" w:hAnsi="宋体" w:cs="宋体"/>
          <w:color w:val="auto"/>
          <w:highlight w:val="none"/>
        </w:rPr>
        <w:t>2</w:t>
      </w:r>
      <w:r>
        <w:rPr>
          <w:rFonts w:hint="eastAsia" w:ascii="宋体" w:hAnsi="宋体" w:cs="宋体"/>
          <w:color w:val="auto"/>
          <w:highlight w:val="none"/>
        </w:rPr>
        <w:t>根，防松垫圈等零件齐全；</w:t>
      </w:r>
    </w:p>
    <w:p w14:paraId="43A03EA7">
      <w:pPr>
        <w:spacing w:line="360" w:lineRule="auto"/>
        <w:ind w:firstLine="560" w:firstLineChars="200"/>
        <w:rPr>
          <w:rFonts w:ascii="Calibri" w:hAnsi="Calibri" w:eastAsia="宋体"/>
          <w:b w:val="0"/>
          <w:bCs w:val="0"/>
          <w:color w:val="auto"/>
          <w:sz w:val="28"/>
          <w:szCs w:val="28"/>
          <w:highlight w:val="none"/>
        </w:rPr>
      </w:pPr>
      <w:r>
        <w:rPr>
          <w:rFonts w:ascii="Calibri" w:hAnsi="Calibri" w:eastAsia="宋体"/>
          <w:b w:val="0"/>
          <w:bCs w:val="0"/>
          <w:color w:val="auto"/>
          <w:sz w:val="28"/>
          <w:szCs w:val="28"/>
          <w:highlight w:val="none"/>
        </w:rPr>
        <w:t xml:space="preserve">2 </w:t>
      </w:r>
      <w:r>
        <w:rPr>
          <w:rFonts w:hint="eastAsia" w:ascii="Calibri" w:hAnsi="Calibri" w:eastAsia="宋体"/>
          <w:b w:val="0"/>
          <w:bCs w:val="0"/>
          <w:color w:val="auto"/>
          <w:sz w:val="28"/>
          <w:szCs w:val="28"/>
          <w:highlight w:val="none"/>
        </w:rPr>
        <w:t>电源插座回路应按照设计要求装设剩余电流动作保护装置，剩余电流保护装置的剩余动作电流值应不大于</w:t>
      </w:r>
      <w:r>
        <w:rPr>
          <w:rFonts w:ascii="Calibri" w:hAnsi="Calibri" w:eastAsia="宋体"/>
          <w:b w:val="0"/>
          <w:bCs w:val="0"/>
          <w:color w:val="auto"/>
          <w:sz w:val="28"/>
          <w:szCs w:val="28"/>
          <w:highlight w:val="none"/>
        </w:rPr>
        <w:t>30mA</w:t>
      </w:r>
      <w:r>
        <w:rPr>
          <w:rFonts w:hint="eastAsia" w:ascii="Calibri" w:hAnsi="Calibri" w:eastAsia="宋体"/>
          <w:b w:val="0"/>
          <w:bCs w:val="0"/>
          <w:color w:val="auto"/>
          <w:sz w:val="28"/>
          <w:szCs w:val="28"/>
          <w:highlight w:val="none"/>
        </w:rPr>
        <w:t>、动作时间应不大于</w:t>
      </w:r>
      <w:r>
        <w:rPr>
          <w:rFonts w:ascii="Calibri" w:hAnsi="Calibri" w:eastAsia="宋体"/>
          <w:b w:val="0"/>
          <w:bCs w:val="0"/>
          <w:color w:val="auto"/>
          <w:sz w:val="28"/>
          <w:szCs w:val="28"/>
          <w:highlight w:val="none"/>
        </w:rPr>
        <w:t>0.1s</w:t>
      </w:r>
      <w:r>
        <w:rPr>
          <w:rFonts w:hint="eastAsia" w:ascii="Calibri" w:hAnsi="Calibri" w:eastAsia="宋体"/>
          <w:b w:val="0"/>
          <w:bCs w:val="0"/>
          <w:color w:val="auto"/>
          <w:sz w:val="28"/>
          <w:szCs w:val="28"/>
          <w:highlight w:val="none"/>
        </w:rPr>
        <w:t>；</w:t>
      </w:r>
    </w:p>
    <w:p w14:paraId="7EDDCACD">
      <w:pPr>
        <w:spacing w:line="360" w:lineRule="auto"/>
        <w:ind w:firstLine="560" w:firstLineChars="200"/>
        <w:rPr>
          <w:rFonts w:ascii="Calibri" w:hAnsi="Calibri" w:eastAsia="宋体"/>
          <w:b w:val="0"/>
          <w:bCs w:val="0"/>
          <w:color w:val="auto"/>
          <w:sz w:val="28"/>
          <w:szCs w:val="28"/>
          <w:highlight w:val="none"/>
        </w:rPr>
      </w:pPr>
      <w:r>
        <w:rPr>
          <w:rFonts w:ascii="Calibri" w:hAnsi="Calibri" w:eastAsia="宋体"/>
          <w:b w:val="0"/>
          <w:bCs w:val="0"/>
          <w:color w:val="auto"/>
          <w:sz w:val="28"/>
          <w:szCs w:val="28"/>
          <w:highlight w:val="none"/>
        </w:rPr>
        <w:t xml:space="preserve">3 </w:t>
      </w:r>
      <w:r>
        <w:rPr>
          <w:rFonts w:hint="eastAsia" w:ascii="Calibri" w:hAnsi="Calibri" w:eastAsia="宋体"/>
          <w:b w:val="0"/>
          <w:bCs w:val="0"/>
          <w:color w:val="auto"/>
          <w:sz w:val="28"/>
          <w:szCs w:val="28"/>
          <w:highlight w:val="none"/>
        </w:rPr>
        <w:t>各回路导线型号规格应符合设计要求，回路绝缘电阻应不小于</w:t>
      </w:r>
      <w:r>
        <w:rPr>
          <w:rFonts w:ascii="Calibri" w:hAnsi="Calibri" w:eastAsia="宋体"/>
          <w:b w:val="0"/>
          <w:bCs w:val="0"/>
          <w:color w:val="auto"/>
          <w:sz w:val="28"/>
          <w:szCs w:val="28"/>
          <w:highlight w:val="none"/>
        </w:rPr>
        <w:t>0.5M</w:t>
      </w:r>
      <w:r>
        <w:rPr>
          <w:rFonts w:hint="eastAsia" w:ascii="Calibri" w:hAnsi="Calibri" w:eastAsia="宋体"/>
          <w:b w:val="0"/>
          <w:bCs w:val="0"/>
          <w:color w:val="auto"/>
          <w:sz w:val="28"/>
          <w:szCs w:val="28"/>
          <w:highlight w:val="none"/>
        </w:rPr>
        <w:t>Ω；</w:t>
      </w:r>
    </w:p>
    <w:p w14:paraId="644C37C8">
      <w:pPr>
        <w:spacing w:line="360" w:lineRule="auto"/>
        <w:ind w:firstLine="560" w:firstLineChars="200"/>
        <w:rPr>
          <w:rFonts w:ascii="Calibri" w:hAnsi="Calibri" w:eastAsia="宋体"/>
          <w:color w:val="auto"/>
          <w:sz w:val="28"/>
          <w:szCs w:val="28"/>
          <w:highlight w:val="none"/>
        </w:rPr>
      </w:pPr>
      <w:r>
        <w:rPr>
          <w:rFonts w:ascii="Calibri" w:hAnsi="Calibri" w:eastAsia="宋体"/>
          <w:b w:val="0"/>
          <w:bCs w:val="0"/>
          <w:color w:val="auto"/>
          <w:sz w:val="28"/>
          <w:szCs w:val="28"/>
          <w:highlight w:val="none"/>
        </w:rPr>
        <w:t xml:space="preserve">4 </w:t>
      </w:r>
      <w:r>
        <w:rPr>
          <w:rFonts w:hint="eastAsia" w:ascii="Calibri" w:hAnsi="Calibri" w:eastAsia="宋体"/>
          <w:b w:val="0"/>
          <w:bCs w:val="0"/>
          <w:color w:val="auto"/>
          <w:sz w:val="28"/>
          <w:szCs w:val="28"/>
          <w:highlight w:val="none"/>
        </w:rPr>
        <w:t>配</w:t>
      </w:r>
      <w:r>
        <w:rPr>
          <w:rFonts w:hint="eastAsia" w:ascii="Calibri" w:hAnsi="Calibri" w:eastAsia="宋体"/>
          <w:color w:val="auto"/>
          <w:sz w:val="28"/>
          <w:szCs w:val="28"/>
          <w:highlight w:val="none"/>
        </w:rPr>
        <w:t>电箱内应分别设置中性导体（</w:t>
      </w:r>
      <w:r>
        <w:rPr>
          <w:rFonts w:ascii="Calibri" w:hAnsi="Calibri" w:eastAsia="宋体"/>
          <w:color w:val="auto"/>
          <w:sz w:val="28"/>
          <w:szCs w:val="28"/>
          <w:highlight w:val="none"/>
        </w:rPr>
        <w:t>N</w:t>
      </w:r>
      <w:r>
        <w:rPr>
          <w:rFonts w:hint="eastAsia" w:ascii="Calibri" w:hAnsi="Calibri" w:eastAsia="宋体"/>
          <w:color w:val="auto"/>
          <w:sz w:val="28"/>
          <w:szCs w:val="28"/>
          <w:highlight w:val="none"/>
        </w:rPr>
        <w:t>）和保护接地导体（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）汇流排，不同回路的</w:t>
      </w:r>
      <w:r>
        <w:rPr>
          <w:rFonts w:ascii="Calibri" w:hAnsi="Calibri" w:eastAsia="宋体"/>
          <w:color w:val="auto"/>
          <w:sz w:val="28"/>
          <w:szCs w:val="28"/>
          <w:highlight w:val="none"/>
        </w:rPr>
        <w:t>N</w:t>
      </w:r>
      <w:r>
        <w:rPr>
          <w:rFonts w:hint="eastAsia" w:ascii="Calibri" w:hAnsi="Calibri" w:eastAsia="宋体"/>
          <w:color w:val="auto"/>
          <w:sz w:val="28"/>
          <w:szCs w:val="28"/>
          <w:highlight w:val="none"/>
        </w:rPr>
        <w:t>线或</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线不应连接在母排同一孔上或端子上；</w:t>
      </w:r>
    </w:p>
    <w:p w14:paraId="66EEBEE4">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5 </w:t>
      </w:r>
      <w:r>
        <w:rPr>
          <w:rFonts w:hint="eastAsia" w:ascii="Calibri" w:hAnsi="Calibri" w:eastAsia="宋体"/>
          <w:color w:val="auto"/>
          <w:sz w:val="28"/>
          <w:szCs w:val="28"/>
          <w:highlight w:val="none"/>
        </w:rPr>
        <w:t>金属箱体及盖板应与保护接地导体（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）可靠连接。</w:t>
      </w:r>
    </w:p>
    <w:p w14:paraId="692C9424">
      <w:pPr>
        <w:spacing w:line="360" w:lineRule="auto"/>
        <w:ind w:firstLine="560" w:firstLineChars="200"/>
        <w:rPr>
          <w:rFonts w:ascii="Calibri" w:hAnsi="Calibri" w:eastAsia="宋体"/>
          <w:color w:val="auto"/>
          <w:sz w:val="28"/>
          <w:szCs w:val="28"/>
          <w:highlight w:val="none"/>
        </w:rPr>
      </w:pPr>
      <w:r>
        <w:rPr>
          <w:rFonts w:hint="eastAsia" w:ascii="Calibri" w:hAnsi="Calibri" w:eastAsia="宋体"/>
          <w:color w:val="auto"/>
          <w:sz w:val="28"/>
          <w:szCs w:val="28"/>
          <w:highlight w:val="none"/>
        </w:rPr>
        <w:t>检验方法：</w:t>
      </w:r>
      <w:r>
        <w:rPr>
          <w:rFonts w:ascii="Calibri" w:hAnsi="Calibri" w:eastAsia="宋体"/>
          <w:color w:val="auto"/>
          <w:sz w:val="28"/>
          <w:szCs w:val="28"/>
          <w:highlight w:val="none"/>
        </w:rPr>
        <w:t xml:space="preserve"> </w:t>
      </w:r>
    </w:p>
    <w:p w14:paraId="624B146A">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1 </w:t>
      </w:r>
      <w:r>
        <w:rPr>
          <w:rFonts w:hint="eastAsia" w:ascii="Calibri" w:hAnsi="Calibri" w:eastAsia="宋体"/>
          <w:color w:val="auto"/>
          <w:sz w:val="28"/>
          <w:szCs w:val="28"/>
          <w:highlight w:val="none"/>
        </w:rPr>
        <w:t>现场观察配电箱内导线分色、导线型号规格以及配电箱内导线、电器装置的连接安装工艺；</w:t>
      </w:r>
    </w:p>
    <w:p w14:paraId="7D1F8DF0">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2 </w:t>
      </w:r>
      <w:r>
        <w:rPr>
          <w:rFonts w:hint="eastAsia" w:ascii="Calibri" w:hAnsi="Calibri" w:eastAsia="宋体"/>
          <w:color w:val="auto"/>
          <w:sz w:val="28"/>
          <w:szCs w:val="28"/>
          <w:highlight w:val="none"/>
        </w:rPr>
        <w:t>利用剩余电流保护装置动作特性测试仪在插座回路模拟产生剩余电流，实测保护装置的动作电流；对剩余电流保护装置施加额定剩余动作电流（</w:t>
      </w:r>
      <w:r>
        <w:rPr>
          <w:rFonts w:ascii="Calibri" w:hAnsi="Calibri" w:eastAsia="宋体"/>
          <w:color w:val="auto"/>
          <w:position w:val="-12"/>
          <w:sz w:val="28"/>
          <w:szCs w:val="28"/>
          <w:highlight w:val="none"/>
        </w:rPr>
        <w:object>
          <v:shape id="_x0000_i1025" o:spt="75" type="#_x0000_t75" style="height:18pt;width:17.25pt;" o:ole="t" filled="f" o:preferrelative="t" stroked="f" coordsize="21600,21600">
            <v:path/>
            <v:fill on="f" focussize="0,0"/>
            <v:stroke on="f" joinstyle="miter"/>
            <v:imagedata r:id="rId13" o:title=""/>
            <o:lock v:ext="edit" aspectratio="t"/>
            <w10:wrap type="none"/>
            <w10:anchorlock/>
          </v:shape>
          <o:OLEObject Type="Embed" ProgID="Equation.KSEE3" ShapeID="_x0000_i1025" DrawAspect="Content" ObjectID="_1468075725" r:id="rId12">
            <o:LockedField>false</o:LockedField>
          </o:OLEObject>
        </w:object>
      </w:r>
      <w:r>
        <w:rPr>
          <w:rFonts w:hint="eastAsia" w:ascii="Calibri" w:hAnsi="Calibri" w:eastAsia="宋体"/>
          <w:color w:val="auto"/>
          <w:sz w:val="28"/>
          <w:szCs w:val="28"/>
          <w:highlight w:val="none"/>
        </w:rPr>
        <w:t>）的情况下测试动作时间；</w:t>
      </w:r>
    </w:p>
    <w:p w14:paraId="395B43B8">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3 </w:t>
      </w:r>
      <w:r>
        <w:rPr>
          <w:rFonts w:hint="eastAsia" w:ascii="Calibri" w:hAnsi="Calibri" w:eastAsia="宋体"/>
          <w:color w:val="auto"/>
          <w:sz w:val="28"/>
          <w:szCs w:val="28"/>
          <w:highlight w:val="none"/>
        </w:rPr>
        <w:t>查阅回路绝缘电阻施工测试记录，对插座回路抽检回路绝缘电阻；</w:t>
      </w:r>
    </w:p>
    <w:p w14:paraId="4A00BB00">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4 </w:t>
      </w:r>
      <w:r>
        <w:rPr>
          <w:rFonts w:hint="eastAsia" w:ascii="Calibri" w:hAnsi="Calibri" w:eastAsia="宋体"/>
          <w:color w:val="auto"/>
          <w:sz w:val="28"/>
          <w:szCs w:val="28"/>
          <w:highlight w:val="none"/>
        </w:rPr>
        <w:t>利用接地电阻测试仪测量配电箱内保护接地导体（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）汇流排、金属箱体及盖板的接地电阻值。</w:t>
      </w:r>
    </w:p>
    <w:p w14:paraId="31B28E6D">
      <w:pPr>
        <w:spacing w:line="360" w:lineRule="auto"/>
        <w:ind w:firstLine="560" w:firstLineChars="200"/>
        <w:rPr>
          <w:rFonts w:ascii="Calibri" w:hAnsi="Calibri" w:eastAsia="宋体"/>
          <w:color w:val="auto"/>
          <w:sz w:val="28"/>
          <w:szCs w:val="28"/>
          <w:highlight w:val="none"/>
        </w:rPr>
      </w:pPr>
      <w:r>
        <w:rPr>
          <w:rFonts w:hint="eastAsia" w:ascii="Calibri" w:hAnsi="Calibri" w:eastAsia="宋体"/>
          <w:color w:val="auto"/>
          <w:sz w:val="28"/>
          <w:szCs w:val="28"/>
          <w:highlight w:val="none"/>
        </w:rPr>
        <w:t>检验数量：剩余电流保护装置动作特性按插座回路数量全数检测；户内插座回路的绝缘电阻值按照插座回路总数的</w:t>
      </w:r>
      <w:r>
        <w:rPr>
          <w:rFonts w:ascii="Calibri" w:hAnsi="Calibri" w:eastAsia="宋体"/>
          <w:color w:val="auto"/>
          <w:sz w:val="28"/>
          <w:szCs w:val="28"/>
          <w:highlight w:val="none"/>
        </w:rPr>
        <w:t>20%</w:t>
      </w:r>
      <w:r>
        <w:rPr>
          <w:rFonts w:hint="eastAsia" w:ascii="Calibri" w:hAnsi="Calibri" w:eastAsia="宋体"/>
          <w:color w:val="auto"/>
          <w:sz w:val="28"/>
          <w:szCs w:val="28"/>
          <w:highlight w:val="none"/>
        </w:rPr>
        <w:t>抽检且不少于</w:t>
      </w:r>
      <w:r>
        <w:rPr>
          <w:rFonts w:ascii="Calibri" w:hAnsi="Calibri" w:eastAsia="宋体"/>
          <w:color w:val="auto"/>
          <w:sz w:val="28"/>
          <w:szCs w:val="28"/>
          <w:highlight w:val="none"/>
        </w:rPr>
        <w:t>2</w:t>
      </w:r>
      <w:r>
        <w:rPr>
          <w:rFonts w:hint="eastAsia" w:ascii="Calibri" w:hAnsi="Calibri" w:eastAsia="宋体"/>
          <w:color w:val="auto"/>
          <w:sz w:val="28"/>
          <w:szCs w:val="28"/>
          <w:highlight w:val="none"/>
        </w:rPr>
        <w:t>个回路；其它项目全数检验。</w:t>
      </w:r>
      <w:r>
        <w:rPr>
          <w:rFonts w:ascii="Calibri" w:hAnsi="Calibri" w:eastAsia="宋体"/>
          <w:color w:val="auto"/>
          <w:sz w:val="28"/>
          <w:szCs w:val="28"/>
          <w:highlight w:val="none"/>
        </w:rPr>
        <w:t xml:space="preserve"> </w:t>
      </w:r>
    </w:p>
    <w:p w14:paraId="69495743">
      <w:pPr>
        <w:pStyle w:val="9"/>
        <w:spacing w:line="360" w:lineRule="auto"/>
        <w:ind w:left="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9.2.</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分户配电箱是住宅户内电气工程的集成，分户配电箱及其内部的电气线路、电器装置的安装质量将直接影响户内电气工程的使用安全、使用功能以及日后的维护改造。因此户内配电箱的施工安装工艺、装置设置、电气接地保护措施、漏电保护装置性能等应符合相应规范要求。要求箱体内线路要做好标识，做好箱体的接地保护，金属箱体必须与</w:t>
      </w:r>
      <w:r>
        <w:rPr>
          <w:rFonts w:cs="宋体"/>
          <w:color w:val="auto"/>
          <w:sz w:val="28"/>
          <w:szCs w:val="28"/>
          <w:highlight w:val="none"/>
          <w:shd w:val="pct10" w:color="auto" w:fill="FFFFFF"/>
          <w:lang w:eastAsia="zh-CN"/>
        </w:rPr>
        <w:t>PE</w:t>
      </w:r>
      <w:r>
        <w:rPr>
          <w:rFonts w:hint="eastAsia" w:cs="宋体"/>
          <w:color w:val="auto"/>
          <w:sz w:val="28"/>
          <w:szCs w:val="28"/>
          <w:highlight w:val="none"/>
          <w:shd w:val="pct10" w:color="auto" w:fill="FFFFFF"/>
          <w:lang w:eastAsia="zh-CN"/>
        </w:rPr>
        <w:t>保护接地导体牢固连接。</w:t>
      </w:r>
    </w:p>
    <w:p w14:paraId="5E4C0D7E">
      <w:pPr>
        <w:pStyle w:val="3"/>
        <w:spacing w:before="240" w:after="240"/>
        <w:rPr>
          <w:rFonts w:hint="default" w:cs="宋体"/>
          <w:color w:val="auto"/>
          <w:sz w:val="28"/>
          <w:szCs w:val="28"/>
          <w:highlight w:val="none"/>
          <w:lang w:val="en-US" w:eastAsia="zh-CN"/>
        </w:rPr>
      </w:pPr>
      <w:bookmarkStart w:id="240" w:name="_Toc7853"/>
      <w:bookmarkStart w:id="241" w:name="_Toc3764"/>
      <w:bookmarkStart w:id="242" w:name="_Toc30520"/>
      <w:bookmarkStart w:id="243" w:name="_Toc20606"/>
      <w:bookmarkStart w:id="244" w:name="_Toc26936"/>
      <w:bookmarkStart w:id="245" w:name="_Toc31614"/>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3</w:t>
      </w:r>
      <w:r>
        <w:rPr>
          <w:rStyle w:val="43"/>
          <w:rFonts w:ascii="仿宋" w:hAnsi="仿宋" w:cs="宋体"/>
          <w:b/>
          <w:bCs w:val="0"/>
          <w:color w:val="auto"/>
          <w:highlight w:val="none"/>
        </w:rPr>
        <w:t xml:space="preserve"> </w:t>
      </w:r>
      <w:r>
        <w:rPr>
          <w:rStyle w:val="43"/>
          <w:rFonts w:hint="eastAsia" w:ascii="仿宋" w:hAnsi="仿宋" w:cs="宋体"/>
          <w:b/>
          <w:bCs w:val="0"/>
          <w:color w:val="auto"/>
          <w:highlight w:val="none"/>
          <w:lang w:val="en-US" w:eastAsia="zh-CN"/>
        </w:rPr>
        <w:t>开关、插座</w:t>
      </w:r>
      <w:bookmarkEnd w:id="240"/>
      <w:bookmarkEnd w:id="241"/>
      <w:bookmarkEnd w:id="242"/>
      <w:bookmarkEnd w:id="243"/>
      <w:bookmarkEnd w:id="244"/>
      <w:bookmarkEnd w:id="245"/>
    </w:p>
    <w:p w14:paraId="70C3CA28">
      <w:pPr>
        <w:pStyle w:val="46"/>
        <w:spacing w:line="360" w:lineRule="auto"/>
        <w:ind w:left="0" w:leftChars="0" w:firstLine="0" w:firstLineChars="0"/>
        <w:rPr>
          <w:rFonts w:ascii="宋体" w:hAnsi="宋体" w:cs="宋体"/>
          <w:color w:val="auto"/>
          <w:highlight w:val="none"/>
        </w:rPr>
      </w:pPr>
      <w:r>
        <w:rPr>
          <w:rFonts w:hint="eastAsia" w:ascii="宋体" w:hAnsi="宋体" w:cs="宋体"/>
          <w:color w:val="auto"/>
          <w:highlight w:val="none"/>
          <w:lang w:val="en-US" w:eastAsia="zh-CN"/>
        </w:rPr>
        <w:t>9.3.1</w:t>
      </w:r>
      <w:r>
        <w:rPr>
          <w:rFonts w:hint="eastAsia" w:ascii="宋体" w:hAnsi="宋体" w:cs="宋体"/>
          <w:color w:val="auto"/>
          <w:highlight w:val="none"/>
        </w:rPr>
        <w:t>开关、插座的规格型号、数量及安装位置应符合设计要求</w:t>
      </w:r>
      <w:r>
        <w:rPr>
          <w:rFonts w:hint="eastAsia" w:ascii="宋体" w:hAnsi="宋体" w:cs="宋体"/>
          <w:color w:val="auto"/>
          <w:highlight w:val="none"/>
          <w:lang w:eastAsia="zh-CN"/>
        </w:rPr>
        <w:t>；</w:t>
      </w:r>
      <w:r>
        <w:rPr>
          <w:rFonts w:hint="eastAsia" w:ascii="宋体" w:hAnsi="宋体" w:cs="宋体"/>
          <w:color w:val="auto"/>
          <w:highlight w:val="none"/>
        </w:rPr>
        <w:t>暗装的插座盒或开关盒应与饰面平齐，盒内干净整洁，无锈蚀，绝缘导线不得裸露在装饰层内</w:t>
      </w:r>
      <w:r>
        <w:rPr>
          <w:rFonts w:hint="eastAsia" w:ascii="宋体" w:hAnsi="宋体" w:cs="宋体"/>
          <w:color w:val="auto"/>
          <w:highlight w:val="none"/>
          <w:lang w:val="en-US" w:eastAsia="zh-CN"/>
        </w:rPr>
        <w:t>且</w:t>
      </w:r>
      <w:r>
        <w:rPr>
          <w:rFonts w:hint="eastAsia" w:ascii="宋体" w:hAnsi="宋体" w:cs="宋体"/>
          <w:color w:val="auto"/>
          <w:highlight w:val="none"/>
        </w:rPr>
        <w:t>面板应紧贴饰面、四周无缝隙、安装牢固，表面光滑、无碎裂、无划伤，装饰帽（板）齐全。</w:t>
      </w:r>
    </w:p>
    <w:p w14:paraId="030B0D92">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33CFB43B">
      <w:pPr>
        <w:pStyle w:val="46"/>
        <w:spacing w:line="360" w:lineRule="auto"/>
        <w:rPr>
          <w:rFonts w:ascii="宋体" w:hAnsi="宋体" w:cs="宋体"/>
          <w:color w:val="auto"/>
          <w:highlight w:val="none"/>
        </w:rPr>
      </w:pPr>
      <w:r>
        <w:rPr>
          <w:rFonts w:hint="eastAsia" w:ascii="宋体" w:hAnsi="宋体" w:cs="宋体"/>
          <w:color w:val="auto"/>
          <w:highlight w:val="none"/>
        </w:rPr>
        <w:t>检验数量：开关、插座按照每个功能空间抽检不少于</w:t>
      </w:r>
      <w:r>
        <w:rPr>
          <w:rFonts w:ascii="宋体" w:hAnsi="宋体" w:cs="宋体"/>
          <w:color w:val="auto"/>
          <w:highlight w:val="none"/>
        </w:rPr>
        <w:t>1</w:t>
      </w:r>
      <w:r>
        <w:rPr>
          <w:rFonts w:hint="eastAsia" w:ascii="宋体" w:hAnsi="宋体" w:cs="宋体"/>
          <w:color w:val="auto"/>
          <w:highlight w:val="none"/>
        </w:rPr>
        <w:t>处。</w:t>
      </w:r>
    </w:p>
    <w:p w14:paraId="57C5F43B">
      <w:pPr>
        <w:pStyle w:val="9"/>
        <w:spacing w:line="360" w:lineRule="auto"/>
        <w:ind w:left="0"/>
        <w:rPr>
          <w:rFonts w:cs="宋体"/>
          <w:color w:val="auto"/>
          <w:sz w:val="28"/>
          <w:szCs w:val="28"/>
          <w:highlight w:val="none"/>
          <w:lang w:eastAsia="zh-CN"/>
        </w:rPr>
      </w:pPr>
      <w:r>
        <w:rPr>
          <w:rFonts w:hint="eastAsia" w:cs="宋体"/>
          <w:color w:val="auto"/>
          <w:sz w:val="28"/>
          <w:szCs w:val="28"/>
          <w:highlight w:val="none"/>
          <w:shd w:val="pct10" w:color="auto" w:fill="FFFFFF"/>
          <w:lang w:eastAsia="zh-CN"/>
        </w:rPr>
        <w:t>【条文说明】9.3.</w:t>
      </w:r>
      <w:r>
        <w:rPr>
          <w:rFonts w:hint="eastAsia" w:cs="宋体"/>
          <w:color w:val="auto"/>
          <w:sz w:val="28"/>
          <w:szCs w:val="28"/>
          <w:highlight w:val="none"/>
          <w:shd w:val="pct10" w:color="auto" w:fill="FFFFFF"/>
          <w:lang w:val="en-US" w:eastAsia="zh-CN"/>
        </w:rPr>
        <w:t>1</w:t>
      </w:r>
      <w:r>
        <w:rPr>
          <w:rFonts w:hint="eastAsia" w:cs="宋体"/>
          <w:color w:val="auto"/>
          <w:sz w:val="28"/>
          <w:szCs w:val="28"/>
          <w:highlight w:val="none"/>
          <w:shd w:val="pct10" w:color="auto" w:fill="FFFFFF"/>
          <w:lang w:eastAsia="zh-CN"/>
        </w:rPr>
        <w:t xml:space="preserve"> 对于户内同一功能用途的不同空间区域在统计检验数量时应累计计算。</w:t>
      </w:r>
    </w:p>
    <w:p w14:paraId="12D809AD">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9.</w:t>
      </w:r>
      <w:r>
        <w:rPr>
          <w:rFonts w:hint="eastAsia" w:cs="宋体"/>
          <w:color w:val="auto"/>
          <w:sz w:val="28"/>
          <w:szCs w:val="28"/>
          <w:highlight w:val="none"/>
          <w:lang w:val="en-US" w:eastAsia="zh-CN"/>
        </w:rPr>
        <w:t>3</w:t>
      </w:r>
      <w:r>
        <w:rPr>
          <w:rFonts w:cs="宋体"/>
          <w:color w:val="auto"/>
          <w:sz w:val="28"/>
          <w:szCs w:val="28"/>
          <w:highlight w:val="none"/>
          <w:lang w:eastAsia="zh-CN"/>
        </w:rPr>
        <w:t xml:space="preserve">.2 </w:t>
      </w:r>
      <w:r>
        <w:rPr>
          <w:rFonts w:hint="eastAsia" w:cs="宋体"/>
          <w:color w:val="auto"/>
          <w:sz w:val="28"/>
          <w:szCs w:val="28"/>
          <w:highlight w:val="none"/>
          <w:lang w:eastAsia="zh-CN"/>
        </w:rPr>
        <w:t>开关、插座的安装及接线应符合下列要求：</w:t>
      </w:r>
    </w:p>
    <w:p w14:paraId="438A8F11">
      <w:pPr>
        <w:pStyle w:val="46"/>
        <w:spacing w:line="360" w:lineRule="auto"/>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照明回路的通断应由开关控制相线实现；</w:t>
      </w:r>
    </w:p>
    <w:p w14:paraId="38ABA942">
      <w:pPr>
        <w:pStyle w:val="46"/>
        <w:spacing w:line="360" w:lineRule="auto"/>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户内安装在</w:t>
      </w:r>
      <w:r>
        <w:rPr>
          <w:rFonts w:ascii="宋体" w:hAnsi="宋体" w:cs="宋体"/>
          <w:color w:val="auto"/>
          <w:highlight w:val="none"/>
        </w:rPr>
        <w:t>1.8m</w:t>
      </w:r>
      <w:r>
        <w:rPr>
          <w:rFonts w:hint="eastAsia" w:ascii="宋体" w:hAnsi="宋体" w:cs="宋体"/>
          <w:color w:val="auto"/>
          <w:highlight w:val="none"/>
        </w:rPr>
        <w:t>及以下的插座应采用安全型插座；</w:t>
      </w:r>
    </w:p>
    <w:p w14:paraId="3CCD9A25">
      <w:pPr>
        <w:pStyle w:val="46"/>
        <w:spacing w:line="360" w:lineRule="auto"/>
        <w:rPr>
          <w:rFonts w:ascii="宋体" w:hAns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对于单相两孔插座，面对插座的右孔或上孔应与相线连接，左孔或下孔应与中性导体（</w:t>
      </w:r>
      <w:r>
        <w:rPr>
          <w:rFonts w:ascii="宋体" w:hAnsi="宋体" w:cs="宋体"/>
          <w:color w:val="auto"/>
          <w:highlight w:val="none"/>
        </w:rPr>
        <w:t>N</w:t>
      </w:r>
      <w:r>
        <w:rPr>
          <w:rFonts w:hint="eastAsia" w:ascii="宋体" w:hAnsi="宋体" w:cs="宋体"/>
          <w:color w:val="auto"/>
          <w:highlight w:val="none"/>
        </w:rPr>
        <w:t>）连接；对于单相三孔插座，面对插座的右孔应与相线连接，左孔应与中性导体（</w:t>
      </w:r>
      <w:r>
        <w:rPr>
          <w:rFonts w:ascii="宋体" w:hAnsi="宋体" w:cs="宋体"/>
          <w:color w:val="auto"/>
          <w:highlight w:val="none"/>
        </w:rPr>
        <w:t>N</w:t>
      </w:r>
      <w:r>
        <w:rPr>
          <w:rFonts w:hint="eastAsia" w:ascii="宋体" w:hAnsi="宋体" w:cs="宋体"/>
          <w:color w:val="auto"/>
          <w:highlight w:val="none"/>
        </w:rPr>
        <w:t>）连接；</w:t>
      </w:r>
    </w:p>
    <w:p w14:paraId="24A6B786">
      <w:pPr>
        <w:pStyle w:val="46"/>
        <w:spacing w:line="360" w:lineRule="auto"/>
        <w:rPr>
          <w:rFonts w:ascii="Calibri" w:hAnsi="Calibri"/>
          <w:color w:val="auto"/>
          <w:highlight w:val="none"/>
        </w:rPr>
      </w:pPr>
      <w:r>
        <w:rPr>
          <w:rFonts w:ascii="宋体" w:hAnsi="宋体" w:cs="宋体"/>
          <w:color w:val="auto"/>
          <w:highlight w:val="none"/>
        </w:rPr>
        <w:t xml:space="preserve">4 </w:t>
      </w:r>
      <w:r>
        <w:rPr>
          <w:rFonts w:hint="eastAsia" w:ascii="宋体" w:hAnsi="宋体" w:cs="宋体"/>
          <w:color w:val="auto"/>
          <w:highlight w:val="none"/>
        </w:rPr>
        <w:t>单相三孔、三相四孔及三相五孔插座的保护接地导体（</w:t>
      </w:r>
      <w:r>
        <w:rPr>
          <w:rFonts w:ascii="宋体" w:hAnsi="宋体" w:cs="宋体"/>
          <w:color w:val="auto"/>
          <w:highlight w:val="none"/>
        </w:rPr>
        <w:t>PE</w:t>
      </w:r>
      <w:r>
        <w:rPr>
          <w:rFonts w:hint="eastAsia" w:ascii="宋体" w:hAnsi="宋体" w:cs="宋体"/>
          <w:color w:val="auto"/>
          <w:highlight w:val="none"/>
        </w:rPr>
        <w:t>）应接在上孔；插座的保护接地导体端子不得与中性导体端子连接；</w:t>
      </w:r>
      <w:r>
        <w:rPr>
          <w:rFonts w:hint="eastAsia" w:ascii="Calibri" w:hAnsi="Calibri"/>
          <w:color w:val="auto"/>
          <w:highlight w:val="none"/>
        </w:rPr>
        <w:t>同一场所的三相插座，其接线的相序应一致；</w:t>
      </w:r>
    </w:p>
    <w:p w14:paraId="302F187C">
      <w:pPr>
        <w:pStyle w:val="46"/>
        <w:spacing w:line="360" w:lineRule="auto"/>
        <w:rPr>
          <w:rFonts w:ascii="宋体" w:hAnsi="宋体" w:cs="宋体"/>
          <w:color w:val="auto"/>
          <w:highlight w:val="none"/>
        </w:rPr>
      </w:pPr>
      <w:r>
        <w:rPr>
          <w:rFonts w:ascii="宋体" w:hAnsi="宋体" w:cs="宋体"/>
          <w:color w:val="auto"/>
          <w:highlight w:val="none"/>
        </w:rPr>
        <w:t xml:space="preserve">5 </w:t>
      </w:r>
      <w:r>
        <w:rPr>
          <w:rFonts w:hint="eastAsia" w:ascii="宋体" w:hAnsi="宋体" w:cs="宋体"/>
          <w:color w:val="auto"/>
          <w:highlight w:val="none"/>
        </w:rPr>
        <w:t>保护接地导体（</w:t>
      </w:r>
      <w:r>
        <w:rPr>
          <w:rFonts w:ascii="宋体" w:hAnsi="宋体" w:cs="宋体"/>
          <w:color w:val="auto"/>
          <w:highlight w:val="none"/>
        </w:rPr>
        <w:t>PE</w:t>
      </w:r>
      <w:r>
        <w:rPr>
          <w:rFonts w:hint="eastAsia" w:ascii="宋体" w:hAnsi="宋体" w:cs="宋体"/>
          <w:color w:val="auto"/>
          <w:highlight w:val="none"/>
        </w:rPr>
        <w:t>）在插座之间不得串联连接；</w:t>
      </w:r>
    </w:p>
    <w:p w14:paraId="0C4B4B79">
      <w:pPr>
        <w:pStyle w:val="46"/>
        <w:spacing w:line="360" w:lineRule="auto"/>
        <w:rPr>
          <w:rFonts w:hint="eastAsia" w:ascii="宋体" w:hAnsi="宋体" w:cs="宋体"/>
          <w:color w:val="auto"/>
          <w:highlight w:val="none"/>
          <w:lang w:eastAsia="zh-CN"/>
        </w:rPr>
      </w:pPr>
      <w:r>
        <w:rPr>
          <w:rFonts w:ascii="宋体" w:hAnsi="宋体" w:cs="宋体"/>
          <w:color w:val="auto"/>
          <w:highlight w:val="none"/>
        </w:rPr>
        <w:t xml:space="preserve">6 </w:t>
      </w:r>
      <w:r>
        <w:rPr>
          <w:rFonts w:hint="eastAsia" w:ascii="宋体" w:hAnsi="宋体" w:cs="宋体"/>
          <w:color w:val="auto"/>
          <w:highlight w:val="none"/>
        </w:rPr>
        <w:t>相线与中性导体（</w:t>
      </w:r>
      <w:r>
        <w:rPr>
          <w:rFonts w:ascii="宋体" w:hAnsi="宋体" w:cs="宋体"/>
          <w:color w:val="auto"/>
          <w:highlight w:val="none"/>
        </w:rPr>
        <w:t>N</w:t>
      </w:r>
      <w:r>
        <w:rPr>
          <w:rFonts w:hint="eastAsia" w:ascii="宋体" w:hAnsi="宋体" w:cs="宋体"/>
          <w:color w:val="auto"/>
          <w:highlight w:val="none"/>
        </w:rPr>
        <w:t>）不应利用插座本体的接线端子转接供电</w:t>
      </w:r>
      <w:r>
        <w:rPr>
          <w:rFonts w:hint="eastAsia" w:ascii="宋体" w:hAnsi="宋体" w:cs="宋体"/>
          <w:color w:val="auto"/>
          <w:highlight w:val="none"/>
          <w:lang w:eastAsia="zh-CN"/>
        </w:rPr>
        <w:t>；</w:t>
      </w:r>
    </w:p>
    <w:p w14:paraId="3B158D02">
      <w:pPr>
        <w:pStyle w:val="46"/>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 在潮湿场所，应采用具有防溅电器附件的插座，安装高度距地不应低于1.5m。</w:t>
      </w:r>
    </w:p>
    <w:p w14:paraId="299256DD">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25E8205B">
      <w:pPr>
        <w:pStyle w:val="46"/>
        <w:spacing w:line="360" w:lineRule="auto"/>
        <w:rPr>
          <w:rFonts w:ascii="宋体" w:hAnsi="宋体" w:cs="宋体"/>
          <w:color w:val="auto"/>
          <w:highlight w:val="none"/>
        </w:rPr>
      </w:pPr>
      <w:r>
        <w:rPr>
          <w:rFonts w:hint="eastAsia" w:ascii="宋体" w:hAnsi="宋体" w:cs="宋体"/>
          <w:color w:val="auto"/>
          <w:highlight w:val="none"/>
        </w:rPr>
        <w:t>检查数量：开关接线按照开关总数的</w:t>
      </w:r>
      <w:r>
        <w:rPr>
          <w:rFonts w:ascii="宋体" w:hAnsi="宋体" w:cs="宋体"/>
          <w:color w:val="auto"/>
          <w:highlight w:val="none"/>
        </w:rPr>
        <w:t>5%</w:t>
      </w:r>
      <w:r>
        <w:rPr>
          <w:rFonts w:hint="eastAsia" w:ascii="宋体" w:hAnsi="宋体" w:cs="宋体"/>
          <w:color w:val="auto"/>
          <w:highlight w:val="none"/>
        </w:rPr>
        <w:t>抽检。户内安装在</w:t>
      </w:r>
      <w:r>
        <w:rPr>
          <w:rFonts w:ascii="宋体" w:hAnsi="宋体" w:cs="宋体"/>
          <w:color w:val="auto"/>
          <w:highlight w:val="none"/>
        </w:rPr>
        <w:t>1.8m</w:t>
      </w:r>
      <w:r>
        <w:rPr>
          <w:rFonts w:hint="eastAsia" w:ascii="宋体" w:hAnsi="宋体" w:cs="宋体"/>
          <w:color w:val="auto"/>
          <w:highlight w:val="none"/>
        </w:rPr>
        <w:t>及以下的插座类型全数检查；插座接线按不同型号规格的插座，每种型号规格抽检户内总数的</w:t>
      </w:r>
      <w:r>
        <w:rPr>
          <w:rFonts w:ascii="宋体" w:hAnsi="宋体" w:cs="宋体"/>
          <w:color w:val="auto"/>
          <w:highlight w:val="none"/>
        </w:rPr>
        <w:t>5%</w:t>
      </w:r>
      <w:r>
        <w:rPr>
          <w:rFonts w:hint="eastAsia" w:ascii="Calibri" w:hAnsi="Calibri"/>
          <w:color w:val="auto"/>
          <w:highlight w:val="none"/>
        </w:rPr>
        <w:t>且不少于</w:t>
      </w:r>
      <w:r>
        <w:rPr>
          <w:rFonts w:ascii="Calibri" w:hAnsi="Calibri"/>
          <w:color w:val="auto"/>
          <w:highlight w:val="none"/>
        </w:rPr>
        <w:t>2</w:t>
      </w:r>
      <w:r>
        <w:rPr>
          <w:rFonts w:hint="eastAsia" w:ascii="Calibri" w:hAnsi="Calibri"/>
          <w:color w:val="auto"/>
          <w:highlight w:val="none"/>
        </w:rPr>
        <w:t>个。</w:t>
      </w:r>
    </w:p>
    <w:p w14:paraId="5F470C54">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3</w:t>
      </w:r>
      <w:r>
        <w:rPr>
          <w:rFonts w:hint="eastAsia" w:cs="宋体"/>
          <w:color w:val="auto"/>
          <w:sz w:val="28"/>
          <w:szCs w:val="28"/>
          <w:highlight w:val="none"/>
          <w:shd w:val="pct10" w:color="auto" w:fill="FFFFFF"/>
          <w:lang w:eastAsia="zh-CN"/>
        </w:rPr>
        <w:t>.2 照明回路的通断如果不是通过开关切断相线实现，极易造成维修人员认知上的错误，更换光源等检修时易造成触电事故。户内安装在1.8m及以下的插座应采用安全型插座的规定在《住宅建筑规范》GB 50368-2005和《住宅设计规范》</w:t>
      </w:r>
      <w:r>
        <w:rPr>
          <w:color w:val="auto"/>
          <w:highlight w:val="none"/>
        </w:rPr>
        <w:fldChar w:fldCharType="begin"/>
      </w:r>
      <w:r>
        <w:rPr>
          <w:color w:val="auto"/>
          <w:highlight w:val="none"/>
        </w:rPr>
        <w:instrText xml:space="preserve"> HYPERLINK "http://www.jianbiaoku.com/webarbs/book/407/1348650.shtml" \t "_self" </w:instrText>
      </w:r>
      <w:r>
        <w:rPr>
          <w:color w:val="auto"/>
          <w:highlight w:val="none"/>
        </w:rPr>
        <w:fldChar w:fldCharType="separate"/>
      </w:r>
      <w:r>
        <w:rPr>
          <w:rFonts w:hint="eastAsia" w:cs="宋体"/>
          <w:color w:val="auto"/>
          <w:sz w:val="28"/>
          <w:szCs w:val="28"/>
          <w:highlight w:val="none"/>
          <w:shd w:val="pct10" w:color="auto" w:fill="FFFFFF"/>
          <w:lang w:eastAsia="zh-CN"/>
        </w:rPr>
        <w:t>GB 50096</w:t>
      </w:r>
      <w:r>
        <w:rPr>
          <w:rFonts w:hint="eastAsia" w:cs="宋体"/>
          <w:color w:val="auto"/>
          <w:sz w:val="28"/>
          <w:szCs w:val="28"/>
          <w:highlight w:val="none"/>
          <w:shd w:val="pct10" w:color="auto" w:fill="FFFFFF"/>
          <w:lang w:eastAsia="zh-CN"/>
        </w:rPr>
        <w:fldChar w:fldCharType="end"/>
      </w:r>
      <w:r>
        <w:rPr>
          <w:rFonts w:hint="eastAsia" w:cs="宋体"/>
          <w:color w:val="auto"/>
          <w:sz w:val="28"/>
          <w:szCs w:val="28"/>
          <w:highlight w:val="none"/>
          <w:shd w:val="pct10" w:color="auto" w:fill="FFFFFF"/>
          <w:lang w:eastAsia="zh-CN"/>
        </w:rPr>
        <w:t>-2011中均有相关内容，在《住宅设计规范》</w:t>
      </w:r>
      <w:r>
        <w:rPr>
          <w:color w:val="auto"/>
          <w:highlight w:val="none"/>
        </w:rPr>
        <w:fldChar w:fldCharType="begin"/>
      </w:r>
      <w:r>
        <w:rPr>
          <w:color w:val="auto"/>
          <w:highlight w:val="none"/>
        </w:rPr>
        <w:instrText xml:space="preserve"> HYPERLINK "http://www.jianbiaoku.com/webarbs/book/407/1348650.shtml" \t "_self" </w:instrText>
      </w:r>
      <w:r>
        <w:rPr>
          <w:color w:val="auto"/>
          <w:highlight w:val="none"/>
        </w:rPr>
        <w:fldChar w:fldCharType="separate"/>
      </w:r>
      <w:r>
        <w:rPr>
          <w:rFonts w:hint="eastAsia" w:cs="宋体"/>
          <w:color w:val="auto"/>
          <w:sz w:val="28"/>
          <w:szCs w:val="28"/>
          <w:highlight w:val="none"/>
          <w:shd w:val="pct10" w:color="auto" w:fill="FFFFFF"/>
          <w:lang w:eastAsia="zh-CN"/>
        </w:rPr>
        <w:t>GB 50096</w:t>
      </w:r>
      <w:r>
        <w:rPr>
          <w:rFonts w:hint="eastAsia" w:cs="宋体"/>
          <w:color w:val="auto"/>
          <w:sz w:val="28"/>
          <w:szCs w:val="28"/>
          <w:highlight w:val="none"/>
          <w:shd w:val="pct10" w:color="auto" w:fill="FFFFFF"/>
          <w:lang w:eastAsia="zh-CN"/>
        </w:rPr>
        <w:fldChar w:fldCharType="end"/>
      </w:r>
      <w:r>
        <w:rPr>
          <w:rFonts w:hint="eastAsia" w:cs="宋体"/>
          <w:color w:val="auto"/>
          <w:sz w:val="28"/>
          <w:szCs w:val="28"/>
          <w:highlight w:val="none"/>
          <w:shd w:val="pct10" w:color="auto" w:fill="FFFFFF"/>
          <w:lang w:eastAsia="zh-CN"/>
        </w:rPr>
        <w:t>-2011中为强制性条文。开关、插座的接线方式，需打开开关、插座面板观察检查。</w:t>
      </w:r>
    </w:p>
    <w:p w14:paraId="3BD59793">
      <w:pPr>
        <w:pStyle w:val="3"/>
        <w:spacing w:before="240" w:after="240"/>
        <w:rPr>
          <w:rFonts w:hint="eastAsia" w:cs="宋体"/>
          <w:color w:val="auto"/>
          <w:sz w:val="28"/>
          <w:szCs w:val="28"/>
          <w:highlight w:val="none"/>
          <w:lang w:eastAsia="zh-CN"/>
        </w:rPr>
      </w:pPr>
      <w:bookmarkStart w:id="246" w:name="_Toc22579"/>
      <w:bookmarkStart w:id="247" w:name="_Toc28162"/>
      <w:bookmarkStart w:id="248" w:name="_Toc23934"/>
      <w:bookmarkStart w:id="249" w:name="_Toc2698"/>
      <w:bookmarkStart w:id="250" w:name="_Toc21143"/>
      <w:bookmarkStart w:id="251" w:name="_Toc30976"/>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4</w:t>
      </w:r>
      <w:r>
        <w:rPr>
          <w:rStyle w:val="43"/>
          <w:rFonts w:ascii="仿宋" w:hAnsi="仿宋" w:cs="宋体"/>
          <w:b/>
          <w:bCs w:val="0"/>
          <w:color w:val="auto"/>
          <w:highlight w:val="none"/>
        </w:rPr>
        <w:t xml:space="preserve"> </w:t>
      </w:r>
      <w:r>
        <w:rPr>
          <w:rStyle w:val="43"/>
          <w:rFonts w:hint="eastAsia" w:ascii="仿宋" w:hAnsi="仿宋" w:cs="宋体"/>
          <w:b/>
          <w:bCs w:val="0"/>
          <w:color w:val="auto"/>
          <w:highlight w:val="none"/>
          <w:lang w:val="en-US" w:eastAsia="zh-CN"/>
        </w:rPr>
        <w:t>灯具</w:t>
      </w:r>
      <w:bookmarkEnd w:id="246"/>
      <w:bookmarkEnd w:id="247"/>
      <w:bookmarkEnd w:id="248"/>
      <w:bookmarkEnd w:id="249"/>
      <w:bookmarkEnd w:id="250"/>
      <w:bookmarkEnd w:id="251"/>
    </w:p>
    <w:p w14:paraId="0A8F09D2">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4.1</w:t>
      </w:r>
      <w:r>
        <w:rPr>
          <w:rFonts w:hint="eastAsia" w:cs="宋体"/>
          <w:color w:val="auto"/>
          <w:sz w:val="28"/>
          <w:szCs w:val="28"/>
          <w:highlight w:val="none"/>
          <w:lang w:eastAsia="zh-CN"/>
        </w:rPr>
        <w:t>灯具及其配件应齐全，无机械损伤、变形、涂层剥落、灯罩破裂等缺陷。</w:t>
      </w:r>
    </w:p>
    <w:p w14:paraId="733466D3">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5326914E">
      <w:pPr>
        <w:pStyle w:val="46"/>
        <w:spacing w:line="360" w:lineRule="auto"/>
        <w:rPr>
          <w:rFonts w:hint="eastAsia" w:cs="宋体"/>
          <w:color w:val="auto"/>
          <w:sz w:val="28"/>
          <w:szCs w:val="28"/>
          <w:highlight w:val="none"/>
          <w:lang w:eastAsia="zh-CN"/>
        </w:rPr>
      </w:pPr>
      <w:r>
        <w:rPr>
          <w:rFonts w:hint="eastAsia" w:ascii="宋体" w:hAnsi="宋体" w:cs="宋体"/>
          <w:color w:val="auto"/>
          <w:highlight w:val="none"/>
        </w:rPr>
        <w:t>检验数量：全数检查。</w:t>
      </w:r>
    </w:p>
    <w:p w14:paraId="0DA5573F">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4.2</w:t>
      </w:r>
      <w:r>
        <w:rPr>
          <w:rFonts w:hint="eastAsia" w:cs="宋体"/>
          <w:color w:val="auto"/>
          <w:sz w:val="28"/>
          <w:szCs w:val="28"/>
          <w:highlight w:val="none"/>
          <w:lang w:eastAsia="zh-CN"/>
        </w:rPr>
        <w:t>灯具的固定应符合下列规定：</w:t>
      </w:r>
    </w:p>
    <w:p w14:paraId="78515D5D">
      <w:pPr>
        <w:pStyle w:val="46"/>
        <w:spacing w:line="360" w:lineRule="auto"/>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灯具固定应牢固可靠，在砌体和混凝土结构上严禁使用木楔、尼龙塞或塑料塞固定；</w:t>
      </w:r>
    </w:p>
    <w:p w14:paraId="4096B490">
      <w:pPr>
        <w:pStyle w:val="46"/>
        <w:spacing w:line="360" w:lineRule="auto"/>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质量大于</w:t>
      </w:r>
      <w:r>
        <w:rPr>
          <w:rFonts w:ascii="宋体" w:hAnsi="宋体" w:cs="宋体"/>
          <w:color w:val="auto"/>
          <w:highlight w:val="none"/>
        </w:rPr>
        <w:t>10kg</w:t>
      </w:r>
      <w:r>
        <w:rPr>
          <w:rFonts w:hint="eastAsia" w:ascii="宋体" w:hAnsi="宋体" w:cs="宋体"/>
          <w:color w:val="auto"/>
          <w:highlight w:val="none"/>
        </w:rPr>
        <w:t>的灯具，其固定装置及悬吊装置应按灯具重量的</w:t>
      </w:r>
      <w:r>
        <w:rPr>
          <w:rFonts w:ascii="宋体" w:hAnsi="宋体" w:cs="宋体"/>
          <w:color w:val="auto"/>
          <w:highlight w:val="none"/>
        </w:rPr>
        <w:t>5</w:t>
      </w:r>
      <w:r>
        <w:rPr>
          <w:rFonts w:hint="eastAsia" w:ascii="宋体" w:hAnsi="宋体" w:cs="宋体"/>
          <w:color w:val="auto"/>
          <w:highlight w:val="none"/>
        </w:rPr>
        <w:t>倍恒定均布载荷做强度试验且持续时间不得少于</w:t>
      </w:r>
      <w:r>
        <w:rPr>
          <w:rFonts w:ascii="宋体" w:hAnsi="宋体" w:cs="宋体"/>
          <w:color w:val="auto"/>
          <w:highlight w:val="none"/>
        </w:rPr>
        <w:t>15min</w:t>
      </w:r>
      <w:r>
        <w:rPr>
          <w:rFonts w:hint="eastAsia" w:ascii="宋体" w:hAnsi="宋体" w:cs="宋体"/>
          <w:color w:val="auto"/>
          <w:highlight w:val="none"/>
        </w:rPr>
        <w:t>；</w:t>
      </w:r>
    </w:p>
    <w:p w14:paraId="2E8014E4">
      <w:pPr>
        <w:pStyle w:val="46"/>
        <w:spacing w:line="360" w:lineRule="auto"/>
        <w:rPr>
          <w:rFonts w:ascii="宋体" w:hAns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吸顶或墙面上安装的灯具，其固定用的螺栓或螺钉不应少于</w:t>
      </w:r>
      <w:r>
        <w:rPr>
          <w:rFonts w:ascii="宋体" w:hAnsi="宋体" w:cs="宋体"/>
          <w:color w:val="auto"/>
          <w:highlight w:val="none"/>
        </w:rPr>
        <w:t>2</w:t>
      </w:r>
      <w:r>
        <w:rPr>
          <w:rFonts w:hint="eastAsia" w:ascii="宋体" w:hAnsi="宋体" w:cs="宋体"/>
          <w:color w:val="auto"/>
          <w:highlight w:val="none"/>
        </w:rPr>
        <w:t>个，灯具应紧贴饰面。</w:t>
      </w:r>
    </w:p>
    <w:p w14:paraId="07091329">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5F0EAFA7">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36A414C6">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4.2</w:t>
      </w:r>
      <w:r>
        <w:rPr>
          <w:rFonts w:hint="eastAsia" w:cs="宋体"/>
          <w:color w:val="auto"/>
          <w:sz w:val="28"/>
          <w:szCs w:val="28"/>
          <w:highlight w:val="none"/>
          <w:shd w:val="pct10" w:color="auto" w:fill="FFFFFF"/>
          <w:lang w:eastAsia="zh-CN"/>
        </w:rPr>
        <w:t xml:space="preserve"> 木楔、尼龙塞或塑料塞不具有像膨胀螺栓的楔形斜度，无法促使膨胀产生摩擦握裹力而达到锚定效果，所以在砌体和混凝土结构上不应用其固定灯具，以免发生灯具坠落事故。对于质量大于</w:t>
      </w:r>
      <w:r>
        <w:rPr>
          <w:rFonts w:cs="宋体"/>
          <w:color w:val="auto"/>
          <w:sz w:val="28"/>
          <w:szCs w:val="28"/>
          <w:highlight w:val="none"/>
          <w:shd w:val="pct10" w:color="auto" w:fill="FFFFFF"/>
          <w:lang w:eastAsia="zh-CN"/>
        </w:rPr>
        <w:t>10kg</w:t>
      </w:r>
      <w:r>
        <w:rPr>
          <w:rFonts w:hint="eastAsia" w:cs="宋体"/>
          <w:color w:val="auto"/>
          <w:sz w:val="28"/>
          <w:szCs w:val="28"/>
          <w:highlight w:val="none"/>
          <w:shd w:val="pct10" w:color="auto" w:fill="FFFFFF"/>
          <w:lang w:eastAsia="zh-CN"/>
        </w:rPr>
        <w:t>的灯具，要通过载荷试验验证灯具固定装置及悬吊装置的可靠性。部分大型灯具体积较大、结构复杂，其与建筑物（构筑物）之间可能采用后锚固等方式多点固定，在灯具自身材料强度可靠的前提下，可按固定点数的一定比例进行后锚固件的拉拔试验，试验前应编制灯具载荷强度试验方案，报项目监理审核确认后实施，固定及悬吊装置在载荷强度试验后应无明显变形，后锚固件的拉拔试验过程及结果评判应符合相关规范的规定。</w:t>
      </w:r>
    </w:p>
    <w:p w14:paraId="095F826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4.3</w:t>
      </w:r>
      <w:r>
        <w:rPr>
          <w:rFonts w:hint="eastAsia" w:cs="宋体"/>
          <w:color w:val="auto"/>
          <w:sz w:val="28"/>
          <w:szCs w:val="28"/>
          <w:highlight w:val="none"/>
          <w:lang w:eastAsia="zh-CN"/>
        </w:rPr>
        <w:t xml:space="preserve"> 对于Ⅰ类灯具的外露可导电部分必须采用铜芯软导线与保护接地线（PE）可靠连接，连接处应设置接地标识。</w:t>
      </w:r>
    </w:p>
    <w:p w14:paraId="54A9E6C2">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60428647">
      <w:pPr>
        <w:pStyle w:val="46"/>
        <w:spacing w:line="360" w:lineRule="auto"/>
        <w:rPr>
          <w:rFonts w:ascii="宋体" w:hAnsi="宋体" w:cs="宋体"/>
          <w:color w:val="auto"/>
          <w:highlight w:val="none"/>
        </w:rPr>
      </w:pPr>
      <w:r>
        <w:rPr>
          <w:rFonts w:hint="eastAsia" w:ascii="宋体" w:hAnsi="宋体" w:cs="宋体"/>
          <w:color w:val="auto"/>
          <w:highlight w:val="none"/>
        </w:rPr>
        <w:t>检查数量：每种类型规格的灯具检查不少于</w:t>
      </w:r>
      <w:r>
        <w:rPr>
          <w:rFonts w:ascii="宋体" w:hAnsi="宋体" w:cs="宋体"/>
          <w:color w:val="auto"/>
          <w:highlight w:val="none"/>
        </w:rPr>
        <w:t>1</w:t>
      </w:r>
      <w:r>
        <w:rPr>
          <w:rFonts w:hint="eastAsia" w:ascii="宋体" w:hAnsi="宋体" w:cs="宋体"/>
          <w:color w:val="auto"/>
          <w:highlight w:val="none"/>
        </w:rPr>
        <w:t>套。</w:t>
      </w:r>
    </w:p>
    <w:p w14:paraId="0B835413">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4.3</w:t>
      </w:r>
      <w:r>
        <w:rPr>
          <w:rFonts w:hint="eastAsia" w:cs="宋体"/>
          <w:color w:val="auto"/>
          <w:sz w:val="28"/>
          <w:szCs w:val="28"/>
          <w:highlight w:val="none"/>
          <w:shd w:val="pct10" w:color="auto" w:fill="FFFFFF"/>
          <w:lang w:eastAsia="zh-CN"/>
        </w:rPr>
        <w:t xml:space="preserve"> Ⅰ类灯具的防触电保护不仅依靠基本绝缘，还需要将灯具中的易触及的金属可导电部件与保护接地线（PE）相连接。</w:t>
      </w:r>
    </w:p>
    <w:p w14:paraId="18832472">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4.4</w:t>
      </w:r>
      <w:r>
        <w:rPr>
          <w:rFonts w:hint="eastAsia" w:cs="宋体"/>
          <w:color w:val="auto"/>
          <w:sz w:val="28"/>
          <w:szCs w:val="28"/>
          <w:highlight w:val="none"/>
          <w:lang w:eastAsia="zh-CN"/>
        </w:rPr>
        <w:t xml:space="preserve"> 对于设有局部等电位联结的区域，其联结的范围、形式、方法、部位及联结导体的材料和截面积应符合设计要求。等电位联结盒内联结排与需要做等电位联结的外露可导电部分或外界可导电部分的连接应可靠，其等电位联结导通电阻应不大于0.2Ω。</w:t>
      </w:r>
    </w:p>
    <w:p w14:paraId="16E22DAF">
      <w:pPr>
        <w:pStyle w:val="46"/>
        <w:spacing w:line="360" w:lineRule="auto"/>
        <w:rPr>
          <w:rFonts w:ascii="宋体" w:hAnsi="宋体" w:cs="宋体"/>
          <w:color w:val="auto"/>
          <w:highlight w:val="none"/>
        </w:rPr>
      </w:pPr>
      <w:r>
        <w:rPr>
          <w:rFonts w:hint="eastAsia" w:ascii="宋体" w:hAnsi="宋体" w:cs="宋体"/>
          <w:color w:val="auto"/>
          <w:highlight w:val="none"/>
        </w:rPr>
        <w:t>检验方法：对于等电位联结的范围、形式、方法、部位及联结导体的材料和截面积的情况查阅设计文件并对现场实际观察检查。等电位联结导通性测试应采用等电位联结导通性测试仪现场实测。</w:t>
      </w:r>
    </w:p>
    <w:p w14:paraId="7D3D6A7B">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7E607826">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4.4</w:t>
      </w:r>
      <w:r>
        <w:rPr>
          <w:rFonts w:hint="eastAsia" w:cs="宋体"/>
          <w:color w:val="auto"/>
          <w:sz w:val="28"/>
          <w:szCs w:val="28"/>
          <w:highlight w:val="none"/>
          <w:shd w:val="pct10" w:color="auto" w:fill="FFFFFF"/>
          <w:lang w:eastAsia="zh-CN"/>
        </w:rPr>
        <w:t xml:space="preserve"> 设有洗浴设备的卫浴间应作局部等电位联结是考虑在卫浴间局部区域的人身安全保护。等电位联结的范围、形式、方法、部位及联结导体的材料和截面积等是由设计根据建筑物的功能、使用环境等来决定的，施工满足设计要求。</w:t>
      </w:r>
    </w:p>
    <w:p w14:paraId="6594B123">
      <w:pPr>
        <w:pStyle w:val="9"/>
        <w:spacing w:before="115" w:line="360" w:lineRule="auto"/>
        <w:ind w:left="0"/>
        <w:jc w:val="center"/>
        <w:rPr>
          <w:rFonts w:cs="宋体"/>
          <w:color w:val="auto"/>
          <w:sz w:val="28"/>
          <w:szCs w:val="28"/>
          <w:highlight w:val="none"/>
          <w:lang w:eastAsia="zh-CN"/>
        </w:rPr>
      </w:pPr>
    </w:p>
    <w:p w14:paraId="28B713BD">
      <w:pPr>
        <w:pStyle w:val="9"/>
        <w:spacing w:before="115" w:line="360" w:lineRule="auto"/>
        <w:ind w:left="0"/>
        <w:rPr>
          <w:rFonts w:cs="宋体"/>
          <w:color w:val="auto"/>
          <w:sz w:val="28"/>
          <w:szCs w:val="28"/>
          <w:highlight w:val="none"/>
          <w:lang w:eastAsia="zh-CN"/>
        </w:rPr>
      </w:pPr>
    </w:p>
    <w:p w14:paraId="42FE32C7">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br w:type="page"/>
      </w:r>
    </w:p>
    <w:p w14:paraId="15C339D1">
      <w:pPr>
        <w:pStyle w:val="2"/>
        <w:spacing w:before="240" w:after="240"/>
        <w:rPr>
          <w:rFonts w:ascii="宋体" w:hAnsi="宋体" w:eastAsia="宋体" w:cs="宋体"/>
          <w:color w:val="auto"/>
          <w:highlight w:val="none"/>
        </w:rPr>
      </w:pPr>
      <w:bookmarkStart w:id="252" w:name="_Toc15453"/>
      <w:bookmarkStart w:id="253" w:name="_Toc32313"/>
      <w:bookmarkStart w:id="254" w:name="_Toc133572731"/>
      <w:bookmarkStart w:id="255" w:name="_Toc26967"/>
      <w:bookmarkStart w:id="256" w:name="_Toc18424"/>
      <w:bookmarkStart w:id="257" w:name="_Toc2971"/>
      <w:bookmarkStart w:id="258" w:name="_Toc24943"/>
      <w:r>
        <w:rPr>
          <w:rFonts w:ascii="宋体" w:hAnsi="宋体" w:eastAsia="宋体" w:cs="宋体"/>
          <w:color w:val="auto"/>
          <w:highlight w:val="none"/>
        </w:rPr>
        <w:t xml:space="preserve">10 </w:t>
      </w:r>
      <w:r>
        <w:rPr>
          <w:rFonts w:hint="eastAsia" w:ascii="宋体" w:hAnsi="宋体" w:eastAsia="宋体" w:cs="宋体"/>
          <w:color w:val="auto"/>
          <w:highlight w:val="none"/>
        </w:rPr>
        <w:t>智能建筑工程</w:t>
      </w:r>
      <w:bookmarkEnd w:id="252"/>
      <w:bookmarkEnd w:id="253"/>
      <w:bookmarkEnd w:id="254"/>
      <w:bookmarkEnd w:id="255"/>
      <w:bookmarkEnd w:id="256"/>
      <w:bookmarkEnd w:id="257"/>
      <w:bookmarkEnd w:id="258"/>
    </w:p>
    <w:p w14:paraId="35178568">
      <w:pPr>
        <w:pStyle w:val="3"/>
        <w:spacing w:before="240" w:after="240"/>
        <w:rPr>
          <w:rStyle w:val="43"/>
          <w:b/>
          <w:bCs/>
          <w:color w:val="auto"/>
          <w:highlight w:val="none"/>
        </w:rPr>
      </w:pPr>
      <w:bookmarkStart w:id="259" w:name="_Toc19143"/>
      <w:bookmarkStart w:id="260" w:name="_Toc12231"/>
      <w:bookmarkStart w:id="261" w:name="_Toc29167"/>
      <w:bookmarkStart w:id="262" w:name="_Toc3754"/>
      <w:bookmarkStart w:id="263" w:name="_Toc3869"/>
      <w:bookmarkStart w:id="264" w:name="_Toc10546"/>
      <w:r>
        <w:rPr>
          <w:rStyle w:val="43"/>
          <w:rFonts w:hint="eastAsia" w:ascii="仿宋" w:hAnsi="仿宋"/>
          <w:b/>
          <w:bCs/>
          <w:color w:val="auto"/>
          <w:highlight w:val="none"/>
          <w:lang w:eastAsia="zh-CN"/>
        </w:rPr>
        <w:t>10.1</w:t>
      </w:r>
      <w:r>
        <w:rPr>
          <w:rStyle w:val="43"/>
          <w:rFonts w:ascii="仿宋" w:hAnsi="仿宋"/>
          <w:b/>
          <w:bCs/>
          <w:color w:val="auto"/>
          <w:highlight w:val="none"/>
        </w:rPr>
        <w:t xml:space="preserve"> </w:t>
      </w:r>
      <w:r>
        <w:rPr>
          <w:rStyle w:val="43"/>
          <w:rFonts w:hint="eastAsia"/>
          <w:b/>
          <w:bCs/>
          <w:color w:val="auto"/>
          <w:highlight w:val="none"/>
        </w:rPr>
        <w:t>光纤到户通信设施</w:t>
      </w:r>
      <w:bookmarkEnd w:id="259"/>
      <w:bookmarkEnd w:id="260"/>
      <w:bookmarkEnd w:id="261"/>
      <w:bookmarkEnd w:id="262"/>
      <w:bookmarkEnd w:id="263"/>
      <w:bookmarkEnd w:id="264"/>
    </w:p>
    <w:p w14:paraId="55DB599E">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10.1.1</w:t>
      </w:r>
      <w:r>
        <w:rPr>
          <w:rFonts w:cs="宋体"/>
          <w:color w:val="auto"/>
          <w:sz w:val="28"/>
          <w:szCs w:val="28"/>
          <w:highlight w:val="none"/>
          <w:lang w:eastAsia="zh-CN"/>
        </w:rPr>
        <w:t xml:space="preserve"> </w:t>
      </w:r>
      <w:r>
        <w:rPr>
          <w:rFonts w:hint="eastAsia" w:cs="宋体"/>
          <w:color w:val="auto"/>
          <w:sz w:val="28"/>
          <w:szCs w:val="28"/>
          <w:highlight w:val="none"/>
          <w:lang w:eastAsia="zh-CN"/>
        </w:rPr>
        <w:t>户内信息箱的尺寸、安装位置和高度应符合设计要求。</w:t>
      </w:r>
    </w:p>
    <w:p w14:paraId="0B8BAD46">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w:t>
      </w:r>
    </w:p>
    <w:p w14:paraId="128D4F56">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26809403">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10.1.</w:t>
      </w:r>
      <w:r>
        <w:rPr>
          <w:rFonts w:cs="宋体"/>
          <w:color w:val="auto"/>
          <w:sz w:val="28"/>
          <w:szCs w:val="28"/>
          <w:highlight w:val="none"/>
          <w:lang w:eastAsia="zh-CN"/>
        </w:rPr>
        <w:t xml:space="preserve">2 </w:t>
      </w:r>
      <w:r>
        <w:rPr>
          <w:rFonts w:hint="eastAsia" w:cs="宋体"/>
          <w:color w:val="auto"/>
          <w:sz w:val="28"/>
          <w:szCs w:val="28"/>
          <w:highlight w:val="none"/>
          <w:lang w:eastAsia="zh-CN"/>
        </w:rPr>
        <w:t>户内信息箱应完好、干净整洁，箱门开启灵活，安装牢固、平整。</w:t>
      </w:r>
    </w:p>
    <w:p w14:paraId="1F7DE872">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4BC2E552">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14:paraId="3E398DED">
      <w:pPr>
        <w:pStyle w:val="46"/>
        <w:spacing w:line="360" w:lineRule="auto"/>
        <w:ind w:firstLine="0" w:firstLineChars="0"/>
        <w:rPr>
          <w:rFonts w:hint="eastAsia" w:cs="宋体"/>
          <w:color w:val="auto"/>
          <w:sz w:val="28"/>
          <w:szCs w:val="28"/>
          <w:highlight w:val="none"/>
          <w:lang w:val="en-US" w:eastAsia="zh-CN"/>
        </w:rPr>
      </w:pPr>
      <w:r>
        <w:rPr>
          <w:rFonts w:hint="eastAsia" w:ascii="宋体" w:hAnsi="宋体" w:cs="宋体"/>
          <w:color w:val="auto"/>
          <w:highlight w:val="none"/>
          <w:lang w:val="en-US" w:eastAsia="zh-CN"/>
        </w:rPr>
        <w:t xml:space="preserve">10.1.3 </w:t>
      </w:r>
      <w:r>
        <w:rPr>
          <w:rFonts w:hint="eastAsia" w:cs="宋体"/>
          <w:color w:val="auto"/>
          <w:sz w:val="28"/>
          <w:szCs w:val="28"/>
          <w:highlight w:val="none"/>
          <w:lang w:eastAsia="zh-CN"/>
        </w:rPr>
        <w:t>户内信息箱应设置</w:t>
      </w:r>
      <w:r>
        <w:rPr>
          <w:rFonts w:hint="eastAsia" w:cs="宋体"/>
          <w:color w:val="auto"/>
          <w:sz w:val="28"/>
          <w:szCs w:val="28"/>
          <w:highlight w:val="none"/>
          <w:lang w:val="en-US" w:eastAsia="zh-CN"/>
        </w:rPr>
        <w:t>AC220V电源，入箱电缆应通过导管暗敷并和弱电线缆分开敷设。</w:t>
      </w:r>
    </w:p>
    <w:p w14:paraId="64FCF0A3">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0BB0141F">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14:paraId="7EC6EF2D">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1.4</w:t>
      </w:r>
      <w:r>
        <w:rPr>
          <w:rFonts w:cs="宋体"/>
          <w:color w:val="auto"/>
          <w:sz w:val="28"/>
          <w:szCs w:val="28"/>
          <w:highlight w:val="none"/>
          <w:lang w:eastAsia="zh-CN"/>
        </w:rPr>
        <w:t xml:space="preserve"> </w:t>
      </w:r>
      <w:r>
        <w:rPr>
          <w:rFonts w:hint="eastAsia" w:cs="宋体"/>
          <w:color w:val="auto"/>
          <w:sz w:val="28"/>
          <w:szCs w:val="28"/>
          <w:highlight w:val="none"/>
          <w:lang w:eastAsia="zh-CN"/>
        </w:rPr>
        <w:t>光缆已敷设至户内信息箱并与尾纤熔接成端，熔接点保护盒、接口防尘</w:t>
      </w:r>
      <w:r>
        <w:rPr>
          <w:rFonts w:hint="eastAsia" w:cs="宋体"/>
          <w:color w:val="auto"/>
          <w:sz w:val="28"/>
          <w:szCs w:val="28"/>
          <w:highlight w:val="none"/>
          <w:lang w:val="en-US" w:eastAsia="zh-CN"/>
        </w:rPr>
        <w:t>帽</w:t>
      </w:r>
      <w:r>
        <w:rPr>
          <w:rFonts w:hint="eastAsia" w:cs="宋体"/>
          <w:color w:val="auto"/>
          <w:sz w:val="28"/>
          <w:szCs w:val="28"/>
          <w:highlight w:val="none"/>
          <w:lang w:eastAsia="zh-CN"/>
        </w:rPr>
        <w:t>应齐全；光缆应进行盘留绑扎，预留长度不于</w:t>
      </w:r>
      <w:r>
        <w:rPr>
          <w:rFonts w:hint="eastAsia" w:cs="宋体"/>
          <w:color w:val="auto"/>
          <w:sz w:val="28"/>
          <w:szCs w:val="28"/>
          <w:highlight w:val="none"/>
          <w:lang w:val="en-US" w:eastAsia="zh-CN"/>
        </w:rPr>
        <w:t>500mm</w:t>
      </w:r>
      <w:r>
        <w:rPr>
          <w:rFonts w:hint="eastAsia" w:cs="宋体"/>
          <w:color w:val="auto"/>
          <w:sz w:val="28"/>
          <w:szCs w:val="28"/>
          <w:highlight w:val="none"/>
          <w:lang w:eastAsia="zh-CN"/>
        </w:rPr>
        <w:t>。</w:t>
      </w:r>
    </w:p>
    <w:p w14:paraId="132E83C0">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检验方法：观察检查、尺量检查、核对设计文件。</w:t>
      </w:r>
    </w:p>
    <w:p w14:paraId="7E933CB2">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20202DCF">
      <w:pPr>
        <w:pStyle w:val="3"/>
        <w:spacing w:before="240" w:after="240"/>
        <w:rPr>
          <w:rStyle w:val="43"/>
          <w:b/>
          <w:bCs/>
          <w:color w:val="auto"/>
          <w:highlight w:val="none"/>
        </w:rPr>
      </w:pPr>
      <w:bookmarkStart w:id="265" w:name="_Toc17859"/>
      <w:bookmarkStart w:id="266" w:name="_Toc29703"/>
      <w:bookmarkStart w:id="267" w:name="_Toc3260"/>
      <w:bookmarkStart w:id="268" w:name="_Toc133572734"/>
      <w:bookmarkStart w:id="269" w:name="_Toc9291"/>
      <w:bookmarkStart w:id="270" w:name="_Toc32741"/>
      <w:bookmarkStart w:id="271" w:name="_Toc12678"/>
      <w:r>
        <w:rPr>
          <w:rStyle w:val="43"/>
          <w:rFonts w:ascii="仿宋" w:hAnsi="仿宋"/>
          <w:b/>
          <w:bCs/>
          <w:color w:val="auto"/>
          <w:highlight w:val="none"/>
        </w:rPr>
        <w:t>10.</w:t>
      </w:r>
      <w:r>
        <w:rPr>
          <w:rStyle w:val="43"/>
          <w:rFonts w:hint="eastAsia" w:ascii="仿宋" w:hAnsi="仿宋"/>
          <w:b/>
          <w:bCs/>
          <w:color w:val="auto"/>
          <w:highlight w:val="none"/>
          <w:lang w:val="en-US" w:eastAsia="zh-CN"/>
        </w:rPr>
        <w:t>2</w:t>
      </w:r>
      <w:r>
        <w:rPr>
          <w:rStyle w:val="43"/>
          <w:rFonts w:ascii="仿宋" w:hAnsi="仿宋"/>
          <w:b/>
          <w:bCs/>
          <w:color w:val="auto"/>
          <w:highlight w:val="none"/>
        </w:rPr>
        <w:t xml:space="preserve"> </w:t>
      </w:r>
      <w:r>
        <w:rPr>
          <w:rStyle w:val="43"/>
          <w:rFonts w:hint="eastAsia"/>
          <w:b/>
          <w:bCs/>
          <w:color w:val="auto"/>
          <w:highlight w:val="none"/>
        </w:rPr>
        <w:t>网络及有线电视设施</w:t>
      </w:r>
      <w:bookmarkEnd w:id="265"/>
      <w:bookmarkEnd w:id="266"/>
      <w:bookmarkEnd w:id="267"/>
      <w:bookmarkEnd w:id="268"/>
      <w:bookmarkEnd w:id="269"/>
      <w:bookmarkEnd w:id="270"/>
      <w:bookmarkEnd w:id="271"/>
    </w:p>
    <w:p w14:paraId="0C01AE2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2</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网络信息插座面板和</w:t>
      </w:r>
      <w:r>
        <w:rPr>
          <w:rFonts w:cs="宋体"/>
          <w:color w:val="auto"/>
          <w:sz w:val="28"/>
          <w:szCs w:val="28"/>
          <w:highlight w:val="none"/>
          <w:lang w:eastAsia="zh-CN"/>
        </w:rPr>
        <w:t>有线电</w:t>
      </w:r>
      <w:r>
        <w:rPr>
          <w:rFonts w:hint="eastAsia" w:cs="宋体"/>
          <w:color w:val="auto"/>
          <w:sz w:val="28"/>
          <w:szCs w:val="28"/>
          <w:highlight w:val="none"/>
          <w:lang w:eastAsia="zh-CN"/>
        </w:rPr>
        <w:t>视</w:t>
      </w:r>
      <w:r>
        <w:rPr>
          <w:rFonts w:cs="宋体"/>
          <w:color w:val="auto"/>
          <w:sz w:val="28"/>
          <w:szCs w:val="28"/>
          <w:highlight w:val="none"/>
          <w:lang w:eastAsia="zh-CN"/>
        </w:rPr>
        <w:t>插座面板安装</w:t>
      </w:r>
      <w:r>
        <w:rPr>
          <w:rFonts w:hint="eastAsia" w:cs="宋体"/>
          <w:color w:val="auto"/>
          <w:sz w:val="28"/>
          <w:szCs w:val="28"/>
          <w:highlight w:val="none"/>
          <w:lang w:eastAsia="zh-CN"/>
        </w:rPr>
        <w:t>数量、</w:t>
      </w:r>
      <w:r>
        <w:rPr>
          <w:rFonts w:cs="宋体"/>
          <w:color w:val="auto"/>
          <w:sz w:val="28"/>
          <w:szCs w:val="28"/>
          <w:highlight w:val="none"/>
          <w:lang w:eastAsia="zh-CN"/>
        </w:rPr>
        <w:t>位置</w:t>
      </w:r>
      <w:r>
        <w:rPr>
          <w:rFonts w:hint="eastAsia" w:cs="宋体"/>
          <w:color w:val="auto"/>
          <w:sz w:val="28"/>
          <w:szCs w:val="28"/>
          <w:highlight w:val="none"/>
          <w:lang w:eastAsia="zh-CN"/>
        </w:rPr>
        <w:t>、高度</w:t>
      </w:r>
      <w:r>
        <w:rPr>
          <w:rFonts w:cs="宋体"/>
          <w:color w:val="auto"/>
          <w:sz w:val="28"/>
          <w:szCs w:val="28"/>
          <w:highlight w:val="none"/>
          <w:lang w:eastAsia="zh-CN"/>
        </w:rPr>
        <w:t>应符合设计要求</w:t>
      </w:r>
      <w:r>
        <w:rPr>
          <w:rFonts w:hint="eastAsia" w:cs="宋体"/>
          <w:color w:val="auto"/>
          <w:sz w:val="28"/>
          <w:szCs w:val="28"/>
          <w:highlight w:val="none"/>
          <w:lang w:eastAsia="zh-CN"/>
        </w:rPr>
        <w:t>。</w:t>
      </w:r>
    </w:p>
    <w:p w14:paraId="76FCB947">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w:t>
      </w:r>
    </w:p>
    <w:p w14:paraId="02CB619A">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5B4C08D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val="en-US" w:eastAsia="zh-CN"/>
        </w:rPr>
        <w:t>2</w:t>
      </w:r>
      <w:r>
        <w:rPr>
          <w:rFonts w:cs="宋体"/>
          <w:color w:val="auto"/>
          <w:sz w:val="28"/>
          <w:szCs w:val="28"/>
          <w:highlight w:val="none"/>
          <w:lang w:eastAsia="zh-CN"/>
        </w:rPr>
        <w:t xml:space="preserve">.2 </w:t>
      </w:r>
      <w:r>
        <w:rPr>
          <w:rFonts w:hint="eastAsia" w:cs="宋体"/>
          <w:color w:val="auto"/>
          <w:sz w:val="28"/>
          <w:szCs w:val="28"/>
          <w:highlight w:val="none"/>
          <w:lang w:eastAsia="zh-CN"/>
        </w:rPr>
        <w:t>网络信息插座面板和</w:t>
      </w:r>
      <w:r>
        <w:rPr>
          <w:rFonts w:cs="宋体"/>
          <w:color w:val="auto"/>
          <w:sz w:val="28"/>
          <w:szCs w:val="28"/>
          <w:highlight w:val="none"/>
          <w:lang w:eastAsia="zh-CN"/>
        </w:rPr>
        <w:t>有线电</w:t>
      </w:r>
      <w:r>
        <w:rPr>
          <w:rFonts w:hint="eastAsia" w:cs="宋体"/>
          <w:color w:val="auto"/>
          <w:sz w:val="28"/>
          <w:szCs w:val="28"/>
          <w:highlight w:val="none"/>
          <w:lang w:eastAsia="zh-CN"/>
        </w:rPr>
        <w:t>视</w:t>
      </w:r>
      <w:r>
        <w:rPr>
          <w:rFonts w:cs="宋体"/>
          <w:color w:val="auto"/>
          <w:sz w:val="28"/>
          <w:szCs w:val="28"/>
          <w:highlight w:val="none"/>
          <w:lang w:eastAsia="zh-CN"/>
        </w:rPr>
        <w:t>插座面板应安装牢固</w:t>
      </w:r>
      <w:r>
        <w:rPr>
          <w:rFonts w:hint="eastAsia" w:cs="宋体"/>
          <w:color w:val="auto"/>
          <w:sz w:val="28"/>
          <w:szCs w:val="28"/>
          <w:highlight w:val="none"/>
          <w:lang w:eastAsia="zh-CN"/>
        </w:rPr>
        <w:t>、</w:t>
      </w:r>
      <w:r>
        <w:rPr>
          <w:rFonts w:cs="宋体"/>
          <w:color w:val="auto"/>
          <w:sz w:val="28"/>
          <w:szCs w:val="28"/>
          <w:highlight w:val="none"/>
          <w:lang w:eastAsia="zh-CN"/>
        </w:rPr>
        <w:t>平整</w:t>
      </w:r>
      <w:r>
        <w:rPr>
          <w:rFonts w:hint="eastAsia" w:cs="宋体"/>
          <w:color w:val="auto"/>
          <w:sz w:val="28"/>
          <w:szCs w:val="28"/>
          <w:highlight w:val="none"/>
          <w:lang w:eastAsia="zh-CN"/>
        </w:rPr>
        <w:t>，</w:t>
      </w:r>
      <w:r>
        <w:rPr>
          <w:rFonts w:cs="宋体"/>
          <w:color w:val="auto"/>
          <w:sz w:val="28"/>
          <w:szCs w:val="28"/>
          <w:highlight w:val="none"/>
          <w:lang w:eastAsia="zh-CN"/>
        </w:rPr>
        <w:t>表面无污损。</w:t>
      </w:r>
    </w:p>
    <w:p w14:paraId="6AE3B604">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2C84C64B">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082D4B6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val="en-US" w:eastAsia="zh-CN"/>
        </w:rPr>
        <w:t>2</w:t>
      </w:r>
      <w:r>
        <w:rPr>
          <w:rFonts w:cs="宋体"/>
          <w:color w:val="auto"/>
          <w:sz w:val="28"/>
          <w:szCs w:val="28"/>
          <w:highlight w:val="none"/>
          <w:lang w:eastAsia="zh-CN"/>
        </w:rPr>
        <w:t>.3</w:t>
      </w:r>
      <w:r>
        <w:rPr>
          <w:rFonts w:hint="eastAsia" w:cs="宋体"/>
          <w:color w:val="auto"/>
          <w:sz w:val="28"/>
          <w:szCs w:val="28"/>
          <w:highlight w:val="none"/>
          <w:lang w:val="en-US" w:eastAsia="zh-CN"/>
        </w:rPr>
        <w:t xml:space="preserve"> </w:t>
      </w:r>
      <w:r>
        <w:rPr>
          <w:rFonts w:hint="eastAsia" w:cs="宋体"/>
          <w:color w:val="auto"/>
          <w:sz w:val="28"/>
          <w:szCs w:val="28"/>
          <w:highlight w:val="none"/>
          <w:lang w:eastAsia="zh-CN"/>
        </w:rPr>
        <w:t>网络双绞线两端与插座或水晶头的连接应采用统一标准进行连接</w:t>
      </w:r>
      <w:r>
        <w:rPr>
          <w:rFonts w:cs="宋体"/>
          <w:color w:val="auto"/>
          <w:sz w:val="28"/>
          <w:szCs w:val="28"/>
          <w:highlight w:val="none"/>
          <w:lang w:eastAsia="zh-CN"/>
        </w:rPr>
        <w:t>。</w:t>
      </w:r>
    </w:p>
    <w:p w14:paraId="7EE0488B">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检验方法：观察检查，使用网线测试仪测试连通性。</w:t>
      </w:r>
    </w:p>
    <w:p w14:paraId="6C3F09C9">
      <w:pPr>
        <w:pStyle w:val="46"/>
        <w:spacing w:line="360" w:lineRule="auto"/>
        <w:rPr>
          <w:rFonts w:ascii="宋体" w:hAnsi="宋体" w:cs="宋体"/>
          <w:color w:val="auto"/>
          <w:highlight w:val="none"/>
        </w:rPr>
      </w:pPr>
      <w:r>
        <w:rPr>
          <w:rFonts w:hint="eastAsia" w:ascii="宋体" w:hAnsi="宋体" w:cs="宋体"/>
          <w:color w:val="auto"/>
          <w:highlight w:val="none"/>
        </w:rPr>
        <w:t>检验数量：按不低于5</w:t>
      </w:r>
      <w:r>
        <w:rPr>
          <w:rFonts w:ascii="宋体" w:hAnsi="宋体" w:cs="宋体"/>
          <w:color w:val="auto"/>
          <w:highlight w:val="none"/>
        </w:rPr>
        <w:t>0%</w:t>
      </w:r>
      <w:r>
        <w:rPr>
          <w:rFonts w:hint="eastAsia" w:ascii="宋体" w:hAnsi="宋体" w:cs="宋体"/>
          <w:color w:val="auto"/>
          <w:highlight w:val="none"/>
        </w:rPr>
        <w:t>的比例检验。</w:t>
      </w:r>
    </w:p>
    <w:p w14:paraId="2A227F0B">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10.</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.3 </w:t>
      </w:r>
      <w:r>
        <w:rPr>
          <w:rFonts w:hint="eastAsia" w:cs="宋体"/>
          <w:color w:val="auto"/>
          <w:sz w:val="28"/>
          <w:szCs w:val="28"/>
          <w:highlight w:val="none"/>
          <w:shd w:val="pct10" w:color="auto" w:fill="FFFFFF"/>
          <w:lang w:eastAsia="zh-CN"/>
        </w:rPr>
        <w:t>网络双绞线两端与插座或水晶头的连接可统一使用</w:t>
      </w:r>
      <w:r>
        <w:rPr>
          <w:rFonts w:cs="宋体"/>
          <w:color w:val="auto"/>
          <w:sz w:val="28"/>
          <w:szCs w:val="28"/>
          <w:highlight w:val="none"/>
          <w:shd w:val="pct10" w:color="auto" w:fill="FFFFFF"/>
          <w:lang w:eastAsia="zh-CN"/>
        </w:rPr>
        <w:t>568A</w:t>
      </w:r>
      <w:r>
        <w:rPr>
          <w:rFonts w:hint="eastAsia" w:cs="宋体"/>
          <w:color w:val="auto"/>
          <w:sz w:val="28"/>
          <w:szCs w:val="28"/>
          <w:highlight w:val="none"/>
          <w:shd w:val="pct10" w:color="auto" w:fill="FFFFFF"/>
          <w:lang w:eastAsia="zh-CN"/>
        </w:rPr>
        <w:t>或</w:t>
      </w:r>
      <w:r>
        <w:rPr>
          <w:rFonts w:cs="宋体"/>
          <w:color w:val="auto"/>
          <w:sz w:val="28"/>
          <w:szCs w:val="28"/>
          <w:highlight w:val="none"/>
          <w:shd w:val="pct10" w:color="auto" w:fill="FFFFFF"/>
          <w:lang w:eastAsia="zh-CN"/>
        </w:rPr>
        <w:t>568B</w:t>
      </w:r>
      <w:r>
        <w:rPr>
          <w:rFonts w:hint="eastAsia" w:cs="宋体"/>
          <w:color w:val="auto"/>
          <w:sz w:val="28"/>
          <w:szCs w:val="28"/>
          <w:highlight w:val="none"/>
          <w:shd w:val="pct10" w:color="auto" w:fill="FFFFFF"/>
          <w:lang w:eastAsia="zh-CN"/>
        </w:rPr>
        <w:t>标准，不允许两种标准混用</w:t>
      </w:r>
      <w:r>
        <w:rPr>
          <w:rFonts w:cs="宋体"/>
          <w:color w:val="auto"/>
          <w:sz w:val="28"/>
          <w:szCs w:val="28"/>
          <w:highlight w:val="none"/>
          <w:shd w:val="pct10" w:color="auto" w:fill="FFFFFF"/>
          <w:lang w:eastAsia="zh-CN"/>
        </w:rPr>
        <w:t>。</w:t>
      </w:r>
    </w:p>
    <w:p w14:paraId="1089C009">
      <w:pPr>
        <w:pStyle w:val="9"/>
        <w:spacing w:before="115"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 xml:space="preserve">568A标准：绿白-1，绿-2，橙白-3，蓝-4，蓝白-5，橙-6，棕白-7，棕-8 </w:t>
      </w:r>
    </w:p>
    <w:p w14:paraId="3A3E2399">
      <w:pPr>
        <w:pStyle w:val="9"/>
        <w:spacing w:before="115"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568B标准：橙白-1，橙-2，绿白-3，蓝-4，蓝白-5，绿-6，棕白-7，棕-8</w:t>
      </w:r>
    </w:p>
    <w:p w14:paraId="51D083F2">
      <w:pPr>
        <w:pStyle w:val="46"/>
        <w:spacing w:line="360" w:lineRule="auto"/>
        <w:ind w:firstLine="0" w:firstLineChars="0"/>
        <w:jc w:val="center"/>
        <w:rPr>
          <w:rFonts w:ascii="宋体" w:hAnsi="宋体" w:cs="宋体"/>
          <w:color w:val="auto"/>
          <w:highlight w:val="none"/>
        </w:rPr>
      </w:pPr>
      <w:r>
        <w:rPr>
          <w:rFonts w:ascii="宋体" w:hAnsi="宋体" w:cs="宋体"/>
          <w:color w:val="auto"/>
          <w:highlight w:val="none"/>
        </w:rPr>
        <w:drawing>
          <wp:inline distT="0" distB="0" distL="0" distR="0">
            <wp:extent cx="5126990" cy="2084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26990" cy="2084705"/>
                    </a:xfrm>
                    <a:prstGeom prst="rect">
                      <a:avLst/>
                    </a:prstGeom>
                    <a:noFill/>
                  </pic:spPr>
                </pic:pic>
              </a:graphicData>
            </a:graphic>
          </wp:inline>
        </w:drawing>
      </w:r>
    </w:p>
    <w:p w14:paraId="67F10E5D">
      <w:pPr>
        <w:spacing w:line="360" w:lineRule="auto"/>
        <w:jc w:val="center"/>
        <w:rPr>
          <w:rFonts w:ascii="宋体" w:hAnsi="宋体" w:eastAsia="宋体" w:cs="宋体"/>
          <w:b/>
          <w:bCs/>
          <w:color w:val="auto"/>
          <w:sz w:val="24"/>
          <w:szCs w:val="24"/>
          <w:highlight w:val="none"/>
          <w:shd w:val="pct10" w:color="auto" w:fill="FFFFFF"/>
        </w:rPr>
      </w:pPr>
      <w:r>
        <w:rPr>
          <w:rFonts w:hint="eastAsia" w:ascii="宋体" w:hAnsi="宋体" w:eastAsia="宋体" w:cs="宋体"/>
          <w:b/>
          <w:bCs/>
          <w:color w:val="auto"/>
          <w:sz w:val="24"/>
          <w:szCs w:val="24"/>
          <w:highlight w:val="none"/>
          <w:shd w:val="pct10" w:color="auto" w:fill="FFFFFF"/>
        </w:rPr>
        <w:t>图</w:t>
      </w:r>
      <w:r>
        <w:rPr>
          <w:rFonts w:ascii="宋体" w:hAnsi="宋体" w:eastAsia="宋体" w:cs="宋体"/>
          <w:b/>
          <w:bCs/>
          <w:color w:val="auto"/>
          <w:sz w:val="24"/>
          <w:szCs w:val="24"/>
          <w:highlight w:val="none"/>
          <w:shd w:val="pct10" w:color="auto" w:fill="FFFFFF"/>
        </w:rPr>
        <w:t>10.</w:t>
      </w:r>
      <w:r>
        <w:rPr>
          <w:rFonts w:hint="eastAsia" w:ascii="宋体" w:hAnsi="宋体" w:eastAsia="宋体" w:cs="宋体"/>
          <w:b/>
          <w:bCs/>
          <w:color w:val="auto"/>
          <w:sz w:val="24"/>
          <w:szCs w:val="24"/>
          <w:highlight w:val="none"/>
          <w:shd w:val="pct10" w:color="auto" w:fill="FFFFFF"/>
          <w:lang w:val="en-US" w:eastAsia="zh-CN"/>
        </w:rPr>
        <w:t>2</w:t>
      </w:r>
      <w:r>
        <w:rPr>
          <w:rFonts w:hint="eastAsia" w:ascii="宋体" w:hAnsi="宋体" w:eastAsia="宋体" w:cs="宋体"/>
          <w:b/>
          <w:bCs/>
          <w:color w:val="auto"/>
          <w:sz w:val="24"/>
          <w:szCs w:val="24"/>
          <w:highlight w:val="none"/>
          <w:shd w:val="pct10" w:color="auto" w:fill="FFFFFF"/>
        </w:rPr>
        <w:t>.</w:t>
      </w:r>
      <w:r>
        <w:rPr>
          <w:rFonts w:hint="eastAsia" w:ascii="宋体" w:hAnsi="宋体" w:eastAsia="宋体" w:cs="宋体"/>
          <w:b/>
          <w:bCs/>
          <w:color w:val="auto"/>
          <w:sz w:val="24"/>
          <w:szCs w:val="24"/>
          <w:highlight w:val="none"/>
          <w:shd w:val="pct10" w:color="auto" w:fill="FFFFFF"/>
          <w:lang w:val="en-US" w:eastAsia="zh-CN"/>
        </w:rPr>
        <w:t>3</w:t>
      </w:r>
      <w:r>
        <w:rPr>
          <w:rFonts w:ascii="宋体" w:hAnsi="宋体" w:eastAsia="宋体" w:cs="宋体"/>
          <w:b/>
          <w:bCs/>
          <w:color w:val="auto"/>
          <w:sz w:val="24"/>
          <w:szCs w:val="24"/>
          <w:highlight w:val="none"/>
          <w:shd w:val="pct10" w:color="auto" w:fill="FFFFFF"/>
        </w:rPr>
        <w:t xml:space="preserve"> </w:t>
      </w:r>
      <w:r>
        <w:rPr>
          <w:rFonts w:hint="eastAsia" w:ascii="宋体" w:hAnsi="宋体" w:eastAsia="宋体" w:cs="宋体"/>
          <w:b/>
          <w:bCs/>
          <w:color w:val="auto"/>
          <w:sz w:val="24"/>
          <w:szCs w:val="24"/>
          <w:highlight w:val="none"/>
          <w:shd w:val="pct10" w:color="auto" w:fill="FFFFFF"/>
        </w:rPr>
        <w:t>双绞线端接标准</w:t>
      </w:r>
    </w:p>
    <w:p w14:paraId="1207F29E">
      <w:pPr>
        <w:pStyle w:val="3"/>
        <w:spacing w:before="240" w:after="240"/>
        <w:rPr>
          <w:rStyle w:val="43"/>
          <w:b/>
          <w:bCs/>
          <w:color w:val="auto"/>
          <w:highlight w:val="none"/>
        </w:rPr>
      </w:pPr>
      <w:bookmarkStart w:id="272" w:name="_Toc133572735"/>
      <w:bookmarkStart w:id="273" w:name="_Toc30682"/>
      <w:bookmarkStart w:id="274" w:name="_Toc11893"/>
      <w:bookmarkStart w:id="275" w:name="_Toc10748"/>
      <w:bookmarkStart w:id="276" w:name="_Toc3847"/>
      <w:bookmarkStart w:id="277" w:name="_Toc10178"/>
      <w:bookmarkStart w:id="278" w:name="_Toc21025"/>
      <w:r>
        <w:rPr>
          <w:rStyle w:val="43"/>
          <w:rFonts w:ascii="仿宋" w:hAnsi="仿宋"/>
          <w:b/>
          <w:bCs/>
          <w:color w:val="auto"/>
          <w:highlight w:val="none"/>
        </w:rPr>
        <w:t>10.</w:t>
      </w:r>
      <w:r>
        <w:rPr>
          <w:rStyle w:val="43"/>
          <w:rFonts w:hint="eastAsia" w:ascii="仿宋" w:hAnsi="仿宋"/>
          <w:b/>
          <w:bCs/>
          <w:color w:val="auto"/>
          <w:highlight w:val="none"/>
          <w:lang w:val="en-US" w:eastAsia="zh-CN"/>
        </w:rPr>
        <w:t>3</w:t>
      </w:r>
      <w:r>
        <w:rPr>
          <w:rStyle w:val="43"/>
          <w:rFonts w:ascii="仿宋" w:hAnsi="仿宋"/>
          <w:b/>
          <w:bCs/>
          <w:color w:val="auto"/>
          <w:highlight w:val="none"/>
        </w:rPr>
        <w:t xml:space="preserve"> </w:t>
      </w:r>
      <w:r>
        <w:rPr>
          <w:rStyle w:val="43"/>
          <w:rFonts w:hint="eastAsia"/>
          <w:b/>
          <w:bCs/>
          <w:color w:val="auto"/>
          <w:highlight w:val="none"/>
        </w:rPr>
        <w:t>可视对讲系统</w:t>
      </w:r>
      <w:bookmarkEnd w:id="272"/>
      <w:bookmarkEnd w:id="273"/>
      <w:bookmarkEnd w:id="274"/>
      <w:bookmarkEnd w:id="275"/>
      <w:bookmarkEnd w:id="276"/>
      <w:bookmarkEnd w:id="277"/>
      <w:bookmarkEnd w:id="278"/>
    </w:p>
    <w:p w14:paraId="2494EFA7">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3</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室内分机安装应平整、牢固，安装位置、高度应符合设计要求。</w:t>
      </w:r>
    </w:p>
    <w:p w14:paraId="34061FCB">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检验方法：观察检查、尺量检查、核对设计文件。</w:t>
      </w:r>
    </w:p>
    <w:p w14:paraId="07C4EE4E">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6146A17E">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2 </w:t>
      </w:r>
      <w:r>
        <w:rPr>
          <w:rFonts w:hint="eastAsia" w:cs="宋体"/>
          <w:color w:val="auto"/>
          <w:sz w:val="28"/>
          <w:szCs w:val="28"/>
          <w:highlight w:val="none"/>
          <w:lang w:eastAsia="zh-CN"/>
        </w:rPr>
        <w:t>室内分机与门口主机及管理主机的对讲功能应正常，能够清晰显示门口机拍摄的视频图像，能够远程开启受控门体的电锁。</w:t>
      </w:r>
    </w:p>
    <w:p w14:paraId="578D9796">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14:paraId="20D987A5">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41B76315">
      <w:pPr>
        <w:pStyle w:val="3"/>
        <w:spacing w:before="240" w:after="240"/>
        <w:rPr>
          <w:rStyle w:val="43"/>
          <w:b/>
          <w:bCs/>
          <w:color w:val="auto"/>
          <w:highlight w:val="none"/>
        </w:rPr>
      </w:pPr>
      <w:bookmarkStart w:id="279" w:name="_Toc6067"/>
      <w:bookmarkStart w:id="280" w:name="_Toc25448"/>
      <w:bookmarkStart w:id="281" w:name="_Toc6723"/>
      <w:bookmarkStart w:id="282" w:name="_Toc133572736"/>
      <w:bookmarkStart w:id="283" w:name="_Toc297"/>
      <w:bookmarkStart w:id="284" w:name="_Toc25685"/>
      <w:bookmarkStart w:id="285" w:name="_Toc8305"/>
      <w:r>
        <w:rPr>
          <w:rStyle w:val="43"/>
          <w:rFonts w:ascii="仿宋" w:hAnsi="仿宋"/>
          <w:b/>
          <w:bCs/>
          <w:color w:val="auto"/>
          <w:highlight w:val="none"/>
        </w:rPr>
        <w:t>10.</w:t>
      </w:r>
      <w:r>
        <w:rPr>
          <w:rStyle w:val="43"/>
          <w:rFonts w:hint="eastAsia" w:ascii="仿宋" w:hAnsi="仿宋"/>
          <w:b/>
          <w:bCs/>
          <w:color w:val="auto"/>
          <w:highlight w:val="none"/>
          <w:lang w:val="en-US" w:eastAsia="zh-CN"/>
        </w:rPr>
        <w:t>4</w:t>
      </w:r>
      <w:r>
        <w:rPr>
          <w:rStyle w:val="43"/>
          <w:rFonts w:ascii="仿宋" w:hAnsi="仿宋"/>
          <w:b/>
          <w:bCs/>
          <w:color w:val="auto"/>
          <w:highlight w:val="none"/>
        </w:rPr>
        <w:t xml:space="preserve"> </w:t>
      </w:r>
      <w:r>
        <w:rPr>
          <w:rStyle w:val="43"/>
          <w:rFonts w:hint="eastAsia"/>
          <w:b/>
          <w:bCs/>
          <w:color w:val="auto"/>
          <w:highlight w:val="none"/>
        </w:rPr>
        <w:t>报警系统</w:t>
      </w:r>
      <w:bookmarkEnd w:id="279"/>
      <w:bookmarkEnd w:id="280"/>
      <w:bookmarkEnd w:id="281"/>
      <w:bookmarkEnd w:id="282"/>
      <w:bookmarkEnd w:id="283"/>
      <w:bookmarkEnd w:id="284"/>
      <w:bookmarkEnd w:id="285"/>
    </w:p>
    <w:p w14:paraId="4012ED6A">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4</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门磁、红外、</w:t>
      </w:r>
      <w:r>
        <w:rPr>
          <w:rFonts w:cs="宋体"/>
          <w:color w:val="auto"/>
          <w:sz w:val="28"/>
          <w:szCs w:val="28"/>
          <w:highlight w:val="none"/>
          <w:lang w:eastAsia="zh-CN"/>
        </w:rPr>
        <w:t>可燃气体</w:t>
      </w:r>
      <w:r>
        <w:rPr>
          <w:rFonts w:hint="eastAsia" w:cs="宋体"/>
          <w:color w:val="auto"/>
          <w:sz w:val="28"/>
          <w:szCs w:val="28"/>
          <w:highlight w:val="none"/>
          <w:lang w:eastAsia="zh-CN"/>
        </w:rPr>
        <w:t>等各类</w:t>
      </w:r>
      <w:r>
        <w:rPr>
          <w:rFonts w:cs="宋体"/>
          <w:color w:val="auto"/>
          <w:sz w:val="28"/>
          <w:szCs w:val="28"/>
          <w:highlight w:val="none"/>
          <w:lang w:eastAsia="zh-CN"/>
        </w:rPr>
        <w:t>探测器</w:t>
      </w:r>
      <w:r>
        <w:rPr>
          <w:rFonts w:hint="eastAsia" w:cs="宋体"/>
          <w:color w:val="auto"/>
          <w:sz w:val="28"/>
          <w:szCs w:val="28"/>
          <w:highlight w:val="none"/>
          <w:lang w:eastAsia="zh-CN"/>
        </w:rPr>
        <w:t>及报警按钮的</w:t>
      </w:r>
      <w:r>
        <w:rPr>
          <w:rFonts w:cs="宋体"/>
          <w:color w:val="auto"/>
          <w:sz w:val="28"/>
          <w:szCs w:val="28"/>
          <w:highlight w:val="none"/>
          <w:lang w:eastAsia="zh-CN"/>
        </w:rPr>
        <w:t>安装位置</w:t>
      </w:r>
      <w:r>
        <w:rPr>
          <w:rFonts w:hint="eastAsia" w:cs="宋体"/>
          <w:color w:val="auto"/>
          <w:sz w:val="28"/>
          <w:szCs w:val="28"/>
          <w:highlight w:val="none"/>
          <w:lang w:eastAsia="zh-CN"/>
        </w:rPr>
        <w:t>、高度</w:t>
      </w:r>
      <w:r>
        <w:rPr>
          <w:rFonts w:cs="宋体"/>
          <w:color w:val="auto"/>
          <w:sz w:val="28"/>
          <w:szCs w:val="28"/>
          <w:highlight w:val="none"/>
          <w:lang w:eastAsia="zh-CN"/>
        </w:rPr>
        <w:t>应符</w:t>
      </w:r>
      <w:r>
        <w:rPr>
          <w:rFonts w:hint="eastAsia" w:cs="宋体"/>
          <w:color w:val="auto"/>
          <w:sz w:val="28"/>
          <w:szCs w:val="28"/>
          <w:highlight w:val="none"/>
          <w:lang w:eastAsia="zh-CN"/>
        </w:rPr>
        <w:t>合设计要求且安装牢固、表面无污损。</w:t>
      </w:r>
    </w:p>
    <w:p w14:paraId="776253B6">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检验方法：尺量检查、核对设计文件、观察检查。</w:t>
      </w:r>
    </w:p>
    <w:p w14:paraId="58564573">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051AB7E5">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4</w:t>
      </w:r>
      <w:r>
        <w:rPr>
          <w:rFonts w:hint="eastAsia" w:cs="宋体"/>
          <w:color w:val="auto"/>
          <w:sz w:val="28"/>
          <w:szCs w:val="28"/>
          <w:highlight w:val="none"/>
          <w:lang w:eastAsia="zh-CN"/>
        </w:rPr>
        <w:t>.</w:t>
      </w:r>
      <w:r>
        <w:rPr>
          <w:rFonts w:cs="宋体"/>
          <w:color w:val="auto"/>
          <w:sz w:val="28"/>
          <w:szCs w:val="28"/>
          <w:highlight w:val="none"/>
          <w:lang w:eastAsia="zh-CN"/>
        </w:rPr>
        <w:t xml:space="preserve">2 </w:t>
      </w:r>
      <w:r>
        <w:rPr>
          <w:rFonts w:hint="eastAsia" w:cs="宋体"/>
          <w:color w:val="auto"/>
          <w:sz w:val="28"/>
          <w:szCs w:val="28"/>
          <w:highlight w:val="none"/>
          <w:lang w:eastAsia="zh-CN"/>
        </w:rPr>
        <w:t>各类探测器报警功能应正常，报警响应时间不大于2秒。</w:t>
      </w:r>
    </w:p>
    <w:p w14:paraId="7D303E04">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14:paraId="1C1C1416">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3F3F2178">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0.</w:t>
      </w:r>
      <w:r>
        <w:rPr>
          <w:rFonts w:hint="eastAsia" w:cs="宋体"/>
          <w:color w:val="auto"/>
          <w:sz w:val="28"/>
          <w:szCs w:val="28"/>
          <w:highlight w:val="none"/>
          <w:lang w:val="en-US" w:eastAsia="zh-CN"/>
        </w:rPr>
        <w:t>4</w:t>
      </w:r>
      <w:r>
        <w:rPr>
          <w:rFonts w:cs="宋体"/>
          <w:color w:val="auto"/>
          <w:sz w:val="28"/>
          <w:szCs w:val="28"/>
          <w:highlight w:val="none"/>
          <w:lang w:eastAsia="zh-CN"/>
        </w:rPr>
        <w:t xml:space="preserve">.3 </w:t>
      </w:r>
      <w:r>
        <w:rPr>
          <w:rFonts w:hint="eastAsia" w:cs="宋体"/>
          <w:color w:val="auto"/>
          <w:sz w:val="28"/>
          <w:szCs w:val="28"/>
          <w:highlight w:val="none"/>
          <w:lang w:eastAsia="zh-CN"/>
        </w:rPr>
        <w:t>布防、撤防、报警信息显示和记录等功能应正常。</w:t>
      </w:r>
    </w:p>
    <w:p w14:paraId="39DC94FF">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14:paraId="30E5D424">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14:paraId="0E424F34">
      <w:pPr>
        <w:pStyle w:val="3"/>
        <w:spacing w:before="240" w:after="240"/>
        <w:rPr>
          <w:rStyle w:val="43"/>
          <w:b/>
          <w:bCs/>
          <w:color w:val="auto"/>
          <w:highlight w:val="none"/>
        </w:rPr>
      </w:pPr>
      <w:bookmarkStart w:id="286" w:name="_Toc22746"/>
      <w:bookmarkStart w:id="287" w:name="_Toc12851"/>
      <w:bookmarkStart w:id="288" w:name="_Toc9918"/>
      <w:bookmarkStart w:id="289" w:name="_Toc25251"/>
      <w:bookmarkStart w:id="290" w:name="_Toc13491"/>
      <w:bookmarkStart w:id="291" w:name="_Toc1082"/>
      <w:r>
        <w:rPr>
          <w:rStyle w:val="43"/>
          <w:rFonts w:ascii="仿宋" w:hAnsi="仿宋"/>
          <w:b/>
          <w:bCs/>
          <w:color w:val="auto"/>
          <w:highlight w:val="none"/>
        </w:rPr>
        <w:t>10.</w:t>
      </w:r>
      <w:r>
        <w:rPr>
          <w:rStyle w:val="43"/>
          <w:rFonts w:hint="eastAsia" w:ascii="仿宋" w:hAnsi="仿宋"/>
          <w:b/>
          <w:bCs/>
          <w:color w:val="auto"/>
          <w:highlight w:val="none"/>
          <w:lang w:val="en-US" w:eastAsia="zh-CN"/>
        </w:rPr>
        <w:t>5</w:t>
      </w:r>
      <w:r>
        <w:rPr>
          <w:rStyle w:val="43"/>
          <w:rFonts w:ascii="仿宋" w:hAnsi="仿宋"/>
          <w:b/>
          <w:bCs/>
          <w:color w:val="auto"/>
          <w:highlight w:val="none"/>
        </w:rPr>
        <w:t xml:space="preserve"> </w:t>
      </w:r>
      <w:r>
        <w:rPr>
          <w:rStyle w:val="43"/>
          <w:rFonts w:hint="eastAsia"/>
          <w:b/>
          <w:bCs/>
          <w:color w:val="auto"/>
          <w:highlight w:val="none"/>
          <w:lang w:eastAsia="zh-CN"/>
        </w:rPr>
        <w:t>视频监控</w:t>
      </w:r>
      <w:r>
        <w:rPr>
          <w:rStyle w:val="43"/>
          <w:rFonts w:hint="eastAsia"/>
          <w:b/>
          <w:bCs/>
          <w:color w:val="auto"/>
          <w:highlight w:val="none"/>
        </w:rPr>
        <w:t>系统</w:t>
      </w:r>
      <w:bookmarkEnd w:id="286"/>
      <w:bookmarkEnd w:id="287"/>
      <w:bookmarkEnd w:id="288"/>
      <w:bookmarkEnd w:id="289"/>
      <w:bookmarkEnd w:id="290"/>
      <w:bookmarkEnd w:id="291"/>
    </w:p>
    <w:p w14:paraId="5A867718">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10.5.1 摄像机的安装位置、高度应符合设计要求；摄像机安装牢固、表面无污损，角度合理。</w:t>
      </w:r>
    </w:p>
    <w:p w14:paraId="29FD334A">
      <w:pPr>
        <w:pStyle w:val="46"/>
        <w:spacing w:line="360" w:lineRule="auto"/>
        <w:rPr>
          <w:rFonts w:ascii="宋体" w:hAnsi="宋体" w:cs="宋体"/>
          <w:color w:val="auto"/>
          <w:highlight w:val="none"/>
        </w:rPr>
      </w:pPr>
      <w:r>
        <w:rPr>
          <w:rFonts w:hint="eastAsia" w:ascii="宋体" w:hAnsi="宋体" w:cs="宋体"/>
          <w:color w:val="auto"/>
          <w:highlight w:val="none"/>
        </w:rPr>
        <w:t>检验方法：核对设计文件、观察检查。</w:t>
      </w:r>
    </w:p>
    <w:p w14:paraId="7BE9D63F">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28E1B36E">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10.5.2 视频图像应流畅、清晰、无损伤、色彩正常。</w:t>
      </w:r>
    </w:p>
    <w:p w14:paraId="207B9F34">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14:paraId="6120C543">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3533C032">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10.5.3 对于可控摄像机，摄像机的控制应准确、灵活。</w:t>
      </w:r>
    </w:p>
    <w:p w14:paraId="28334127">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hint="eastAsia" w:ascii="宋体" w:hAnsi="宋体" w:cs="宋体"/>
          <w:color w:val="auto"/>
          <w:highlight w:val="none"/>
          <w:lang w:eastAsia="zh-CN"/>
        </w:rPr>
        <w:t>操作试验</w:t>
      </w:r>
      <w:r>
        <w:rPr>
          <w:rFonts w:hint="eastAsia" w:ascii="宋体" w:hAnsi="宋体" w:cs="宋体"/>
          <w:color w:val="auto"/>
          <w:highlight w:val="none"/>
        </w:rPr>
        <w:t>。</w:t>
      </w:r>
    </w:p>
    <w:p w14:paraId="7CFCF852">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04D27348">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10.5.4 视频存储和回放功能正常，视频存储时间符合设计要求。</w:t>
      </w:r>
    </w:p>
    <w:p w14:paraId="58A48013">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hint="eastAsia" w:ascii="宋体" w:hAnsi="宋体" w:cs="宋体"/>
          <w:color w:val="auto"/>
          <w:highlight w:val="none"/>
          <w:lang w:eastAsia="zh-CN"/>
        </w:rPr>
        <w:t>操作查验</w:t>
      </w:r>
      <w:r>
        <w:rPr>
          <w:rFonts w:hint="eastAsia" w:ascii="宋体" w:hAnsi="宋体" w:cs="宋体"/>
          <w:color w:val="auto"/>
          <w:highlight w:val="none"/>
        </w:rPr>
        <w:t>。</w:t>
      </w:r>
    </w:p>
    <w:p w14:paraId="5CB5BCE7">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2983D5F8">
      <w:pPr>
        <w:pStyle w:val="3"/>
        <w:spacing w:before="240" w:after="240"/>
        <w:rPr>
          <w:rStyle w:val="43"/>
          <w:rFonts w:ascii="仿宋" w:hAnsi="仿宋"/>
          <w:b/>
          <w:bCs/>
          <w:color w:val="auto"/>
          <w:highlight w:val="none"/>
        </w:rPr>
      </w:pPr>
      <w:bookmarkStart w:id="292" w:name="_Toc133572737"/>
      <w:bookmarkStart w:id="293" w:name="_Toc28017"/>
      <w:bookmarkStart w:id="294" w:name="_Toc11797"/>
      <w:bookmarkStart w:id="295" w:name="_Toc2350"/>
      <w:bookmarkStart w:id="296" w:name="_Toc17796"/>
      <w:bookmarkStart w:id="297" w:name="_Toc7226"/>
      <w:bookmarkStart w:id="298" w:name="_Toc7562"/>
      <w:r>
        <w:rPr>
          <w:rStyle w:val="43"/>
          <w:rFonts w:ascii="仿宋" w:hAnsi="仿宋"/>
          <w:b/>
          <w:bCs/>
          <w:color w:val="auto"/>
          <w:highlight w:val="none"/>
        </w:rPr>
        <w:t>10.6 智能家居控制系统</w:t>
      </w:r>
      <w:bookmarkEnd w:id="292"/>
      <w:bookmarkEnd w:id="293"/>
      <w:bookmarkEnd w:id="294"/>
      <w:bookmarkEnd w:id="295"/>
      <w:bookmarkEnd w:id="296"/>
      <w:bookmarkEnd w:id="297"/>
      <w:bookmarkEnd w:id="298"/>
    </w:p>
    <w:p w14:paraId="18B675A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10.6.1 控制器安装位置</w:t>
      </w:r>
      <w:r>
        <w:rPr>
          <w:rFonts w:hint="eastAsia" w:cs="宋体"/>
          <w:color w:val="auto"/>
          <w:sz w:val="28"/>
          <w:szCs w:val="28"/>
          <w:highlight w:val="none"/>
          <w:lang w:eastAsia="zh-CN"/>
        </w:rPr>
        <w:t>、高度</w:t>
      </w:r>
      <w:r>
        <w:rPr>
          <w:rFonts w:cs="宋体"/>
          <w:color w:val="auto"/>
          <w:sz w:val="28"/>
          <w:szCs w:val="28"/>
          <w:highlight w:val="none"/>
          <w:lang w:eastAsia="zh-CN"/>
        </w:rPr>
        <w:t>应符合设计要求</w:t>
      </w:r>
      <w:r>
        <w:rPr>
          <w:rFonts w:hint="eastAsia" w:cs="宋体"/>
          <w:color w:val="auto"/>
          <w:sz w:val="28"/>
          <w:szCs w:val="28"/>
          <w:highlight w:val="none"/>
          <w:lang w:eastAsia="zh-CN"/>
        </w:rPr>
        <w:t>且安装牢固、表面无污损</w:t>
      </w:r>
      <w:r>
        <w:rPr>
          <w:rFonts w:cs="宋体"/>
          <w:color w:val="auto"/>
          <w:sz w:val="28"/>
          <w:szCs w:val="28"/>
          <w:highlight w:val="none"/>
          <w:lang w:eastAsia="zh-CN"/>
        </w:rPr>
        <w:t>。</w:t>
      </w:r>
    </w:p>
    <w:p w14:paraId="270B22DF">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检验方法：尺量检查、核对设计文件、观察检查。</w:t>
      </w:r>
    </w:p>
    <w:p w14:paraId="594C8788">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14:paraId="1306F396">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10.6.2 控制器对</w:t>
      </w:r>
      <w:r>
        <w:rPr>
          <w:rFonts w:hint="eastAsia" w:cs="宋体"/>
          <w:color w:val="auto"/>
          <w:sz w:val="28"/>
          <w:szCs w:val="28"/>
          <w:highlight w:val="none"/>
          <w:lang w:eastAsia="zh-CN"/>
        </w:rPr>
        <w:t>窗帘、</w:t>
      </w:r>
      <w:r>
        <w:rPr>
          <w:rFonts w:cs="宋体"/>
          <w:color w:val="auto"/>
          <w:sz w:val="28"/>
          <w:szCs w:val="28"/>
          <w:highlight w:val="none"/>
          <w:lang w:eastAsia="zh-CN"/>
        </w:rPr>
        <w:t>照明、家电等</w:t>
      </w:r>
      <w:r>
        <w:rPr>
          <w:rFonts w:hint="eastAsia" w:cs="宋体"/>
          <w:color w:val="auto"/>
          <w:sz w:val="28"/>
          <w:szCs w:val="28"/>
          <w:highlight w:val="none"/>
          <w:lang w:eastAsia="zh-CN"/>
        </w:rPr>
        <w:t>设施的手动、自动</w:t>
      </w:r>
      <w:r>
        <w:rPr>
          <w:rFonts w:hint="eastAsia" w:cs="宋体"/>
          <w:color w:val="auto"/>
          <w:sz w:val="28"/>
          <w:szCs w:val="28"/>
          <w:highlight w:val="none"/>
          <w:lang w:val="en-US" w:eastAsia="zh-CN"/>
        </w:rPr>
        <w:t>和远程</w:t>
      </w:r>
      <w:r>
        <w:rPr>
          <w:rFonts w:cs="宋体"/>
          <w:color w:val="auto"/>
          <w:sz w:val="28"/>
          <w:szCs w:val="28"/>
          <w:highlight w:val="none"/>
          <w:lang w:eastAsia="zh-CN"/>
        </w:rPr>
        <w:t>控制</w:t>
      </w:r>
      <w:r>
        <w:rPr>
          <w:rFonts w:hint="eastAsia" w:cs="宋体"/>
          <w:color w:val="auto"/>
          <w:sz w:val="28"/>
          <w:szCs w:val="28"/>
          <w:highlight w:val="none"/>
          <w:lang w:eastAsia="zh-CN"/>
        </w:rPr>
        <w:t>功能</w:t>
      </w:r>
      <w:r>
        <w:rPr>
          <w:rFonts w:cs="宋体"/>
          <w:color w:val="auto"/>
          <w:sz w:val="28"/>
          <w:szCs w:val="28"/>
          <w:highlight w:val="none"/>
          <w:lang w:eastAsia="zh-CN"/>
        </w:rPr>
        <w:t>应正常。</w:t>
      </w:r>
    </w:p>
    <w:p w14:paraId="2F1D7DB9">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14:paraId="3A56E9AD">
      <w:pPr>
        <w:pStyle w:val="46"/>
        <w:spacing w:line="360" w:lineRule="auto"/>
        <w:rPr>
          <w:rFonts w:cs="宋体"/>
          <w:color w:val="auto"/>
          <w:highlight w:val="none"/>
        </w:rPr>
      </w:pPr>
      <w:r>
        <w:rPr>
          <w:rFonts w:hint="eastAsia" w:ascii="宋体" w:hAnsi="宋体" w:cs="宋体"/>
          <w:color w:val="auto"/>
          <w:highlight w:val="none"/>
        </w:rPr>
        <w:t>检验数量：全数检验。</w:t>
      </w:r>
      <w:r>
        <w:rPr>
          <w:rFonts w:cs="宋体"/>
          <w:color w:val="auto"/>
          <w:highlight w:val="none"/>
        </w:rPr>
        <w:br w:type="page"/>
      </w:r>
    </w:p>
    <w:p w14:paraId="205EA59C">
      <w:pPr>
        <w:pStyle w:val="2"/>
        <w:spacing w:before="240" w:after="240"/>
        <w:rPr>
          <w:rFonts w:ascii="宋体" w:hAnsi="宋体" w:eastAsia="宋体" w:cs="宋体"/>
          <w:color w:val="auto"/>
          <w:highlight w:val="none"/>
        </w:rPr>
      </w:pPr>
      <w:bookmarkStart w:id="299" w:name="_Toc133572738"/>
      <w:bookmarkStart w:id="300" w:name="_Toc25237"/>
      <w:bookmarkStart w:id="301" w:name="_Toc4703"/>
      <w:bookmarkStart w:id="302" w:name="_Toc12419"/>
      <w:bookmarkStart w:id="303" w:name="_Toc14413"/>
      <w:bookmarkStart w:id="304" w:name="_Toc27025"/>
      <w:bookmarkStart w:id="305" w:name="_Toc4292"/>
      <w:r>
        <w:rPr>
          <w:rFonts w:ascii="宋体" w:hAnsi="宋体" w:eastAsia="宋体" w:cs="宋体"/>
          <w:color w:val="auto"/>
          <w:highlight w:val="none"/>
        </w:rPr>
        <w:t xml:space="preserve">11 </w:t>
      </w:r>
      <w:r>
        <w:rPr>
          <w:rFonts w:hint="eastAsia" w:ascii="宋体" w:hAnsi="宋体" w:eastAsia="宋体" w:cs="宋体"/>
          <w:color w:val="auto"/>
          <w:highlight w:val="none"/>
        </w:rPr>
        <w:t>通风与空调工程</w:t>
      </w:r>
      <w:bookmarkEnd w:id="299"/>
      <w:bookmarkEnd w:id="300"/>
      <w:bookmarkEnd w:id="301"/>
      <w:bookmarkEnd w:id="302"/>
      <w:bookmarkEnd w:id="303"/>
      <w:bookmarkEnd w:id="304"/>
      <w:bookmarkEnd w:id="305"/>
    </w:p>
    <w:p w14:paraId="4F892A9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.0.1 空调、新风（换气）风口与装饰面贴合应紧密</w:t>
      </w:r>
      <w:r>
        <w:rPr>
          <w:rFonts w:hint="eastAsia" w:cs="宋体"/>
          <w:color w:val="auto"/>
          <w:sz w:val="28"/>
          <w:szCs w:val="28"/>
          <w:highlight w:val="none"/>
          <w:lang w:eastAsia="zh-CN"/>
        </w:rPr>
        <w:t>；</w:t>
      </w:r>
      <w:r>
        <w:rPr>
          <w:rFonts w:cs="宋体"/>
          <w:color w:val="auto"/>
          <w:sz w:val="28"/>
          <w:szCs w:val="28"/>
          <w:highlight w:val="none"/>
          <w:lang w:eastAsia="zh-CN"/>
        </w:rPr>
        <w:t>风管</w:t>
      </w:r>
      <w:r>
        <w:rPr>
          <w:rFonts w:hint="eastAsia" w:cs="宋体"/>
          <w:color w:val="auto"/>
          <w:sz w:val="28"/>
          <w:szCs w:val="28"/>
          <w:highlight w:val="none"/>
          <w:lang w:val="en-US" w:eastAsia="zh-CN"/>
        </w:rPr>
        <w:t>保温层</w:t>
      </w:r>
      <w:r>
        <w:rPr>
          <w:rFonts w:cs="宋体"/>
          <w:color w:val="auto"/>
          <w:sz w:val="28"/>
          <w:szCs w:val="28"/>
          <w:highlight w:val="none"/>
          <w:lang w:eastAsia="zh-CN"/>
        </w:rPr>
        <w:t>表面应平整、无破损。</w:t>
      </w:r>
    </w:p>
    <w:p w14:paraId="33C9219D">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2D6F5B81">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5A062092">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【条文说明】11.0.1 本条对室内机采用风管式的空调、新风（换气）风口及风管</w:t>
      </w:r>
      <w:r>
        <w:rPr>
          <w:rFonts w:hint="eastAsia" w:cs="宋体"/>
          <w:color w:val="auto"/>
          <w:sz w:val="28"/>
          <w:szCs w:val="28"/>
          <w:highlight w:val="none"/>
          <w:shd w:val="pct10" w:color="auto" w:fill="FFFFFF"/>
          <w:lang w:val="en-US" w:eastAsia="zh-CN"/>
        </w:rPr>
        <w:t>保温层</w:t>
      </w:r>
      <w:r>
        <w:rPr>
          <w:rFonts w:cs="宋体"/>
          <w:color w:val="auto"/>
          <w:sz w:val="28"/>
          <w:szCs w:val="28"/>
          <w:highlight w:val="none"/>
          <w:shd w:val="pct10" w:color="auto" w:fill="FFFFFF"/>
          <w:lang w:eastAsia="zh-CN"/>
        </w:rPr>
        <w:t>的安装和观感质量作出了规定。</w:t>
      </w:r>
    </w:p>
    <w:p w14:paraId="0277C7E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.0.2 空调末端装置的安装，位置应正确，固定应牢固、平整，便于检修。</w:t>
      </w:r>
    </w:p>
    <w:p w14:paraId="2D942A83">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7AE2AE5A">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77D44A15">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【条文说明】11.0.2 常见的空调末端装置包括风机盘管机组、变风量与定风量空调末端装置、地板送风单元及冷辐射板等。</w:t>
      </w:r>
    </w:p>
    <w:p w14:paraId="64024E9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 xml:space="preserve">.0.3 </w:t>
      </w:r>
      <w:r>
        <w:rPr>
          <w:rFonts w:hint="eastAsia" w:cs="宋体"/>
          <w:color w:val="auto"/>
          <w:sz w:val="28"/>
          <w:szCs w:val="28"/>
          <w:highlight w:val="none"/>
          <w:lang w:eastAsia="zh-CN"/>
        </w:rPr>
        <w:t>空调机的室内、室外机组安装位置应正确，送、回风不应存在短路回流的现象</w:t>
      </w:r>
      <w:r>
        <w:rPr>
          <w:rFonts w:cs="宋体"/>
          <w:color w:val="auto"/>
          <w:sz w:val="28"/>
          <w:szCs w:val="28"/>
          <w:highlight w:val="none"/>
          <w:lang w:eastAsia="zh-CN"/>
        </w:rPr>
        <w:t>。</w:t>
      </w:r>
    </w:p>
    <w:p w14:paraId="0285FC74">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尺量、观察检查</w:t>
      </w:r>
      <w:r>
        <w:rPr>
          <w:rFonts w:ascii="宋体" w:hAnsi="宋体" w:cs="宋体"/>
          <w:color w:val="auto"/>
          <w:highlight w:val="none"/>
        </w:rPr>
        <w:t>。</w:t>
      </w:r>
    </w:p>
    <w:p w14:paraId="1B3B1934">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17A5F99C">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【条文说明】11.0.3 本条规定了空调机组的感观质量检查项目。</w:t>
      </w:r>
    </w:p>
    <w:p w14:paraId="3BA01CE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.0.4</w:t>
      </w:r>
      <w:r>
        <w:rPr>
          <w:rFonts w:hint="eastAsia" w:cs="宋体"/>
          <w:color w:val="auto"/>
          <w:sz w:val="28"/>
          <w:szCs w:val="28"/>
          <w:highlight w:val="none"/>
          <w:lang w:eastAsia="zh-CN"/>
        </w:rPr>
        <w:t xml:space="preserve"> </w:t>
      </w:r>
      <w:r>
        <w:rPr>
          <w:rFonts w:cs="宋体"/>
          <w:color w:val="auto"/>
          <w:sz w:val="28"/>
          <w:szCs w:val="28"/>
          <w:highlight w:val="none"/>
          <w:lang w:eastAsia="zh-CN"/>
        </w:rPr>
        <w:t>空调、新风（换气）系统运行应正常，功能转换应顺畅。</w:t>
      </w:r>
    </w:p>
    <w:p w14:paraId="4F4A0007">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观察检查；试运行检查</w:t>
      </w:r>
      <w:r>
        <w:rPr>
          <w:rFonts w:ascii="宋体" w:hAnsi="宋体" w:cs="宋体"/>
          <w:color w:val="auto"/>
          <w:highlight w:val="none"/>
        </w:rPr>
        <w:t>。</w:t>
      </w:r>
    </w:p>
    <w:p w14:paraId="434C7859">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1D61ECA9">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.0.4 </w:t>
      </w:r>
      <w:r>
        <w:rPr>
          <w:rFonts w:hint="eastAsia" w:cs="宋体"/>
          <w:color w:val="auto"/>
          <w:sz w:val="28"/>
          <w:szCs w:val="28"/>
          <w:highlight w:val="none"/>
          <w:shd w:val="pct10" w:color="auto" w:fill="FFFFFF"/>
          <w:lang w:eastAsia="zh-CN"/>
        </w:rPr>
        <w:t>本条对空调、新风（换气）系统的使用功能作出了规定</w:t>
      </w:r>
      <w:r>
        <w:rPr>
          <w:rFonts w:cs="宋体"/>
          <w:color w:val="auto"/>
          <w:sz w:val="28"/>
          <w:szCs w:val="28"/>
          <w:highlight w:val="none"/>
          <w:shd w:val="pct10" w:color="auto" w:fill="FFFFFF"/>
          <w:lang w:eastAsia="zh-CN"/>
        </w:rPr>
        <w:t>。</w:t>
      </w:r>
    </w:p>
    <w:p w14:paraId="7FF8D7F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.0.5</w:t>
      </w:r>
      <w:r>
        <w:rPr>
          <w:rFonts w:hint="eastAsia" w:cs="宋体"/>
          <w:color w:val="auto"/>
          <w:sz w:val="28"/>
          <w:szCs w:val="28"/>
          <w:highlight w:val="none"/>
          <w:lang w:eastAsia="zh-CN"/>
        </w:rPr>
        <w:t xml:space="preserve"> </w:t>
      </w:r>
      <w:r>
        <w:rPr>
          <w:rFonts w:cs="宋体"/>
          <w:color w:val="auto"/>
          <w:sz w:val="28"/>
          <w:szCs w:val="28"/>
          <w:highlight w:val="none"/>
          <w:lang w:eastAsia="zh-CN"/>
        </w:rPr>
        <w:t>外墙预留孔洞应内高外低、坡向室外，不得出现倒坡现象，洞口</w:t>
      </w:r>
      <w:r>
        <w:rPr>
          <w:rFonts w:hint="eastAsia" w:cs="宋体"/>
          <w:color w:val="auto"/>
          <w:sz w:val="28"/>
          <w:szCs w:val="28"/>
          <w:highlight w:val="none"/>
          <w:lang w:eastAsia="zh-CN"/>
        </w:rPr>
        <w:t>的数量、规格和</w:t>
      </w:r>
      <w:r>
        <w:rPr>
          <w:rFonts w:cs="宋体"/>
          <w:color w:val="auto"/>
          <w:sz w:val="28"/>
          <w:szCs w:val="28"/>
          <w:highlight w:val="none"/>
          <w:lang w:eastAsia="zh-CN"/>
        </w:rPr>
        <w:t>位置及节点处理应符合设计要求。</w:t>
      </w:r>
    </w:p>
    <w:p w14:paraId="53955653">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14:paraId="403B5AEB">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14:paraId="370CD3D8">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.0.5 </w:t>
      </w:r>
      <w:r>
        <w:rPr>
          <w:rFonts w:hint="eastAsia" w:cs="宋体"/>
          <w:color w:val="auto"/>
          <w:sz w:val="28"/>
          <w:szCs w:val="28"/>
          <w:highlight w:val="none"/>
          <w:shd w:val="pct10" w:color="auto" w:fill="FFFFFF"/>
          <w:lang w:eastAsia="zh-CN"/>
        </w:rPr>
        <w:t>对穿墙孔洞提出坡度要求是为了保证外墙孔洞处不出现渗漏现象</w:t>
      </w:r>
      <w:r>
        <w:rPr>
          <w:rFonts w:cs="宋体"/>
          <w:color w:val="auto"/>
          <w:sz w:val="28"/>
          <w:szCs w:val="28"/>
          <w:highlight w:val="none"/>
          <w:shd w:val="pct10" w:color="auto" w:fill="FFFFFF"/>
          <w:lang w:eastAsia="zh-CN"/>
        </w:rPr>
        <w:t>。</w:t>
      </w:r>
    </w:p>
    <w:p w14:paraId="12D8B430">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.0.6</w:t>
      </w:r>
      <w:r>
        <w:rPr>
          <w:rFonts w:hint="eastAsia" w:cs="宋体"/>
          <w:color w:val="auto"/>
          <w:sz w:val="28"/>
          <w:szCs w:val="28"/>
          <w:highlight w:val="none"/>
          <w:lang w:eastAsia="zh-CN"/>
        </w:rPr>
        <w:t xml:space="preserve"> 厨房的共用排气道与卫浴间的共用排气道应分别设置。排气道及附件设置应符合设计要求，无漏风、串风现象。排气道进气口应安装防火止回阀，防火止回阀安装方向应正确，四周密封严密，阀板摆动灵活，回位正确</w:t>
      </w:r>
      <w:r>
        <w:rPr>
          <w:rFonts w:cs="宋体"/>
          <w:color w:val="auto"/>
          <w:sz w:val="28"/>
          <w:szCs w:val="28"/>
          <w:highlight w:val="none"/>
          <w:lang w:eastAsia="zh-CN"/>
        </w:rPr>
        <w:t>。</w:t>
      </w:r>
    </w:p>
    <w:p w14:paraId="01D841BF">
      <w:pPr>
        <w:pStyle w:val="46"/>
        <w:spacing w:line="360" w:lineRule="auto"/>
        <w:rPr>
          <w:rFonts w:ascii="宋体" w:hAnsi="宋体" w:cs="宋体"/>
          <w:color w:val="auto"/>
          <w:highlight w:val="none"/>
        </w:rPr>
      </w:pPr>
      <w:r>
        <w:rPr>
          <w:rFonts w:hint="eastAsia" w:ascii="宋体" w:hAnsi="宋体" w:cs="宋体"/>
          <w:color w:val="auto"/>
          <w:highlight w:val="none"/>
        </w:rPr>
        <w:t>检验方法：烟雾或火苗试验观察检查。</w:t>
      </w:r>
    </w:p>
    <w:p w14:paraId="4BD00C89">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14:paraId="07CF7414">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.0.6 </w:t>
      </w:r>
      <w:r>
        <w:rPr>
          <w:rFonts w:hint="eastAsia" w:cs="宋体"/>
          <w:color w:val="auto"/>
          <w:sz w:val="28"/>
          <w:szCs w:val="28"/>
          <w:highlight w:val="none"/>
          <w:shd w:val="pct10" w:color="auto" w:fill="FFFFFF"/>
          <w:lang w:eastAsia="zh-CN"/>
        </w:rPr>
        <w:t>厨房和卫浴间的烟气性质及气体成分不同，合用排气道会互相串味，混合也会产生危险，因此排气道应独立设置。为防止烟气回流、窜烟，排气道接口部位应安装防火止回阀。</w:t>
      </w:r>
    </w:p>
    <w:p w14:paraId="32EFF736">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br w:type="page"/>
      </w:r>
    </w:p>
    <w:p w14:paraId="4429D870">
      <w:pPr>
        <w:pStyle w:val="2"/>
        <w:spacing w:before="240" w:after="240"/>
        <w:rPr>
          <w:rFonts w:ascii="宋体" w:hAnsi="宋体" w:eastAsia="宋体" w:cs="宋体"/>
          <w:color w:val="auto"/>
          <w:highlight w:val="none"/>
        </w:rPr>
      </w:pPr>
      <w:bookmarkStart w:id="306" w:name="_Toc12031"/>
      <w:bookmarkStart w:id="307" w:name="_Toc8679"/>
      <w:bookmarkStart w:id="308" w:name="_Toc12500"/>
      <w:bookmarkStart w:id="309" w:name="_Toc27551"/>
      <w:bookmarkStart w:id="310" w:name="_Toc133572739"/>
      <w:bookmarkStart w:id="311" w:name="_Toc4756"/>
      <w:bookmarkStart w:id="312" w:name="_Toc6338"/>
      <w:r>
        <w:rPr>
          <w:rFonts w:ascii="宋体" w:hAnsi="宋体" w:eastAsia="宋体" w:cs="宋体"/>
          <w:color w:val="auto"/>
          <w:highlight w:val="none"/>
        </w:rPr>
        <w:t xml:space="preserve">12 </w:t>
      </w:r>
      <w:r>
        <w:rPr>
          <w:rFonts w:hint="eastAsia" w:ascii="宋体" w:hAnsi="宋体" w:eastAsia="宋体" w:cs="宋体"/>
          <w:color w:val="auto"/>
          <w:highlight w:val="none"/>
        </w:rPr>
        <w:t>公共部分</w:t>
      </w:r>
      <w:bookmarkEnd w:id="306"/>
      <w:bookmarkEnd w:id="307"/>
      <w:bookmarkEnd w:id="308"/>
      <w:bookmarkEnd w:id="309"/>
      <w:bookmarkEnd w:id="310"/>
      <w:bookmarkEnd w:id="311"/>
      <w:bookmarkEnd w:id="312"/>
    </w:p>
    <w:p w14:paraId="7F190397">
      <w:pPr>
        <w:pStyle w:val="3"/>
        <w:spacing w:before="240" w:after="240"/>
        <w:rPr>
          <w:rStyle w:val="43"/>
          <w:rFonts w:ascii="仿宋" w:hAnsi="仿宋" w:cs="宋体"/>
          <w:b/>
          <w:bCs w:val="0"/>
          <w:color w:val="auto"/>
          <w:highlight w:val="none"/>
        </w:rPr>
      </w:pPr>
      <w:bookmarkStart w:id="313" w:name="_Toc22237"/>
      <w:bookmarkStart w:id="314" w:name="_Toc133572740"/>
      <w:bookmarkStart w:id="315" w:name="_Toc14006"/>
      <w:bookmarkStart w:id="316" w:name="_Toc10594"/>
      <w:bookmarkStart w:id="317" w:name="_Toc12713"/>
      <w:bookmarkStart w:id="318" w:name="_Toc1211"/>
      <w:bookmarkStart w:id="319" w:name="_Toc17453"/>
      <w:r>
        <w:rPr>
          <w:rStyle w:val="43"/>
          <w:rFonts w:ascii="仿宋" w:hAnsi="仿宋" w:cs="宋体"/>
          <w:b/>
          <w:bCs w:val="0"/>
          <w:color w:val="auto"/>
          <w:highlight w:val="none"/>
        </w:rPr>
        <w:t>12.1 公共交通部分</w:t>
      </w:r>
      <w:bookmarkEnd w:id="313"/>
      <w:bookmarkEnd w:id="314"/>
      <w:bookmarkEnd w:id="315"/>
      <w:bookmarkEnd w:id="316"/>
      <w:bookmarkEnd w:id="317"/>
      <w:bookmarkEnd w:id="318"/>
      <w:bookmarkEnd w:id="319"/>
    </w:p>
    <w:p w14:paraId="56B1A344">
      <w:pPr>
        <w:pStyle w:val="4"/>
        <w:rPr>
          <w:color w:val="auto"/>
          <w:highlight w:val="none"/>
        </w:rPr>
      </w:pPr>
      <w:bookmarkStart w:id="320" w:name="_Toc121330112"/>
      <w:bookmarkStart w:id="321" w:name="_Toc9575"/>
      <w:bookmarkStart w:id="322" w:name="_Toc25172"/>
      <w:bookmarkStart w:id="323" w:name="_Toc22100"/>
      <w:bookmarkStart w:id="324" w:name="_Toc133572741"/>
      <w:bookmarkStart w:id="325" w:name="_Toc1091"/>
      <w:r>
        <w:rPr>
          <w:rFonts w:hint="eastAsia"/>
          <w:color w:val="auto"/>
          <w:highlight w:val="none"/>
        </w:rPr>
        <w:t>Ⅰ 楼梯</w:t>
      </w:r>
      <w:bookmarkEnd w:id="320"/>
      <w:bookmarkEnd w:id="321"/>
      <w:bookmarkEnd w:id="322"/>
      <w:bookmarkEnd w:id="323"/>
      <w:bookmarkEnd w:id="324"/>
      <w:bookmarkEnd w:id="325"/>
    </w:p>
    <w:p w14:paraId="5A41DC8C">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 </w:t>
      </w:r>
      <w:r>
        <w:rPr>
          <w:rFonts w:hint="eastAsia" w:cs="宋体"/>
          <w:color w:val="auto"/>
          <w:sz w:val="28"/>
          <w:szCs w:val="28"/>
          <w:highlight w:val="none"/>
          <w:lang w:eastAsia="zh-CN"/>
        </w:rPr>
        <w:t>每个梯段的踏步高度、宽度应一致，相邻梯段踏步高度差不应大于</w:t>
      </w:r>
      <w:r>
        <w:rPr>
          <w:rFonts w:cs="宋体"/>
          <w:color w:val="auto"/>
          <w:sz w:val="28"/>
          <w:szCs w:val="28"/>
          <w:highlight w:val="none"/>
          <w:lang w:eastAsia="zh-CN"/>
        </w:rPr>
        <w:t>10mm且踏步面应采取防滑措施</w:t>
      </w:r>
      <w:r>
        <w:rPr>
          <w:rFonts w:hint="eastAsia" w:cs="宋体"/>
          <w:color w:val="auto"/>
          <w:sz w:val="28"/>
          <w:szCs w:val="28"/>
          <w:highlight w:val="none"/>
          <w:lang w:eastAsia="zh-CN"/>
        </w:rPr>
        <w:t>。台阶踏步数不应少于</w:t>
      </w:r>
      <w:r>
        <w:rPr>
          <w:rFonts w:cs="宋体"/>
          <w:color w:val="auto"/>
          <w:sz w:val="28"/>
          <w:szCs w:val="28"/>
          <w:highlight w:val="none"/>
          <w:lang w:eastAsia="zh-CN"/>
        </w:rPr>
        <w:t>2级，当踏步数不足2级时，应按人行坡道设置。</w:t>
      </w:r>
    </w:p>
    <w:p w14:paraId="2C4EB6A1">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 本条是为了保证楼梯的舒适性和防止摔跤而规定的要求。要求见《民用建筑通用规范</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GB 55031-2022。</w:t>
      </w:r>
    </w:p>
    <w:p w14:paraId="75706704">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12.1.2 </w:t>
      </w:r>
      <w:r>
        <w:rPr>
          <w:rFonts w:hint="eastAsia" w:cs="宋体"/>
          <w:color w:val="auto"/>
          <w:sz w:val="28"/>
          <w:szCs w:val="28"/>
          <w:highlight w:val="none"/>
          <w:lang w:eastAsia="zh-CN"/>
        </w:rPr>
        <w:t>楼梯平台上部及下部过道处的净高不应低于</w:t>
      </w:r>
      <w:r>
        <w:rPr>
          <w:rFonts w:cs="宋体"/>
          <w:color w:val="auto"/>
          <w:sz w:val="28"/>
          <w:szCs w:val="28"/>
          <w:highlight w:val="none"/>
          <w:lang w:eastAsia="zh-CN"/>
        </w:rPr>
        <w:t>2.00m。楼梯梯段处净高不应小于2.20m</w:t>
      </w:r>
      <w:r>
        <w:rPr>
          <w:rFonts w:hint="eastAsia" w:cs="宋体"/>
          <w:color w:val="auto"/>
          <w:sz w:val="28"/>
          <w:szCs w:val="28"/>
          <w:highlight w:val="none"/>
          <w:lang w:eastAsia="zh-CN"/>
        </w:rPr>
        <w:t>。</w:t>
      </w:r>
    </w:p>
    <w:p w14:paraId="5FA6E52A">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12.1.2 梯段净高测量自踏步前缘（包括每个梯段最低和最高一级踏步前缘线外0.3m范围内）量至上方突出物下缘间的垂直高度。楼梯梯段及平台净高要求见《民用建筑通用规范》GB 55031-2022、《民用建筑设计统一标准》GB 50352-2019。</w:t>
      </w:r>
    </w:p>
    <w:p w14:paraId="2B3D080C">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2.1.3 </w:t>
      </w:r>
      <w:r>
        <w:rPr>
          <w:rFonts w:hint="eastAsia" w:cs="宋体"/>
          <w:color w:val="auto"/>
          <w:sz w:val="28"/>
          <w:szCs w:val="28"/>
          <w:highlight w:val="none"/>
          <w:lang w:eastAsia="zh-CN"/>
        </w:rPr>
        <w:t>楼梯的梯段净宽不应小于</w:t>
      </w:r>
      <w:r>
        <w:rPr>
          <w:rFonts w:cs="宋体"/>
          <w:color w:val="auto"/>
          <w:sz w:val="28"/>
          <w:szCs w:val="28"/>
          <w:highlight w:val="none"/>
          <w:lang w:eastAsia="zh-CN"/>
        </w:rPr>
        <w:t>1.10m。建筑高度不大于18m的住宅中一边设置栏杆的疏散楼梯，梯段净宽度不应小于1.00m</w:t>
      </w:r>
      <w:r>
        <w:rPr>
          <w:rFonts w:hint="eastAsia" w:cs="宋体"/>
          <w:color w:val="auto"/>
          <w:sz w:val="28"/>
          <w:szCs w:val="28"/>
          <w:highlight w:val="none"/>
          <w:lang w:eastAsia="zh-CN"/>
        </w:rPr>
        <w:t>；</w:t>
      </w:r>
    </w:p>
    <w:p w14:paraId="0C3E30FB">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12.1.3楼梯当一侧有扶手时，梯段净宽测量墙体装饰面至扶手中心线的水平距离，当双侧有扶手时，梯段净宽测量两侧扶手中心线之间的水平距离。当有凸出物时，梯段净宽应从凸出物表面开始测量。楼梯梯段宽度要求见《建筑防火通用规范》GB 55037-2022</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《民用建筑通用规范》GB 55031-2022、《建筑设计防火规范》(附条文说明)(附2018年局部修订)</w:t>
      </w:r>
      <w:r>
        <w:rPr>
          <w:color w:val="auto"/>
          <w:highlight w:val="none"/>
          <w:lang w:eastAsia="zh-CN"/>
        </w:rPr>
        <w:t xml:space="preserve"> </w:t>
      </w:r>
      <w:r>
        <w:rPr>
          <w:rFonts w:cs="宋体"/>
          <w:color w:val="auto"/>
          <w:sz w:val="28"/>
          <w:szCs w:val="28"/>
          <w:highlight w:val="none"/>
          <w:shd w:val="pct10" w:color="auto" w:fill="FFFFFF"/>
          <w:lang w:eastAsia="zh-CN"/>
        </w:rPr>
        <w:t>GB 50016-2014。</w:t>
      </w:r>
    </w:p>
    <w:p w14:paraId="1715B255">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12.1.4 </w:t>
      </w:r>
      <w:r>
        <w:rPr>
          <w:rFonts w:hint="eastAsia" w:cs="宋体"/>
          <w:color w:val="auto"/>
          <w:sz w:val="28"/>
          <w:szCs w:val="28"/>
          <w:highlight w:val="none"/>
          <w:lang w:eastAsia="zh-CN"/>
        </w:rPr>
        <w:t>楼梯转向平台净宽不应小于</w:t>
      </w:r>
      <w:r>
        <w:rPr>
          <w:rFonts w:cs="宋体"/>
          <w:color w:val="auto"/>
          <w:sz w:val="28"/>
          <w:szCs w:val="28"/>
          <w:highlight w:val="none"/>
          <w:lang w:eastAsia="zh-CN"/>
        </w:rPr>
        <w:t>1.20m</w:t>
      </w:r>
      <w:r>
        <w:rPr>
          <w:rFonts w:hint="eastAsia" w:cs="宋体"/>
          <w:color w:val="auto"/>
          <w:sz w:val="28"/>
          <w:szCs w:val="28"/>
          <w:highlight w:val="none"/>
          <w:lang w:val="en-US" w:eastAsia="zh-CN"/>
        </w:rPr>
        <w:t>；</w:t>
      </w:r>
      <w:r>
        <w:rPr>
          <w:rFonts w:cs="宋体"/>
          <w:color w:val="auto"/>
          <w:sz w:val="28"/>
          <w:szCs w:val="28"/>
          <w:highlight w:val="none"/>
          <w:lang w:eastAsia="zh-CN"/>
        </w:rPr>
        <w:t>直跑楼梯中间平台宽度不应小于0.90m；楼梯为剪刀梯时，楼梯平台的净宽不得小于1.30m</w:t>
      </w:r>
      <w:r>
        <w:rPr>
          <w:rFonts w:hint="eastAsia" w:cs="宋体"/>
          <w:color w:val="auto"/>
          <w:sz w:val="28"/>
          <w:szCs w:val="28"/>
          <w:highlight w:val="none"/>
          <w:lang w:eastAsia="zh-CN"/>
        </w:rPr>
        <w:t>。</w:t>
      </w:r>
    </w:p>
    <w:p w14:paraId="340488B8">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12.1.4楼梯平台宽度测量从墙面装饰完成面量至扶手中心线。如平台有突出物应从突出部分外缘量起。要求见《民用建筑通用规范》GB 55031-2022、《民用建筑设计统一标准》GB 50352-2019、《住宅设计规范》GB 50096-2011。</w:t>
      </w:r>
    </w:p>
    <w:p w14:paraId="0BBEA3A8">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12.1.5 </w:t>
      </w:r>
      <w:r>
        <w:rPr>
          <w:rFonts w:hint="eastAsia" w:cs="宋体"/>
          <w:color w:val="auto"/>
          <w:sz w:val="28"/>
          <w:szCs w:val="28"/>
          <w:highlight w:val="none"/>
          <w:lang w:eastAsia="zh-CN"/>
        </w:rPr>
        <w:t>楼梯间及前室的门应向疏散方向开启。</w:t>
      </w:r>
    </w:p>
    <w:p w14:paraId="7DEB768D">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w:t>
      </w:r>
    </w:p>
    <w:p w14:paraId="03626AEF">
      <w:pPr>
        <w:pStyle w:val="46"/>
        <w:spacing w:line="360" w:lineRule="auto"/>
        <w:rPr>
          <w:rFonts w:ascii="宋体" w:hAnsi="宋体" w:cs="宋体"/>
          <w:color w:val="auto"/>
          <w:highlight w:val="none"/>
        </w:rPr>
      </w:pPr>
      <w:r>
        <w:rPr>
          <w:rFonts w:hint="eastAsia" w:ascii="宋体" w:hAnsi="宋体" w:cs="宋体"/>
          <w:color w:val="auto"/>
          <w:highlight w:val="none"/>
        </w:rPr>
        <w:t>检验数量：每个梯段各不少于三处。</w:t>
      </w:r>
    </w:p>
    <w:p w14:paraId="27A80634">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12.1.5 楼梯间及前室的门开启方向与疏散方向一致，在紧急情况时易于推开，不堵塞安全出口。要求见《住宅设计规范》GB 50096-2011。</w:t>
      </w:r>
    </w:p>
    <w:p w14:paraId="3897C950">
      <w:pPr>
        <w:pStyle w:val="4"/>
        <w:rPr>
          <w:color w:val="auto"/>
          <w:highlight w:val="none"/>
        </w:rPr>
      </w:pPr>
      <w:bookmarkStart w:id="326" w:name="_Toc22411"/>
      <w:bookmarkStart w:id="327" w:name="_Toc26467"/>
      <w:bookmarkStart w:id="328" w:name="_Toc12205"/>
      <w:bookmarkStart w:id="329" w:name="_Toc133572742"/>
      <w:bookmarkStart w:id="330" w:name="_Toc9944"/>
      <w:bookmarkStart w:id="331" w:name="_Toc121330113"/>
      <w:r>
        <w:rPr>
          <w:rFonts w:hint="eastAsia"/>
          <w:color w:val="auto"/>
          <w:highlight w:val="none"/>
        </w:rPr>
        <w:t>Ⅱ</w:t>
      </w:r>
      <w:r>
        <w:rPr>
          <w:color w:val="auto"/>
          <w:highlight w:val="none"/>
        </w:rPr>
        <w:t xml:space="preserve"> </w:t>
      </w:r>
      <w:r>
        <w:rPr>
          <w:rFonts w:hint="eastAsia"/>
          <w:color w:val="auto"/>
          <w:highlight w:val="none"/>
        </w:rPr>
        <w:t>电梯</w:t>
      </w:r>
      <w:bookmarkEnd w:id="326"/>
      <w:bookmarkEnd w:id="327"/>
      <w:bookmarkEnd w:id="328"/>
      <w:bookmarkEnd w:id="329"/>
      <w:bookmarkEnd w:id="330"/>
      <w:bookmarkEnd w:id="331"/>
    </w:p>
    <w:p w14:paraId="115B9471">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2.1.6 </w:t>
      </w:r>
      <w:r>
        <w:rPr>
          <w:rFonts w:hint="eastAsia" w:cs="宋体"/>
          <w:color w:val="auto"/>
          <w:sz w:val="28"/>
          <w:szCs w:val="28"/>
          <w:highlight w:val="none"/>
          <w:lang w:eastAsia="zh-CN"/>
        </w:rPr>
        <w:t>候梯厅深度不得小于1.5m且不应小于电梯最大轿厢的深度。</w:t>
      </w:r>
    </w:p>
    <w:p w14:paraId="6F23AD80">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2.1.6 </w:t>
      </w:r>
      <w:r>
        <w:rPr>
          <w:rFonts w:hint="eastAsia" w:cs="宋体"/>
          <w:color w:val="auto"/>
          <w:sz w:val="28"/>
          <w:szCs w:val="28"/>
          <w:highlight w:val="none"/>
          <w:shd w:val="pct10" w:color="auto" w:fill="FFFFFF"/>
          <w:lang w:eastAsia="zh-CN"/>
        </w:rPr>
        <w:t>候梯厅深度测量应从墙面装饰完成面量起。要求见《住宅设计规范》</w:t>
      </w:r>
      <w:r>
        <w:rPr>
          <w:rFonts w:cs="宋体"/>
          <w:color w:val="auto"/>
          <w:sz w:val="28"/>
          <w:szCs w:val="28"/>
          <w:highlight w:val="none"/>
          <w:shd w:val="pct10" w:color="auto" w:fill="FFFFFF"/>
          <w:lang w:eastAsia="zh-CN"/>
        </w:rPr>
        <w:t>GB 50096-2011。</w:t>
      </w:r>
    </w:p>
    <w:p w14:paraId="459F7573">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12.1.7 </w:t>
      </w:r>
      <w:r>
        <w:rPr>
          <w:rFonts w:hint="eastAsia" w:cs="宋体"/>
          <w:color w:val="auto"/>
          <w:sz w:val="28"/>
          <w:szCs w:val="28"/>
          <w:highlight w:val="none"/>
          <w:lang w:eastAsia="zh-CN"/>
        </w:rPr>
        <w:t>消防电梯前室的短边不应小于</w:t>
      </w:r>
      <w:r>
        <w:rPr>
          <w:rFonts w:cs="宋体"/>
          <w:color w:val="auto"/>
          <w:sz w:val="28"/>
          <w:szCs w:val="28"/>
          <w:highlight w:val="none"/>
          <w:lang w:eastAsia="zh-CN"/>
        </w:rPr>
        <w:t>2.4m</w:t>
      </w:r>
      <w:r>
        <w:rPr>
          <w:rFonts w:hint="eastAsia" w:cs="宋体"/>
          <w:color w:val="auto"/>
          <w:sz w:val="28"/>
          <w:szCs w:val="28"/>
          <w:highlight w:val="none"/>
          <w:lang w:eastAsia="zh-CN"/>
        </w:rPr>
        <w:t>。</w:t>
      </w:r>
    </w:p>
    <w:p w14:paraId="264C3723">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2.1.7 </w:t>
      </w:r>
      <w:r>
        <w:rPr>
          <w:rFonts w:hint="eastAsia" w:cs="宋体"/>
          <w:color w:val="auto"/>
          <w:sz w:val="28"/>
          <w:szCs w:val="28"/>
          <w:highlight w:val="none"/>
          <w:shd w:val="pct10" w:color="auto" w:fill="FFFFFF"/>
          <w:lang w:eastAsia="zh-CN"/>
        </w:rPr>
        <w:t>消防电梯前室的短边应从墙面装饰完成面量起，如有突出物应从突出部分外缘量起。要求见《建筑设计防火规范》</w:t>
      </w:r>
      <w:r>
        <w:rPr>
          <w:rFonts w:cs="宋体"/>
          <w:color w:val="auto"/>
          <w:sz w:val="28"/>
          <w:szCs w:val="28"/>
          <w:highlight w:val="none"/>
          <w:shd w:val="pct10" w:color="auto" w:fill="FFFFFF"/>
          <w:lang w:eastAsia="zh-CN"/>
        </w:rPr>
        <w:t>(附条文说明)(附2018年局部修订) GB 50016-2014</w:t>
      </w:r>
      <w:r>
        <w:rPr>
          <w:rFonts w:hint="eastAsia" w:cs="宋体"/>
          <w:color w:val="auto"/>
          <w:sz w:val="28"/>
          <w:szCs w:val="28"/>
          <w:highlight w:val="none"/>
          <w:shd w:val="pct10" w:color="auto" w:fill="FFFFFF"/>
          <w:lang w:eastAsia="zh-CN"/>
        </w:rPr>
        <w:t>。</w:t>
      </w:r>
    </w:p>
    <w:p w14:paraId="579102DE">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12.1.8 </w:t>
      </w:r>
      <w:r>
        <w:rPr>
          <w:rFonts w:hint="eastAsia" w:cs="宋体"/>
          <w:color w:val="auto"/>
          <w:sz w:val="28"/>
          <w:szCs w:val="28"/>
          <w:highlight w:val="none"/>
          <w:lang w:eastAsia="zh-CN"/>
        </w:rPr>
        <w:t>担架电梯应满足担架通过要求。</w:t>
      </w:r>
    </w:p>
    <w:p w14:paraId="181B54C9">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2.1.8 </w:t>
      </w:r>
      <w:r>
        <w:rPr>
          <w:rFonts w:hint="eastAsia" w:cs="宋体"/>
          <w:color w:val="auto"/>
          <w:sz w:val="28"/>
          <w:szCs w:val="28"/>
          <w:highlight w:val="none"/>
          <w:shd w:val="pct10" w:color="auto" w:fill="FFFFFF"/>
          <w:lang w:eastAsia="zh-CN"/>
        </w:rPr>
        <w:t>担架电梯需通过模拟担架进出检验可使用性。设置要求见《住宅设计规范》</w:t>
      </w:r>
      <w:r>
        <w:rPr>
          <w:rFonts w:cs="宋体"/>
          <w:color w:val="auto"/>
          <w:sz w:val="28"/>
          <w:szCs w:val="28"/>
          <w:highlight w:val="none"/>
          <w:shd w:val="pct10" w:color="auto" w:fill="FFFFFF"/>
          <w:lang w:eastAsia="zh-CN"/>
        </w:rPr>
        <w:t>GB 50096-2011</w:t>
      </w:r>
      <w:r>
        <w:rPr>
          <w:rFonts w:hint="eastAsia" w:cs="宋体"/>
          <w:color w:val="auto"/>
          <w:sz w:val="28"/>
          <w:szCs w:val="28"/>
          <w:highlight w:val="none"/>
          <w:shd w:val="pct10" w:color="auto" w:fill="FFFFFF"/>
          <w:lang w:eastAsia="zh-CN"/>
        </w:rPr>
        <w:t>。</w:t>
      </w:r>
    </w:p>
    <w:p w14:paraId="721A2389">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2.1.9 </w:t>
      </w:r>
      <w:r>
        <w:rPr>
          <w:rFonts w:hint="eastAsia" w:cs="宋体"/>
          <w:color w:val="auto"/>
          <w:sz w:val="28"/>
          <w:szCs w:val="28"/>
          <w:highlight w:val="none"/>
          <w:lang w:eastAsia="zh-CN"/>
        </w:rPr>
        <w:t>至少一部电梯为无障碍电梯。无障碍电梯的轿厢应符合无障碍电梯设计要求。</w:t>
      </w:r>
    </w:p>
    <w:p w14:paraId="7A9E638E">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2.1.9 </w:t>
      </w:r>
      <w:r>
        <w:rPr>
          <w:rFonts w:hint="eastAsia" w:cs="宋体"/>
          <w:color w:val="auto"/>
          <w:sz w:val="28"/>
          <w:szCs w:val="28"/>
          <w:highlight w:val="none"/>
          <w:shd w:val="pct10" w:color="auto" w:fill="FFFFFF"/>
          <w:lang w:eastAsia="zh-CN"/>
        </w:rPr>
        <w:t>无障碍电梯轿厢应满足下列规定：</w:t>
      </w:r>
    </w:p>
    <w:p w14:paraId="246AD4C6">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1 </w:t>
      </w:r>
      <w:r>
        <w:rPr>
          <w:rFonts w:hint="eastAsia" w:ascii="宋体" w:hAnsi="宋体" w:eastAsia="宋体" w:cs="宋体"/>
          <w:color w:val="auto"/>
          <w:kern w:val="0"/>
          <w:sz w:val="28"/>
          <w:szCs w:val="28"/>
          <w:highlight w:val="none"/>
          <w:shd w:val="pct10" w:color="auto" w:fill="FFFFFF"/>
        </w:rPr>
        <w:t>在轿厢的侧壁上应设高0.90m</w:t>
      </w:r>
      <w:r>
        <w:rPr>
          <w:rFonts w:ascii="宋体" w:hAnsi="宋体" w:eastAsia="宋体" w:cs="宋体"/>
          <w:color w:val="auto"/>
          <w:kern w:val="0"/>
          <w:sz w:val="28"/>
          <w:szCs w:val="28"/>
          <w:highlight w:val="none"/>
          <w:shd w:val="pct10" w:color="auto" w:fill="FFFFFF"/>
        </w:rPr>
        <w:t>～</w:t>
      </w:r>
      <w:r>
        <w:rPr>
          <w:rFonts w:hint="eastAsia" w:ascii="宋体" w:hAnsi="宋体" w:eastAsia="宋体" w:cs="宋体"/>
          <w:color w:val="auto"/>
          <w:kern w:val="0"/>
          <w:sz w:val="28"/>
          <w:szCs w:val="28"/>
          <w:highlight w:val="none"/>
          <w:shd w:val="pct10" w:color="auto" w:fill="FFFFFF"/>
        </w:rPr>
        <w:t>1.10m带盲文的选层按钮，盲文宜设置于按钮旁；</w:t>
      </w:r>
    </w:p>
    <w:p w14:paraId="562A8A73">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2 </w:t>
      </w:r>
      <w:r>
        <w:rPr>
          <w:rFonts w:hint="eastAsia" w:ascii="宋体" w:hAnsi="宋体" w:eastAsia="宋体" w:cs="宋体"/>
          <w:color w:val="auto"/>
          <w:kern w:val="0"/>
          <w:sz w:val="28"/>
          <w:szCs w:val="28"/>
          <w:highlight w:val="none"/>
          <w:shd w:val="pct10" w:color="auto" w:fill="FFFFFF"/>
        </w:rPr>
        <w:t>轿厢的三面壁上应设高0.85m</w:t>
      </w:r>
      <w:r>
        <w:rPr>
          <w:rFonts w:ascii="宋体" w:hAnsi="宋体" w:eastAsia="宋体" w:cs="宋体"/>
          <w:color w:val="auto"/>
          <w:kern w:val="0"/>
          <w:sz w:val="28"/>
          <w:szCs w:val="28"/>
          <w:highlight w:val="none"/>
          <w:shd w:val="pct10" w:color="auto" w:fill="FFFFFF"/>
        </w:rPr>
        <w:t>～</w:t>
      </w:r>
      <w:r>
        <w:rPr>
          <w:rFonts w:hint="eastAsia" w:ascii="宋体" w:hAnsi="宋体" w:eastAsia="宋体" w:cs="宋体"/>
          <w:color w:val="auto"/>
          <w:kern w:val="0"/>
          <w:sz w:val="28"/>
          <w:szCs w:val="28"/>
          <w:highlight w:val="none"/>
          <w:shd w:val="pct10" w:color="auto" w:fill="FFFFFF"/>
        </w:rPr>
        <w:t>0.90m扶手；</w:t>
      </w:r>
    </w:p>
    <w:p w14:paraId="78B9856E">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3 </w:t>
      </w:r>
      <w:r>
        <w:rPr>
          <w:rFonts w:hint="eastAsia" w:ascii="宋体" w:hAnsi="宋体" w:eastAsia="宋体" w:cs="宋体"/>
          <w:color w:val="auto"/>
          <w:kern w:val="0"/>
          <w:sz w:val="28"/>
          <w:szCs w:val="28"/>
          <w:highlight w:val="none"/>
          <w:shd w:val="pct10" w:color="auto" w:fill="FFFFFF"/>
        </w:rPr>
        <w:t>轿厢内应设电梯运行显示装置和报层音响；</w:t>
      </w:r>
    </w:p>
    <w:p w14:paraId="3F675F49">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4 </w:t>
      </w:r>
      <w:r>
        <w:rPr>
          <w:rFonts w:hint="eastAsia" w:ascii="宋体" w:hAnsi="宋体" w:eastAsia="宋体" w:cs="宋体"/>
          <w:color w:val="auto"/>
          <w:kern w:val="0"/>
          <w:sz w:val="28"/>
          <w:szCs w:val="28"/>
          <w:highlight w:val="none"/>
          <w:shd w:val="pct10" w:color="auto" w:fill="FFFFFF"/>
        </w:rPr>
        <w:t>轿厢正面高0.90m处至顶部应安装镜子或采用有镜面效果的材料；</w:t>
      </w:r>
    </w:p>
    <w:p w14:paraId="0923B96B">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5 </w:t>
      </w:r>
      <w:r>
        <w:rPr>
          <w:rFonts w:hint="eastAsia" w:ascii="宋体" w:hAnsi="宋体" w:eastAsia="宋体" w:cs="宋体"/>
          <w:color w:val="auto"/>
          <w:kern w:val="0"/>
          <w:sz w:val="28"/>
          <w:szCs w:val="28"/>
          <w:highlight w:val="none"/>
          <w:shd w:val="pct10" w:color="auto" w:fill="FFFFFF"/>
        </w:rPr>
        <w:t>电梯位置应设无障碍标志。</w:t>
      </w:r>
    </w:p>
    <w:p w14:paraId="48EAFCA7">
      <w:pPr>
        <w:spacing w:before="115" w:line="360" w:lineRule="auto"/>
        <w:ind w:firstLine="560" w:firstLineChars="200"/>
        <w:jc w:val="left"/>
        <w:rPr>
          <w:rFonts w:hint="eastAsia" w:ascii="宋体" w:hAnsi="宋体" w:eastAsia="宋体" w:cs="宋体"/>
          <w:color w:val="auto"/>
          <w:kern w:val="0"/>
          <w:sz w:val="28"/>
          <w:szCs w:val="28"/>
          <w:highlight w:val="none"/>
          <w:shd w:val="pct10" w:color="auto" w:fill="FFFFFF"/>
          <w:lang w:val="en-US" w:eastAsia="zh-CN"/>
        </w:rPr>
      </w:pPr>
      <w:r>
        <w:rPr>
          <w:rFonts w:hint="eastAsia" w:ascii="宋体" w:hAnsi="宋体" w:eastAsia="宋体" w:cs="宋体"/>
          <w:color w:val="auto"/>
          <w:kern w:val="0"/>
          <w:sz w:val="28"/>
          <w:szCs w:val="28"/>
          <w:highlight w:val="none"/>
          <w:shd w:val="pct10" w:color="auto" w:fill="FFFFFF"/>
        </w:rPr>
        <w:t>设置要求见《无障碍设计规范》</w:t>
      </w:r>
      <w:r>
        <w:rPr>
          <w:rFonts w:ascii="宋体" w:hAnsi="宋体" w:eastAsia="宋体" w:cs="宋体"/>
          <w:color w:val="auto"/>
          <w:kern w:val="0"/>
          <w:sz w:val="28"/>
          <w:szCs w:val="28"/>
          <w:highlight w:val="none"/>
          <w:shd w:val="pct10" w:color="auto" w:fill="FFFFFF"/>
        </w:rPr>
        <w:t>GB 50763-2012</w:t>
      </w:r>
      <w:r>
        <w:rPr>
          <w:rFonts w:hint="eastAsia" w:ascii="宋体" w:hAnsi="宋体" w:eastAsia="宋体" w:cs="宋体"/>
          <w:color w:val="auto"/>
          <w:kern w:val="0"/>
          <w:sz w:val="28"/>
          <w:szCs w:val="28"/>
          <w:highlight w:val="none"/>
          <w:shd w:val="pct10" w:color="auto" w:fill="FFFFFF"/>
          <w:lang w:val="en-US" w:eastAsia="zh-CN"/>
        </w:rPr>
        <w:t>。</w:t>
      </w:r>
    </w:p>
    <w:p w14:paraId="683E3B63">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2.1.10 </w:t>
      </w:r>
      <w:r>
        <w:rPr>
          <w:rFonts w:hint="eastAsia" w:cs="宋体"/>
          <w:color w:val="auto"/>
          <w:sz w:val="28"/>
          <w:szCs w:val="28"/>
          <w:highlight w:val="none"/>
          <w:lang w:eastAsia="zh-CN"/>
        </w:rPr>
        <w:t>无障碍电梯门净宽不得小于</w:t>
      </w:r>
      <w:r>
        <w:rPr>
          <w:rFonts w:cs="宋体"/>
          <w:color w:val="auto"/>
          <w:sz w:val="28"/>
          <w:szCs w:val="28"/>
          <w:highlight w:val="none"/>
          <w:lang w:eastAsia="zh-CN"/>
        </w:rPr>
        <w:t>0.9m</w:t>
      </w:r>
      <w:r>
        <w:rPr>
          <w:rFonts w:hint="eastAsia" w:cs="宋体"/>
          <w:color w:val="auto"/>
          <w:sz w:val="28"/>
          <w:szCs w:val="28"/>
          <w:highlight w:val="none"/>
          <w:lang w:eastAsia="zh-CN"/>
        </w:rPr>
        <w:t>。</w:t>
      </w:r>
    </w:p>
    <w:p w14:paraId="2386D55A">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2.1.</w:t>
      </w:r>
      <w:r>
        <w:rPr>
          <w:rFonts w:hint="eastAsia" w:cs="宋体"/>
          <w:color w:val="auto"/>
          <w:sz w:val="28"/>
          <w:szCs w:val="28"/>
          <w:highlight w:val="none"/>
          <w:shd w:val="pct10" w:color="auto" w:fill="FFFFFF"/>
          <w:lang w:eastAsia="zh-CN"/>
        </w:rPr>
        <w:t>10无障碍电梯门宽要求见</w:t>
      </w:r>
      <w:r>
        <w:rPr>
          <w:rFonts w:cs="宋体"/>
          <w:color w:val="auto"/>
          <w:sz w:val="28"/>
          <w:szCs w:val="28"/>
          <w:highlight w:val="none"/>
          <w:shd w:val="pct10" w:color="auto" w:fill="FFFFFF"/>
          <w:lang w:eastAsia="zh-CN"/>
        </w:rPr>
        <w:t>《建筑与市政工程无障碍通用规范》</w:t>
      </w:r>
    </w:p>
    <w:p w14:paraId="7DC25E34">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GB 55019-2021</w:t>
      </w:r>
      <w:r>
        <w:rPr>
          <w:rFonts w:hint="eastAsia" w:cs="宋体"/>
          <w:color w:val="auto"/>
          <w:sz w:val="28"/>
          <w:szCs w:val="28"/>
          <w:highlight w:val="none"/>
          <w:shd w:val="pct10" w:color="auto" w:fill="FFFFFF"/>
          <w:lang w:eastAsia="zh-CN"/>
        </w:rPr>
        <w:t>。</w:t>
      </w:r>
    </w:p>
    <w:p w14:paraId="72478B84">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2.1.11 </w:t>
      </w:r>
      <w:r>
        <w:rPr>
          <w:rFonts w:hint="eastAsia" w:cs="宋体"/>
          <w:color w:val="auto"/>
          <w:sz w:val="28"/>
          <w:szCs w:val="28"/>
          <w:highlight w:val="none"/>
          <w:lang w:eastAsia="zh-CN"/>
        </w:rPr>
        <w:t>无障碍电梯呼叫按钮前应设置提示盲道。</w:t>
      </w:r>
    </w:p>
    <w:p w14:paraId="0E414D1F">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检验方法：测量尺寸是否符合要求；担架电梯门洞通过性能检查，选取首层及标准层模拟担架进出。无障碍电梯设施及无障碍标志设置要求目测。</w:t>
      </w:r>
    </w:p>
    <w:p w14:paraId="57747FC8">
      <w:pPr>
        <w:pStyle w:val="46"/>
        <w:spacing w:line="360" w:lineRule="auto"/>
        <w:rPr>
          <w:rFonts w:ascii="宋体" w:hAnsi="宋体" w:cs="宋体"/>
          <w:color w:val="auto"/>
          <w:highlight w:val="none"/>
        </w:rPr>
      </w:pPr>
      <w:r>
        <w:rPr>
          <w:rFonts w:hint="eastAsia" w:ascii="宋体" w:hAnsi="宋体" w:cs="宋体"/>
          <w:color w:val="auto"/>
          <w:highlight w:val="none"/>
        </w:rPr>
        <w:t>检验数量：每层各不少于三处。担架电梯进出选取首层及标准层检验。</w:t>
      </w:r>
    </w:p>
    <w:p w14:paraId="7197EA4A">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【条文说明】12.1.11</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无障碍电梯呼叫按钮前设提示盲道，方便视觉障碍者呼叫电梯。盲道应尽量避开进出电梯的主要通道以保证乘轮椅者和老年人的通行顺畅。要求见</w:t>
      </w:r>
      <w:r>
        <w:rPr>
          <w:rFonts w:cs="宋体"/>
          <w:color w:val="auto"/>
          <w:sz w:val="28"/>
          <w:szCs w:val="28"/>
          <w:highlight w:val="none"/>
          <w:shd w:val="pct10" w:color="auto" w:fill="FFFFFF"/>
          <w:lang w:eastAsia="zh-CN"/>
        </w:rPr>
        <w:t>《建筑与市政工程无障碍通用规范》GB 55019-2021。</w:t>
      </w:r>
    </w:p>
    <w:p w14:paraId="31485C19">
      <w:pPr>
        <w:pStyle w:val="4"/>
        <w:rPr>
          <w:color w:val="auto"/>
          <w:highlight w:val="none"/>
        </w:rPr>
      </w:pPr>
      <w:bookmarkStart w:id="332" w:name="_Toc3649"/>
      <w:bookmarkStart w:id="333" w:name="_Toc19355"/>
      <w:bookmarkStart w:id="334" w:name="_Toc18345"/>
      <w:bookmarkStart w:id="335" w:name="_Toc133572743"/>
      <w:bookmarkStart w:id="336" w:name="_Toc121330114"/>
      <w:bookmarkStart w:id="337" w:name="_Toc30999"/>
      <w:r>
        <w:rPr>
          <w:rFonts w:hint="eastAsia"/>
          <w:color w:val="auto"/>
          <w:highlight w:val="none"/>
        </w:rPr>
        <w:t>Ⅲ</w:t>
      </w:r>
      <w:r>
        <w:rPr>
          <w:color w:val="auto"/>
          <w:highlight w:val="none"/>
        </w:rPr>
        <w:t xml:space="preserve"> </w:t>
      </w:r>
      <w:r>
        <w:rPr>
          <w:rFonts w:hint="eastAsia"/>
          <w:color w:val="auto"/>
          <w:highlight w:val="none"/>
        </w:rPr>
        <w:t>公用走道</w:t>
      </w:r>
      <w:bookmarkEnd w:id="332"/>
      <w:bookmarkEnd w:id="333"/>
      <w:bookmarkEnd w:id="334"/>
      <w:bookmarkEnd w:id="335"/>
      <w:bookmarkEnd w:id="336"/>
      <w:bookmarkEnd w:id="337"/>
    </w:p>
    <w:p w14:paraId="1E53E10C">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2.1.12 </w:t>
      </w:r>
      <w:r>
        <w:rPr>
          <w:rFonts w:hint="eastAsia" w:cs="宋体"/>
          <w:color w:val="auto"/>
          <w:sz w:val="28"/>
          <w:szCs w:val="28"/>
          <w:highlight w:val="none"/>
          <w:lang w:eastAsia="zh-CN"/>
        </w:rPr>
        <w:t>走廊和公共部位通道的净宽不小于1.2m。</w:t>
      </w:r>
    </w:p>
    <w:p w14:paraId="1E5C2765">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12.1.12公用走道宽度应从墙面装饰完成面量起。要求见《住宅设计规范》GB 50096-2011。</w:t>
      </w:r>
    </w:p>
    <w:p w14:paraId="04D1974F">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12.1.13 </w:t>
      </w:r>
      <w:r>
        <w:rPr>
          <w:rFonts w:hint="eastAsia" w:cs="宋体"/>
          <w:color w:val="auto"/>
          <w:sz w:val="28"/>
          <w:szCs w:val="28"/>
          <w:highlight w:val="none"/>
          <w:lang w:eastAsia="zh-CN"/>
        </w:rPr>
        <w:t>公用走道净高度不应低于</w:t>
      </w:r>
      <w:r>
        <w:rPr>
          <w:rFonts w:cs="宋体"/>
          <w:color w:val="auto"/>
          <w:sz w:val="28"/>
          <w:szCs w:val="28"/>
          <w:highlight w:val="none"/>
          <w:lang w:eastAsia="zh-CN"/>
        </w:rPr>
        <w:t>2.10m</w:t>
      </w:r>
      <w:r>
        <w:rPr>
          <w:rFonts w:hint="eastAsia" w:cs="宋体"/>
          <w:color w:val="auto"/>
          <w:sz w:val="28"/>
          <w:szCs w:val="28"/>
          <w:highlight w:val="none"/>
          <w:lang w:eastAsia="zh-CN"/>
        </w:rPr>
        <w:t>。</w:t>
      </w:r>
    </w:p>
    <w:p w14:paraId="4C4F8C6A">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w:t>
      </w:r>
    </w:p>
    <w:p w14:paraId="5109983E">
      <w:pPr>
        <w:pStyle w:val="46"/>
        <w:spacing w:line="360" w:lineRule="auto"/>
        <w:rPr>
          <w:rFonts w:ascii="宋体" w:hAnsi="宋体" w:cs="宋体"/>
          <w:color w:val="auto"/>
          <w:highlight w:val="none"/>
        </w:rPr>
      </w:pPr>
      <w:r>
        <w:rPr>
          <w:rFonts w:hint="eastAsia" w:ascii="宋体" w:hAnsi="宋体" w:cs="宋体"/>
          <w:color w:val="auto"/>
          <w:highlight w:val="none"/>
        </w:rPr>
        <w:t>检验数量：通道的宽度，公用走道净高每</w:t>
      </w:r>
      <w:r>
        <w:rPr>
          <w:rFonts w:ascii="宋体" w:hAnsi="宋体" w:cs="宋体"/>
          <w:color w:val="auto"/>
          <w:highlight w:val="none"/>
        </w:rPr>
        <w:t>10延米检查1处</w:t>
      </w:r>
      <w:r>
        <w:rPr>
          <w:rFonts w:hint="eastAsia" w:ascii="宋体" w:hAnsi="宋体" w:cs="宋体"/>
          <w:color w:val="auto"/>
          <w:highlight w:val="none"/>
        </w:rPr>
        <w:t>。</w:t>
      </w:r>
    </w:p>
    <w:p w14:paraId="5C83E80E">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12.1.13 公用走道高度应测量从地面完成面到上方突出物下缘间的垂直高度。住宅公用走道通常兼具安全疏散通道的功能。要求见《建筑防火通用规范》GB 55037-2022。</w:t>
      </w:r>
    </w:p>
    <w:p w14:paraId="65E812B7">
      <w:pPr>
        <w:pStyle w:val="4"/>
        <w:rPr>
          <w:color w:val="auto"/>
          <w:highlight w:val="none"/>
        </w:rPr>
      </w:pPr>
      <w:bookmarkStart w:id="338" w:name="_Toc20351"/>
      <w:bookmarkStart w:id="339" w:name="_Toc133572744"/>
      <w:bookmarkStart w:id="340" w:name="_Toc10297"/>
      <w:bookmarkStart w:id="341" w:name="_Toc27884"/>
      <w:bookmarkStart w:id="342" w:name="_Toc25431"/>
      <w:bookmarkStart w:id="343" w:name="_Toc121330115"/>
      <w:r>
        <w:rPr>
          <w:rFonts w:hint="eastAsia"/>
          <w:color w:val="auto"/>
          <w:highlight w:val="none"/>
        </w:rPr>
        <w:t>Ⅳ</w:t>
      </w:r>
      <w:r>
        <w:rPr>
          <w:color w:val="auto"/>
          <w:highlight w:val="none"/>
        </w:rPr>
        <w:t xml:space="preserve"> </w:t>
      </w:r>
      <w:r>
        <w:rPr>
          <w:rFonts w:hint="eastAsia"/>
          <w:color w:val="auto"/>
          <w:highlight w:val="none"/>
        </w:rPr>
        <w:t>入口门厅及首层疏散外门</w:t>
      </w:r>
      <w:bookmarkEnd w:id="338"/>
      <w:bookmarkEnd w:id="339"/>
      <w:bookmarkEnd w:id="340"/>
      <w:bookmarkEnd w:id="341"/>
      <w:bookmarkEnd w:id="342"/>
      <w:bookmarkEnd w:id="343"/>
    </w:p>
    <w:p w14:paraId="6D42D05D">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2.1.14 </w:t>
      </w:r>
      <w:r>
        <w:rPr>
          <w:rFonts w:hint="eastAsia" w:cs="宋体"/>
          <w:color w:val="auto"/>
          <w:sz w:val="28"/>
          <w:szCs w:val="28"/>
          <w:highlight w:val="none"/>
          <w:lang w:eastAsia="zh-CN"/>
        </w:rPr>
        <w:t>出入口门厅、电梯厅地面至顶棚净高不应低于2.40</w:t>
      </w:r>
      <w:r>
        <w:rPr>
          <w:rFonts w:cs="宋体"/>
          <w:color w:val="auto"/>
          <w:sz w:val="28"/>
          <w:szCs w:val="28"/>
          <w:highlight w:val="none"/>
          <w:lang w:eastAsia="zh-CN"/>
        </w:rPr>
        <w:t>m</w:t>
      </w:r>
      <w:r>
        <w:rPr>
          <w:rFonts w:hint="eastAsia" w:cs="宋体"/>
          <w:color w:val="auto"/>
          <w:sz w:val="28"/>
          <w:szCs w:val="28"/>
          <w:highlight w:val="none"/>
          <w:lang w:eastAsia="zh-CN"/>
        </w:rPr>
        <w:t>。</w:t>
      </w:r>
    </w:p>
    <w:p w14:paraId="2BED3D84">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12.1.14 出入口门厅高度应测量从地面完成面到上方突出物下缘间的垂直高度。要求见《住宅室内装饰装修设计规范》JGJ 367-2015。</w:t>
      </w:r>
    </w:p>
    <w:p w14:paraId="3EF3E5B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12.1.15 </w:t>
      </w:r>
      <w:r>
        <w:rPr>
          <w:rFonts w:hint="eastAsia" w:cs="宋体"/>
          <w:color w:val="auto"/>
          <w:sz w:val="28"/>
          <w:szCs w:val="28"/>
          <w:highlight w:val="none"/>
          <w:lang w:eastAsia="zh-CN"/>
        </w:rPr>
        <w:t>位于阳台、外廊及开敞楼梯平台下部的公共出入口，应采取防止物体坠落伤人的安全措施。</w:t>
      </w:r>
    </w:p>
    <w:p w14:paraId="386EDA56">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12.1.15 公共出入口可采取设置雨棚等安全措施，防止从阳台、外廊及开敞楼梯平台坠落物品伤人。高层住宅出入口上方应设置宽度不小于1.00米的防护挑檐。要求见</w:t>
      </w:r>
      <w:bookmarkStart w:id="344" w:name="_Hlk133509151"/>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bookmarkEnd w:id="344"/>
      <w:r>
        <w:rPr>
          <w:rFonts w:cs="宋体"/>
          <w:color w:val="auto"/>
          <w:sz w:val="28"/>
          <w:szCs w:val="28"/>
          <w:highlight w:val="none"/>
          <w:shd w:val="pct10" w:color="auto" w:fill="FFFFFF"/>
          <w:lang w:eastAsia="zh-CN"/>
        </w:rPr>
        <w:t>、《住宅设计规范》GB 50096-2011。</w:t>
      </w:r>
    </w:p>
    <w:p w14:paraId="225E6FD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12.1.16 </w:t>
      </w:r>
      <w:r>
        <w:rPr>
          <w:rFonts w:hint="eastAsia" w:cs="宋体"/>
          <w:color w:val="auto"/>
          <w:sz w:val="28"/>
          <w:szCs w:val="28"/>
          <w:highlight w:val="none"/>
          <w:lang w:eastAsia="zh-CN"/>
        </w:rPr>
        <w:t>公共出入口处应有标识。</w:t>
      </w:r>
    </w:p>
    <w:p w14:paraId="4A1DBE30">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12.1.16 公共出入口标识包括建筑装饰、建筑小品、单元门派编号等，方便住户易于识别自己的家门。要求见《住宅设计规范》GB 50096-2011。</w:t>
      </w:r>
    </w:p>
    <w:p w14:paraId="0FAE6FFC">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12.1.17 </w:t>
      </w:r>
      <w:r>
        <w:rPr>
          <w:rFonts w:hint="eastAsia" w:cs="宋体"/>
          <w:color w:val="auto"/>
          <w:sz w:val="28"/>
          <w:szCs w:val="28"/>
          <w:highlight w:val="none"/>
          <w:lang w:eastAsia="zh-CN"/>
        </w:rPr>
        <w:t>安装有门禁系统的外门，应保证火灾时不需使用钥匙等任何工具即能从内部易于打开并在显著位置设置具有使用提示的标识。</w:t>
      </w:r>
    </w:p>
    <w:p w14:paraId="53F9DD53">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12.1.17 住宅如有门禁系统，在发生紧急情况时，需要能快速方便地打开，便于住户疏散。要求见</w:t>
      </w:r>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p>
    <w:p w14:paraId="708C207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12.1.18 </w:t>
      </w:r>
      <w:r>
        <w:rPr>
          <w:rFonts w:hint="eastAsia" w:cs="宋体"/>
          <w:color w:val="auto"/>
          <w:sz w:val="28"/>
          <w:szCs w:val="28"/>
          <w:highlight w:val="none"/>
          <w:lang w:eastAsia="zh-CN"/>
        </w:rPr>
        <w:t>首层疏散门应外开，其净宽度不应小于</w:t>
      </w:r>
      <w:r>
        <w:rPr>
          <w:rFonts w:cs="宋体"/>
          <w:color w:val="auto"/>
          <w:sz w:val="28"/>
          <w:szCs w:val="28"/>
          <w:highlight w:val="none"/>
          <w:lang w:eastAsia="zh-CN"/>
        </w:rPr>
        <w:t>1.10m</w:t>
      </w:r>
      <w:r>
        <w:rPr>
          <w:rFonts w:hint="eastAsia" w:cs="宋体"/>
          <w:color w:val="auto"/>
          <w:sz w:val="28"/>
          <w:szCs w:val="28"/>
          <w:highlight w:val="none"/>
          <w:lang w:eastAsia="zh-CN"/>
        </w:rPr>
        <w:t>。</w:t>
      </w:r>
    </w:p>
    <w:p w14:paraId="4071DEA7">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检验方法：测量尺寸是否符合要求。防坠落设施、出入口标识设置要求目测。门禁系统设置要求模拟对门禁系统断电测试是否能无工具从内开启。</w:t>
      </w:r>
    </w:p>
    <w:p w14:paraId="388C3047">
      <w:pPr>
        <w:pStyle w:val="46"/>
        <w:spacing w:line="360" w:lineRule="auto"/>
        <w:rPr>
          <w:rFonts w:ascii="宋体" w:hAnsi="宋体" w:cs="宋体"/>
          <w:color w:val="auto"/>
          <w:highlight w:val="none"/>
        </w:rPr>
      </w:pPr>
      <w:r>
        <w:rPr>
          <w:rFonts w:hint="eastAsia" w:ascii="宋体" w:hAnsi="宋体" w:cs="宋体"/>
          <w:color w:val="auto"/>
          <w:highlight w:val="none"/>
        </w:rPr>
        <w:t>检验数量：首层疏散外门宽度逐个检查，门厅净高每个空间不少于三处。</w:t>
      </w:r>
    </w:p>
    <w:p w14:paraId="2D03F709">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12.1.18 首层疏散外门的净宽度测量，应在门扇开启后，测量可通行的净宽度。要求见</w:t>
      </w:r>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r>
        <w:rPr>
          <w:rFonts w:hint="eastAsia" w:cs="宋体"/>
          <w:color w:val="auto"/>
          <w:sz w:val="28"/>
          <w:szCs w:val="28"/>
          <w:highlight w:val="none"/>
          <w:shd w:val="pct10" w:color="auto" w:fill="FFFFFF"/>
          <w:lang w:eastAsia="zh-CN"/>
        </w:rPr>
        <w:t>。</w:t>
      </w:r>
    </w:p>
    <w:p w14:paraId="4C3B89C0">
      <w:pPr>
        <w:pStyle w:val="3"/>
        <w:spacing w:before="240" w:after="240"/>
        <w:rPr>
          <w:rStyle w:val="43"/>
          <w:rFonts w:ascii="仿宋" w:hAnsi="仿宋" w:cs="宋体"/>
          <w:b/>
          <w:bCs w:val="0"/>
          <w:color w:val="auto"/>
          <w:highlight w:val="none"/>
        </w:rPr>
      </w:pPr>
      <w:bookmarkStart w:id="345" w:name="_Toc18280"/>
      <w:bookmarkStart w:id="346" w:name="_Toc133572745"/>
      <w:bookmarkStart w:id="347" w:name="_Toc606"/>
      <w:bookmarkStart w:id="348" w:name="_Toc24145"/>
      <w:bookmarkStart w:id="349" w:name="_Toc26157"/>
      <w:bookmarkStart w:id="350" w:name="_Toc13283"/>
      <w:bookmarkStart w:id="351" w:name="_Toc7781"/>
      <w:r>
        <w:rPr>
          <w:rStyle w:val="43"/>
          <w:rFonts w:ascii="仿宋" w:hAnsi="仿宋" w:cs="宋体"/>
          <w:b/>
          <w:bCs w:val="0"/>
          <w:color w:val="auto"/>
          <w:highlight w:val="none"/>
        </w:rPr>
        <w:t xml:space="preserve">12.2 </w:t>
      </w:r>
      <w:r>
        <w:rPr>
          <w:rStyle w:val="43"/>
          <w:rFonts w:hint="eastAsia" w:ascii="仿宋" w:hAnsi="仿宋" w:cs="宋体"/>
          <w:b/>
          <w:bCs w:val="0"/>
          <w:color w:val="auto"/>
          <w:highlight w:val="none"/>
        </w:rPr>
        <w:t>地下室及屋面部分</w:t>
      </w:r>
      <w:bookmarkEnd w:id="345"/>
      <w:bookmarkEnd w:id="346"/>
      <w:bookmarkEnd w:id="347"/>
      <w:bookmarkEnd w:id="348"/>
      <w:bookmarkEnd w:id="349"/>
      <w:bookmarkEnd w:id="350"/>
      <w:bookmarkEnd w:id="351"/>
    </w:p>
    <w:p w14:paraId="1290201B">
      <w:pPr>
        <w:pStyle w:val="4"/>
        <w:rPr>
          <w:color w:val="auto"/>
          <w:highlight w:val="none"/>
        </w:rPr>
      </w:pPr>
      <w:bookmarkStart w:id="352" w:name="_Toc4360"/>
      <w:bookmarkStart w:id="353" w:name="_Toc16858"/>
      <w:bookmarkStart w:id="354" w:name="_Toc28692"/>
      <w:bookmarkStart w:id="355" w:name="_Toc133572746"/>
      <w:bookmarkStart w:id="356" w:name="_Toc29220"/>
      <w:bookmarkStart w:id="357" w:name="_Toc121330117"/>
      <w:r>
        <w:rPr>
          <w:rFonts w:hint="eastAsia"/>
          <w:color w:val="auto"/>
          <w:highlight w:val="none"/>
        </w:rPr>
        <w:t>Ⅰ 地下室</w:t>
      </w:r>
      <w:bookmarkEnd w:id="352"/>
      <w:bookmarkEnd w:id="353"/>
      <w:bookmarkEnd w:id="354"/>
      <w:bookmarkEnd w:id="355"/>
      <w:bookmarkEnd w:id="356"/>
      <w:bookmarkEnd w:id="357"/>
    </w:p>
    <w:p w14:paraId="12444983">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2.2.1 </w:t>
      </w:r>
      <w:r>
        <w:rPr>
          <w:rFonts w:hint="eastAsia" w:cs="宋体"/>
          <w:color w:val="auto"/>
          <w:sz w:val="28"/>
          <w:szCs w:val="28"/>
          <w:highlight w:val="none"/>
          <w:lang w:eastAsia="zh-CN"/>
        </w:rPr>
        <w:t>人行通道、自行车库和设备用房的净高度不小于</w:t>
      </w:r>
      <w:r>
        <w:rPr>
          <w:rFonts w:cs="宋体"/>
          <w:color w:val="auto"/>
          <w:sz w:val="28"/>
          <w:szCs w:val="28"/>
          <w:highlight w:val="none"/>
          <w:lang w:eastAsia="zh-CN"/>
        </w:rPr>
        <w:t>2.10m</w:t>
      </w:r>
      <w:r>
        <w:rPr>
          <w:rFonts w:hint="eastAsia" w:cs="宋体"/>
          <w:color w:val="auto"/>
          <w:sz w:val="28"/>
          <w:szCs w:val="28"/>
          <w:highlight w:val="none"/>
          <w:lang w:eastAsia="zh-CN"/>
        </w:rPr>
        <w:t>。</w:t>
      </w:r>
    </w:p>
    <w:p w14:paraId="298DDB22">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12.2.1 应测量从楼地面层完成面，到吊顶、设备管道、梁及其他构件底面之间的有效使用空间的垂直高度。净高要求见《建筑防火通用规范》GB 55037-2022。</w:t>
      </w:r>
    </w:p>
    <w:p w14:paraId="3B9346DB">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12.2.2 </w:t>
      </w:r>
      <w:r>
        <w:rPr>
          <w:rFonts w:hint="eastAsia" w:cs="宋体"/>
          <w:color w:val="auto"/>
          <w:sz w:val="28"/>
          <w:szCs w:val="28"/>
          <w:highlight w:val="none"/>
          <w:lang w:eastAsia="zh-CN"/>
        </w:rPr>
        <w:t>机动车库车道及车位净高不应低于</w:t>
      </w:r>
      <w:r>
        <w:rPr>
          <w:rFonts w:cs="宋体"/>
          <w:color w:val="auto"/>
          <w:sz w:val="28"/>
          <w:szCs w:val="28"/>
          <w:highlight w:val="none"/>
          <w:lang w:eastAsia="zh-CN"/>
        </w:rPr>
        <w:t>2.20m</w:t>
      </w:r>
      <w:r>
        <w:rPr>
          <w:rFonts w:hint="eastAsia" w:cs="宋体"/>
          <w:color w:val="auto"/>
          <w:sz w:val="28"/>
          <w:szCs w:val="28"/>
          <w:highlight w:val="none"/>
          <w:lang w:eastAsia="zh-CN"/>
        </w:rPr>
        <w:t>。</w:t>
      </w:r>
    </w:p>
    <w:p w14:paraId="679024A0">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12.2.2 应测量从楼地面层完成面，到吊顶、设备管道、梁及其他构件底面之间的有效使用空间的垂直高度。净高要求见《车库建筑设计规范》JGJ 100-2015。</w:t>
      </w:r>
    </w:p>
    <w:p w14:paraId="2E23A632">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12.2.3 </w:t>
      </w:r>
      <w:r>
        <w:rPr>
          <w:rFonts w:hint="eastAsia" w:cs="宋体"/>
          <w:color w:val="auto"/>
          <w:sz w:val="28"/>
          <w:szCs w:val="28"/>
          <w:highlight w:val="none"/>
          <w:lang w:eastAsia="zh-CN"/>
        </w:rPr>
        <w:t>墙面及天棚无渗漏、无裂缝。</w:t>
      </w:r>
      <w:r>
        <w:rPr>
          <w:rFonts w:cs="宋体"/>
          <w:color w:val="auto"/>
          <w:sz w:val="28"/>
          <w:szCs w:val="28"/>
          <w:highlight w:val="none"/>
          <w:lang w:eastAsia="zh-CN"/>
        </w:rPr>
        <w:t>地下室防水工程应按《地下防水工程质量验收规范》GB 50208-2011</w:t>
      </w:r>
      <w:r>
        <w:rPr>
          <w:rFonts w:hint="eastAsia" w:cs="宋体"/>
          <w:color w:val="auto"/>
          <w:sz w:val="28"/>
          <w:szCs w:val="28"/>
          <w:highlight w:val="none"/>
          <w:lang w:eastAsia="zh-CN"/>
        </w:rPr>
        <w:t>或《建筑与市政工程防水通用规范》</w:t>
      </w:r>
      <w:r>
        <w:rPr>
          <w:rFonts w:cs="宋体"/>
          <w:color w:val="auto"/>
          <w:sz w:val="28"/>
          <w:szCs w:val="28"/>
          <w:highlight w:val="none"/>
          <w:lang w:eastAsia="zh-CN"/>
        </w:rPr>
        <w:t>GB</w:t>
      </w:r>
      <w:r>
        <w:rPr>
          <w:rFonts w:hint="eastAsia" w:cs="宋体"/>
          <w:color w:val="auto"/>
          <w:sz w:val="28"/>
          <w:szCs w:val="28"/>
          <w:highlight w:val="none"/>
          <w:lang w:val="en-US" w:eastAsia="zh-CN"/>
        </w:rPr>
        <w:t xml:space="preserve"> </w:t>
      </w:r>
      <w:r>
        <w:rPr>
          <w:rFonts w:cs="宋体"/>
          <w:color w:val="auto"/>
          <w:sz w:val="28"/>
          <w:szCs w:val="28"/>
          <w:highlight w:val="none"/>
          <w:lang w:eastAsia="zh-CN"/>
        </w:rPr>
        <w:t>55030</w:t>
      </w:r>
      <w:r>
        <w:rPr>
          <w:rFonts w:hint="eastAsia" w:cs="宋体"/>
          <w:color w:val="auto"/>
          <w:sz w:val="28"/>
          <w:szCs w:val="28"/>
          <w:highlight w:val="none"/>
          <w:lang w:eastAsia="zh-CN"/>
        </w:rPr>
        <w:t>-2022</w:t>
      </w:r>
      <w:r>
        <w:rPr>
          <w:rFonts w:cs="宋体"/>
          <w:color w:val="auto"/>
          <w:sz w:val="28"/>
          <w:szCs w:val="28"/>
          <w:highlight w:val="none"/>
          <w:lang w:eastAsia="zh-CN"/>
        </w:rPr>
        <w:t>进行分部工程质量验收并全部合格</w:t>
      </w:r>
      <w:r>
        <w:rPr>
          <w:rFonts w:hint="eastAsia" w:cs="宋体"/>
          <w:color w:val="auto"/>
          <w:sz w:val="28"/>
          <w:szCs w:val="28"/>
          <w:highlight w:val="none"/>
          <w:lang w:eastAsia="zh-CN"/>
        </w:rPr>
        <w:t>。</w:t>
      </w:r>
    </w:p>
    <w:p w14:paraId="737EA08D">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检验方法：测量尺寸是否符合要求；地下室裂缝、渗漏检查在距外墙</w:t>
      </w:r>
      <w:r>
        <w:rPr>
          <w:rFonts w:ascii="宋体" w:hAnsi="宋体" w:cs="宋体"/>
          <w:color w:val="auto"/>
          <w:highlight w:val="none"/>
        </w:rPr>
        <w:t>2.0m范围内平视或仰视观察检查；分部工程查看分部验收报告</w:t>
      </w:r>
      <w:r>
        <w:rPr>
          <w:rFonts w:hint="eastAsia" w:ascii="宋体" w:hAnsi="宋体" w:cs="宋体"/>
          <w:color w:val="auto"/>
          <w:highlight w:val="none"/>
        </w:rPr>
        <w:t>。</w:t>
      </w:r>
    </w:p>
    <w:p w14:paraId="72334045">
      <w:pPr>
        <w:pStyle w:val="46"/>
        <w:spacing w:line="360" w:lineRule="auto"/>
        <w:rPr>
          <w:rFonts w:ascii="宋体" w:hAnsi="宋体" w:cs="宋体"/>
          <w:color w:val="auto"/>
          <w:highlight w:val="none"/>
        </w:rPr>
      </w:pPr>
      <w:r>
        <w:rPr>
          <w:rFonts w:hint="eastAsia" w:ascii="宋体" w:hAnsi="宋体" w:cs="宋体"/>
          <w:color w:val="auto"/>
          <w:highlight w:val="none"/>
        </w:rPr>
        <w:t>检验数量：地下室通道净高每</w:t>
      </w:r>
      <w:r>
        <w:rPr>
          <w:rFonts w:ascii="宋体" w:hAnsi="宋体" w:cs="宋体"/>
          <w:color w:val="auto"/>
          <w:highlight w:val="none"/>
        </w:rPr>
        <w:t>10延米检查一处；车库及设备房净高每个空间不少于三处</w:t>
      </w:r>
      <w:r>
        <w:rPr>
          <w:rFonts w:hint="eastAsia" w:ascii="宋体" w:hAnsi="宋体" w:cs="宋体"/>
          <w:color w:val="auto"/>
          <w:highlight w:val="none"/>
        </w:rPr>
        <w:t>。</w:t>
      </w:r>
    </w:p>
    <w:p w14:paraId="69BE88B4">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12.2.3 地下室防水工程除要满足《地下防水工程质量验收规范》GB</w:t>
      </w:r>
      <w:r>
        <w:rPr>
          <w:rFonts w:hint="eastAsia" w:cs="宋体"/>
          <w:color w:val="auto"/>
          <w:sz w:val="28"/>
          <w:szCs w:val="28"/>
          <w:highlight w:val="none"/>
          <w:shd w:val="pct10" w:color="auto" w:fill="FFFFFF"/>
          <w:lang w:val="en-US" w:eastAsia="zh-CN"/>
        </w:rPr>
        <w:t xml:space="preserve"> </w:t>
      </w:r>
      <w:r>
        <w:rPr>
          <w:rFonts w:cs="宋体"/>
          <w:color w:val="auto"/>
          <w:sz w:val="28"/>
          <w:szCs w:val="28"/>
          <w:highlight w:val="none"/>
          <w:shd w:val="pct10" w:color="auto" w:fill="FFFFFF"/>
          <w:lang w:eastAsia="zh-CN"/>
        </w:rPr>
        <w:t>50208-2011要求外，还应满足无渗漏、无裂缝的观感要求。</w:t>
      </w:r>
    </w:p>
    <w:p w14:paraId="4D779B1A">
      <w:pPr>
        <w:pStyle w:val="4"/>
        <w:rPr>
          <w:color w:val="auto"/>
          <w:highlight w:val="none"/>
        </w:rPr>
      </w:pPr>
      <w:bookmarkStart w:id="358" w:name="_Toc13158"/>
      <w:bookmarkStart w:id="359" w:name="_Toc22317"/>
      <w:bookmarkStart w:id="360" w:name="_Toc121330118"/>
      <w:bookmarkStart w:id="361" w:name="_Toc133572747"/>
      <w:bookmarkStart w:id="362" w:name="_Toc3588"/>
      <w:bookmarkStart w:id="363" w:name="_Toc4329"/>
      <w:r>
        <w:rPr>
          <w:rFonts w:hint="eastAsia"/>
          <w:color w:val="auto"/>
          <w:highlight w:val="none"/>
        </w:rPr>
        <w:t>Ⅱ 屋面</w:t>
      </w:r>
      <w:bookmarkEnd w:id="358"/>
      <w:bookmarkEnd w:id="359"/>
      <w:bookmarkEnd w:id="360"/>
      <w:bookmarkEnd w:id="361"/>
      <w:bookmarkEnd w:id="362"/>
      <w:bookmarkEnd w:id="363"/>
    </w:p>
    <w:p w14:paraId="47E4E6C9">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2.2.4 </w:t>
      </w:r>
      <w:r>
        <w:rPr>
          <w:rFonts w:hint="eastAsia" w:cs="宋体"/>
          <w:color w:val="auto"/>
          <w:sz w:val="28"/>
          <w:szCs w:val="28"/>
          <w:highlight w:val="none"/>
          <w:lang w:eastAsia="zh-CN"/>
        </w:rPr>
        <w:t>女儿墙和山墙混凝土压顶的排水坡度不小于</w:t>
      </w:r>
      <w:r>
        <w:rPr>
          <w:rFonts w:cs="宋体"/>
          <w:color w:val="auto"/>
          <w:sz w:val="28"/>
          <w:szCs w:val="28"/>
          <w:highlight w:val="none"/>
          <w:lang w:eastAsia="zh-CN"/>
        </w:rPr>
        <w:t>5%</w:t>
      </w:r>
      <w:r>
        <w:rPr>
          <w:rFonts w:hint="eastAsia" w:cs="宋体"/>
          <w:color w:val="auto"/>
          <w:sz w:val="28"/>
          <w:szCs w:val="28"/>
          <w:highlight w:val="none"/>
          <w:lang w:eastAsia="zh-CN"/>
        </w:rPr>
        <w:t>。</w:t>
      </w:r>
    </w:p>
    <w:p w14:paraId="7A811FDE">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12.2.4 屋面女儿墙压顶内侧下端应做成鹰嘴或滴水槽防止倒水。要求见《屋面工程质量验收规范》GB 50207-2012。</w:t>
      </w:r>
    </w:p>
    <w:p w14:paraId="2F248253">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12.2.5 </w:t>
      </w:r>
      <w:r>
        <w:rPr>
          <w:rFonts w:hint="eastAsia" w:cs="宋体"/>
          <w:color w:val="auto"/>
          <w:sz w:val="28"/>
          <w:szCs w:val="28"/>
          <w:highlight w:val="none"/>
          <w:lang w:eastAsia="zh-CN"/>
        </w:rPr>
        <w:t>上人屋面女儿墙及栏杆高度，净高不小于</w:t>
      </w:r>
      <w:r>
        <w:rPr>
          <w:rFonts w:cs="宋体"/>
          <w:color w:val="auto"/>
          <w:sz w:val="28"/>
          <w:szCs w:val="28"/>
          <w:highlight w:val="none"/>
          <w:lang w:eastAsia="zh-CN"/>
        </w:rPr>
        <w:t>1.20m</w:t>
      </w:r>
      <w:r>
        <w:rPr>
          <w:rFonts w:hint="eastAsia" w:cs="宋体"/>
          <w:color w:val="auto"/>
          <w:sz w:val="28"/>
          <w:szCs w:val="28"/>
          <w:highlight w:val="none"/>
          <w:lang w:eastAsia="zh-CN"/>
        </w:rPr>
        <w:t>。</w:t>
      </w:r>
    </w:p>
    <w:p w14:paraId="1E7A7723">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12.2.5 上人屋面女儿墙及栏杆净高度测量屋面完成面最高处量至女儿墙栏杆水平构件最高处的垂直高度。如屋面临近女儿墙处有可踏的管道桥架等构件，净高度应从构件可踏最高处量起。上人屋面女儿墙及栏杆高度要求见《民用建筑设计统一标准》GB 50352-2019。</w:t>
      </w:r>
    </w:p>
    <w:p w14:paraId="36147A81">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12.2.6 </w:t>
      </w:r>
      <w:r>
        <w:rPr>
          <w:rFonts w:hint="eastAsia" w:cs="宋体"/>
          <w:color w:val="auto"/>
          <w:sz w:val="28"/>
          <w:szCs w:val="28"/>
          <w:highlight w:val="none"/>
          <w:lang w:eastAsia="zh-CN"/>
        </w:rPr>
        <w:t>竖向排气道屋顶风帽的安装高度不应低于相邻建筑砌筑体。排气道的出口设置在上人屋面、住户平台上时，应高出屋面或平台地面</w:t>
      </w:r>
      <w:r>
        <w:rPr>
          <w:rFonts w:cs="宋体"/>
          <w:color w:val="auto"/>
          <w:sz w:val="28"/>
          <w:szCs w:val="28"/>
          <w:highlight w:val="none"/>
          <w:lang w:eastAsia="zh-CN"/>
        </w:rPr>
        <w:t>2.00m；当周围4m之内有门窗时，应高出门窗上皮0.60m</w:t>
      </w:r>
      <w:r>
        <w:rPr>
          <w:rFonts w:hint="eastAsia" w:cs="宋体"/>
          <w:color w:val="auto"/>
          <w:sz w:val="28"/>
          <w:szCs w:val="28"/>
          <w:highlight w:val="none"/>
          <w:lang w:eastAsia="zh-CN"/>
        </w:rPr>
        <w:t>。</w:t>
      </w:r>
    </w:p>
    <w:p w14:paraId="525554DE">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检验方法：测量尺寸是否符合要求；分部工程查看分部验收报告。</w:t>
      </w:r>
    </w:p>
    <w:p w14:paraId="16FAEBEC">
      <w:pPr>
        <w:pStyle w:val="46"/>
        <w:spacing w:line="360" w:lineRule="auto"/>
        <w:rPr>
          <w:rFonts w:ascii="宋体" w:hAnsi="宋体" w:cs="宋体"/>
          <w:color w:val="auto"/>
          <w:highlight w:val="none"/>
        </w:rPr>
      </w:pPr>
      <w:r>
        <w:rPr>
          <w:rFonts w:hint="eastAsia" w:ascii="宋体" w:hAnsi="宋体" w:cs="宋体"/>
          <w:color w:val="auto"/>
          <w:highlight w:val="none"/>
        </w:rPr>
        <w:t>检验数量：屋面女儿墙压顶排水坡度每</w:t>
      </w:r>
      <w:r>
        <w:rPr>
          <w:rFonts w:ascii="宋体" w:hAnsi="宋体" w:cs="宋体"/>
          <w:color w:val="auto"/>
          <w:highlight w:val="none"/>
        </w:rPr>
        <w:t>10延米检查一处；屋面女儿墙高度每10延米检查一处，屋面分水线管道桥架等最不利部位必需检查；竖向排气道屋顶风帽的安装高度逐个检查</w:t>
      </w:r>
    </w:p>
    <w:p w14:paraId="725B5407">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12.2.6 风帽竖向排气道屋顶风帽的安装高度测量应从屋面完成面量起。要求见《住宅设计规范》GB 50096-2011</w:t>
      </w:r>
      <w:r>
        <w:rPr>
          <w:rFonts w:hint="eastAsia" w:cs="宋体"/>
          <w:color w:val="auto"/>
          <w:sz w:val="28"/>
          <w:szCs w:val="28"/>
          <w:highlight w:val="none"/>
          <w:shd w:val="pct10" w:color="auto" w:fill="FFFFFF"/>
          <w:lang w:eastAsia="zh-CN"/>
        </w:rPr>
        <w:t>。</w:t>
      </w:r>
    </w:p>
    <w:p w14:paraId="6D28A1C4">
      <w:pPr>
        <w:pStyle w:val="3"/>
        <w:spacing w:before="240" w:after="240"/>
        <w:rPr>
          <w:rStyle w:val="43"/>
          <w:rFonts w:ascii="仿宋" w:hAnsi="仿宋" w:cs="宋体"/>
          <w:b/>
          <w:bCs w:val="0"/>
          <w:color w:val="auto"/>
          <w:highlight w:val="none"/>
        </w:rPr>
      </w:pPr>
      <w:bookmarkStart w:id="364" w:name="_Toc21867"/>
      <w:bookmarkStart w:id="365" w:name="_Toc11214"/>
      <w:bookmarkStart w:id="366" w:name="_Toc20720"/>
      <w:bookmarkStart w:id="367" w:name="_Toc457"/>
      <w:bookmarkStart w:id="368" w:name="_Toc8018"/>
      <w:bookmarkStart w:id="369" w:name="_Toc133572748"/>
      <w:bookmarkStart w:id="370" w:name="_Toc15777"/>
      <w:r>
        <w:rPr>
          <w:rStyle w:val="43"/>
          <w:rFonts w:ascii="仿宋" w:hAnsi="仿宋" w:cs="宋体"/>
          <w:b/>
          <w:bCs w:val="0"/>
          <w:color w:val="auto"/>
          <w:highlight w:val="none"/>
        </w:rPr>
        <w:t xml:space="preserve">12.3 </w:t>
      </w:r>
      <w:r>
        <w:rPr>
          <w:rStyle w:val="43"/>
          <w:rFonts w:hint="eastAsia" w:ascii="仿宋" w:hAnsi="仿宋" w:cs="宋体"/>
          <w:b/>
          <w:bCs w:val="0"/>
          <w:color w:val="auto"/>
          <w:highlight w:val="none"/>
        </w:rPr>
        <w:t>无障碍及公共部位装饰装修</w:t>
      </w:r>
      <w:bookmarkEnd w:id="364"/>
      <w:bookmarkEnd w:id="365"/>
      <w:bookmarkEnd w:id="366"/>
      <w:bookmarkEnd w:id="367"/>
      <w:bookmarkEnd w:id="368"/>
      <w:bookmarkEnd w:id="369"/>
      <w:bookmarkEnd w:id="370"/>
    </w:p>
    <w:p w14:paraId="146FD0CF">
      <w:pPr>
        <w:pStyle w:val="4"/>
        <w:rPr>
          <w:color w:val="auto"/>
          <w:highlight w:val="none"/>
        </w:rPr>
      </w:pPr>
      <w:bookmarkStart w:id="371" w:name="_Toc133572749"/>
      <w:bookmarkStart w:id="372" w:name="_Toc15823"/>
      <w:bookmarkStart w:id="373" w:name="_Toc4161"/>
      <w:bookmarkStart w:id="374" w:name="_Toc22495"/>
      <w:bookmarkStart w:id="375" w:name="_Toc11011"/>
      <w:bookmarkStart w:id="376" w:name="_Toc121330120"/>
      <w:r>
        <w:rPr>
          <w:rFonts w:hint="eastAsia"/>
          <w:color w:val="auto"/>
          <w:highlight w:val="none"/>
        </w:rPr>
        <w:t>Ⅰ 无障碍</w:t>
      </w:r>
      <w:bookmarkEnd w:id="371"/>
      <w:bookmarkEnd w:id="372"/>
      <w:bookmarkEnd w:id="373"/>
      <w:bookmarkEnd w:id="374"/>
      <w:bookmarkEnd w:id="375"/>
      <w:bookmarkEnd w:id="376"/>
    </w:p>
    <w:p w14:paraId="0EA45CDA">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2.3.1 </w:t>
      </w:r>
      <w:r>
        <w:rPr>
          <w:rFonts w:hint="eastAsia" w:ascii="宋体" w:hAnsi="宋体" w:eastAsia="宋体" w:cs="宋体"/>
          <w:color w:val="auto"/>
          <w:kern w:val="0"/>
          <w:sz w:val="28"/>
          <w:szCs w:val="28"/>
          <w:highlight w:val="none"/>
        </w:rPr>
        <w:t>设置电梯的住宅应有无障碍出入口，通过无障碍通道直达电梯厅。</w:t>
      </w:r>
    </w:p>
    <w:p w14:paraId="1CD96E15">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12.3.1 无障碍入口到无障碍电梯的通道应满足无障碍通行的要求，通行流线应连贯。要求见《无障碍设计规范》GB 50763-2012。</w:t>
      </w:r>
    </w:p>
    <w:p w14:paraId="260B6BDB">
      <w:pPr>
        <w:spacing w:before="115" w:line="360" w:lineRule="auto"/>
        <w:jc w:val="left"/>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12.3.2 </w:t>
      </w:r>
      <w:r>
        <w:rPr>
          <w:rFonts w:hint="eastAsia" w:ascii="宋体" w:hAnsi="宋体" w:eastAsia="宋体" w:cs="宋体"/>
          <w:color w:val="auto"/>
          <w:kern w:val="0"/>
          <w:sz w:val="28"/>
          <w:szCs w:val="28"/>
          <w:highlight w:val="none"/>
        </w:rPr>
        <w:t>无障碍坡道通行净宽不小于</w:t>
      </w:r>
      <w:r>
        <w:rPr>
          <w:rFonts w:ascii="宋体" w:hAnsi="宋体" w:eastAsia="宋体" w:cs="宋体"/>
          <w:color w:val="auto"/>
          <w:kern w:val="0"/>
          <w:sz w:val="28"/>
          <w:szCs w:val="28"/>
          <w:highlight w:val="none"/>
        </w:rPr>
        <w:t>1.20m，无障碍坡道起点、终点、休息平台净宽不小于坡道净宽，长度不小于1.5m</w:t>
      </w:r>
      <w:r>
        <w:rPr>
          <w:rFonts w:hint="eastAsia" w:ascii="宋体" w:hAnsi="宋体" w:eastAsia="宋体" w:cs="宋体"/>
          <w:color w:val="auto"/>
          <w:kern w:val="0"/>
          <w:sz w:val="28"/>
          <w:szCs w:val="28"/>
          <w:highlight w:val="none"/>
        </w:rPr>
        <w:t>；坡道横向坡度不大于</w:t>
      </w:r>
      <w:r>
        <w:rPr>
          <w:rFonts w:ascii="宋体" w:hAnsi="宋体" w:eastAsia="宋体" w:cs="宋体"/>
          <w:color w:val="auto"/>
          <w:kern w:val="0"/>
          <w:sz w:val="28"/>
          <w:szCs w:val="28"/>
          <w:highlight w:val="none"/>
        </w:rPr>
        <w:t>1:50，纵向坡度不大于1:12。每段坡道提升高度不大于0.75m</w:t>
      </w:r>
      <w:r>
        <w:rPr>
          <w:rFonts w:hint="eastAsia" w:ascii="宋体" w:hAnsi="宋体" w:eastAsia="宋体" w:cs="宋体"/>
          <w:color w:val="auto"/>
          <w:kern w:val="0"/>
          <w:sz w:val="28"/>
          <w:szCs w:val="28"/>
          <w:highlight w:val="none"/>
        </w:rPr>
        <w:t>。</w:t>
      </w:r>
    </w:p>
    <w:p w14:paraId="708C90C4">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12.3.2 本条无障碍坡道检测要求适用于住宅公共部分，不适用于套内及户内坡道。要求见《建筑与市政工程无障碍通用规范》GB 55019-2021。</w:t>
      </w:r>
    </w:p>
    <w:p w14:paraId="2BED212B">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2.3.3 </w:t>
      </w:r>
      <w:r>
        <w:rPr>
          <w:rFonts w:hint="eastAsia" w:ascii="宋体" w:hAnsi="宋体" w:eastAsia="宋体" w:cs="宋体"/>
          <w:color w:val="auto"/>
          <w:kern w:val="0"/>
          <w:sz w:val="28"/>
          <w:szCs w:val="28"/>
          <w:highlight w:val="none"/>
        </w:rPr>
        <w:t>无障碍出入口平台的净深度不应小于</w:t>
      </w:r>
      <w:r>
        <w:rPr>
          <w:rFonts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5m。无障碍出入口的上方应设置</w:t>
      </w:r>
      <w:r>
        <w:rPr>
          <w:rFonts w:hint="eastAsia" w:ascii="宋体" w:hAnsi="宋体" w:eastAsia="宋体" w:cs="宋体"/>
          <w:color w:val="auto"/>
          <w:kern w:val="0"/>
          <w:sz w:val="28"/>
          <w:szCs w:val="28"/>
          <w:highlight w:val="none"/>
        </w:rPr>
        <w:t>雨棚。</w:t>
      </w:r>
    </w:p>
    <w:p w14:paraId="528D8F83">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12.3.3 无障碍入口平台净深度应在门完全开启的状态下测量。要求见《建筑与市政工程无障碍通用规范》GB 55019-2021。</w:t>
      </w:r>
    </w:p>
    <w:p w14:paraId="384760FF">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2.3.4 </w:t>
      </w:r>
      <w:r>
        <w:rPr>
          <w:rFonts w:hint="eastAsia" w:ascii="宋体" w:hAnsi="宋体" w:eastAsia="宋体" w:cs="宋体"/>
          <w:color w:val="auto"/>
          <w:kern w:val="0"/>
          <w:sz w:val="28"/>
          <w:szCs w:val="28"/>
          <w:highlight w:val="none"/>
        </w:rPr>
        <w:t>无障碍入口门宽度不小于0</w:t>
      </w:r>
      <w:r>
        <w:rPr>
          <w:rFonts w:ascii="宋体" w:hAnsi="宋体" w:eastAsia="宋体" w:cs="宋体"/>
          <w:color w:val="auto"/>
          <w:kern w:val="0"/>
          <w:sz w:val="28"/>
          <w:szCs w:val="28"/>
          <w:highlight w:val="none"/>
        </w:rPr>
        <w:t>.9</w:t>
      </w:r>
      <w:r>
        <w:rPr>
          <w:rFonts w:hint="eastAsia" w:ascii="宋体" w:hAnsi="宋体" w:eastAsia="宋体" w:cs="宋体"/>
          <w:color w:val="auto"/>
          <w:kern w:val="0"/>
          <w:sz w:val="28"/>
          <w:szCs w:val="28"/>
          <w:highlight w:val="none"/>
        </w:rPr>
        <w:t>0</w:t>
      </w:r>
      <w:r>
        <w:rPr>
          <w:rFonts w:ascii="宋体" w:hAnsi="宋体" w:eastAsia="宋体" w:cs="宋体"/>
          <w:color w:val="auto"/>
          <w:kern w:val="0"/>
          <w:sz w:val="28"/>
          <w:szCs w:val="28"/>
          <w:highlight w:val="none"/>
        </w:rPr>
        <w:t>m</w:t>
      </w:r>
      <w:r>
        <w:rPr>
          <w:rFonts w:hint="eastAsia" w:ascii="宋体" w:hAnsi="宋体" w:eastAsia="宋体" w:cs="宋体"/>
          <w:color w:val="auto"/>
          <w:kern w:val="0"/>
          <w:sz w:val="28"/>
          <w:szCs w:val="28"/>
          <w:highlight w:val="none"/>
        </w:rPr>
        <w:t>，门内外高差不大于</w:t>
      </w:r>
      <w:r>
        <w:rPr>
          <w:rFonts w:ascii="宋体" w:hAnsi="宋体" w:eastAsia="宋体" w:cs="宋体"/>
          <w:color w:val="auto"/>
          <w:kern w:val="0"/>
          <w:sz w:val="28"/>
          <w:szCs w:val="28"/>
          <w:highlight w:val="none"/>
        </w:rPr>
        <w:t>15</w:t>
      </w:r>
      <w:r>
        <w:rPr>
          <w:rFonts w:hint="eastAsia" w:ascii="宋体" w:hAnsi="宋体" w:eastAsia="宋体" w:cs="宋体"/>
          <w:color w:val="auto"/>
          <w:kern w:val="0"/>
          <w:sz w:val="28"/>
          <w:szCs w:val="28"/>
          <w:highlight w:val="none"/>
        </w:rPr>
        <w:t>m</w:t>
      </w:r>
      <w:r>
        <w:rPr>
          <w:rFonts w:ascii="宋体" w:hAnsi="宋体" w:eastAsia="宋体" w:cs="宋体"/>
          <w:color w:val="auto"/>
          <w:kern w:val="0"/>
          <w:sz w:val="28"/>
          <w:szCs w:val="28"/>
          <w:highlight w:val="none"/>
        </w:rPr>
        <w:t>m且以不大于1/10的斜面过渡</w:t>
      </w:r>
      <w:r>
        <w:rPr>
          <w:rFonts w:hint="eastAsia" w:ascii="宋体" w:hAnsi="宋体" w:eastAsia="宋体" w:cs="宋体"/>
          <w:color w:val="auto"/>
          <w:kern w:val="0"/>
          <w:sz w:val="28"/>
          <w:szCs w:val="28"/>
          <w:highlight w:val="none"/>
        </w:rPr>
        <w:t>；全玻璃门应有防撞提示。</w:t>
      </w:r>
    </w:p>
    <w:p w14:paraId="70145ACD">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12.3.4 无障碍入口门净宽测量应在门扇开启后，测量可通行的净宽度。要求见《建筑与市政工程无障碍通用规范》GB 55019-2021。</w:t>
      </w:r>
    </w:p>
    <w:p w14:paraId="7865F753">
      <w:pPr>
        <w:spacing w:before="115" w:line="360" w:lineRule="auto"/>
        <w:jc w:val="left"/>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12.3.</w:t>
      </w:r>
      <w:r>
        <w:rPr>
          <w:rFonts w:hint="eastAsia" w:ascii="宋体" w:hAnsi="宋体" w:eastAsia="宋体" w:cs="宋体"/>
          <w:color w:val="auto"/>
          <w:kern w:val="0"/>
          <w:sz w:val="28"/>
          <w:szCs w:val="28"/>
          <w:highlight w:val="none"/>
        </w:rPr>
        <w:t>5</w:t>
      </w:r>
      <w:r>
        <w:rPr>
          <w:rFonts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rPr>
        <w:t>无障碍设施应按《</w:t>
      </w:r>
      <w:r>
        <w:rPr>
          <w:color w:val="auto"/>
          <w:highlight w:val="none"/>
        </w:rPr>
        <w:fldChar w:fldCharType="begin"/>
      </w:r>
      <w:r>
        <w:rPr>
          <w:color w:val="auto"/>
          <w:highlight w:val="none"/>
        </w:rPr>
        <w:instrText xml:space="preserve"> HYPERLINK "http://www.jianbiaoku.com/webarbs/book/10016/285526.shtml" \t "_self" </w:instrText>
      </w:r>
      <w:r>
        <w:rPr>
          <w:color w:val="auto"/>
          <w:highlight w:val="none"/>
        </w:rPr>
        <w:fldChar w:fldCharType="separate"/>
      </w:r>
      <w:r>
        <w:rPr>
          <w:rFonts w:hint="eastAsia" w:ascii="宋体" w:hAnsi="宋体" w:eastAsia="宋体" w:cs="宋体"/>
          <w:color w:val="auto"/>
          <w:kern w:val="0"/>
          <w:sz w:val="28"/>
          <w:szCs w:val="28"/>
          <w:highlight w:val="none"/>
        </w:rPr>
        <w:t>无障碍设施施工验收及维护规范</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GB 50642-2011</w:t>
      </w:r>
      <w:r>
        <w:rPr>
          <w:rFonts w:hint="eastAsia" w:ascii="宋体" w:hAnsi="宋体" w:eastAsia="宋体" w:cs="宋体"/>
          <w:color w:val="auto"/>
          <w:kern w:val="0"/>
          <w:sz w:val="28"/>
          <w:szCs w:val="28"/>
          <w:highlight w:val="none"/>
        </w:rPr>
        <w:t>分部工程质量验收全部合格。</w:t>
      </w:r>
    </w:p>
    <w:p w14:paraId="001E1F61">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检验方法：测量尺寸是否符合要求；无障碍设施有否设置目测检查；分部工程查看分部验收报告。</w:t>
      </w:r>
    </w:p>
    <w:p w14:paraId="7C0DEADE">
      <w:pPr>
        <w:pStyle w:val="46"/>
        <w:spacing w:line="360" w:lineRule="auto"/>
        <w:rPr>
          <w:rFonts w:ascii="宋体" w:hAnsi="宋体" w:cs="宋体"/>
          <w:color w:val="auto"/>
          <w:highlight w:val="none"/>
        </w:rPr>
      </w:pPr>
      <w:r>
        <w:rPr>
          <w:rFonts w:hint="eastAsia" w:ascii="宋体" w:hAnsi="宋体" w:cs="宋体"/>
          <w:color w:val="auto"/>
          <w:highlight w:val="none"/>
        </w:rPr>
        <w:t>检验数量：无障碍坡道通行净宽、平台净宽、平台长度、坡度、提升高度，出入口平台净深度，入口门高差，每个部分各不少于三处。</w:t>
      </w:r>
    </w:p>
    <w:p w14:paraId="5AA6FF97">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12.3.5 无障碍设施分部验收要求见《无障碍设施施工验收及维护规范》GB 50642-2011</w:t>
      </w:r>
      <w:r>
        <w:rPr>
          <w:rFonts w:hint="eastAsia" w:cs="宋体"/>
          <w:color w:val="auto"/>
          <w:sz w:val="28"/>
          <w:szCs w:val="28"/>
          <w:highlight w:val="none"/>
          <w:shd w:val="pct10" w:color="auto" w:fill="FFFFFF"/>
          <w:lang w:eastAsia="zh-CN"/>
        </w:rPr>
        <w:t>。</w:t>
      </w:r>
    </w:p>
    <w:p w14:paraId="2BCA486C">
      <w:pPr>
        <w:pStyle w:val="4"/>
        <w:rPr>
          <w:color w:val="auto"/>
          <w:highlight w:val="none"/>
        </w:rPr>
      </w:pPr>
      <w:bookmarkStart w:id="377" w:name="_Toc121330121"/>
      <w:bookmarkStart w:id="378" w:name="_Toc20052"/>
      <w:bookmarkStart w:id="379" w:name="_Toc133572750"/>
      <w:bookmarkStart w:id="380" w:name="_Toc22771"/>
      <w:bookmarkStart w:id="381" w:name="_Toc30284"/>
      <w:bookmarkStart w:id="382" w:name="_Toc22608"/>
      <w:r>
        <w:rPr>
          <w:rFonts w:hint="eastAsia"/>
          <w:color w:val="auto"/>
          <w:highlight w:val="none"/>
        </w:rPr>
        <w:t>Ⅱ 公共部位装饰装修</w:t>
      </w:r>
      <w:bookmarkEnd w:id="377"/>
      <w:bookmarkEnd w:id="378"/>
      <w:bookmarkEnd w:id="379"/>
      <w:bookmarkEnd w:id="380"/>
      <w:bookmarkEnd w:id="381"/>
      <w:bookmarkEnd w:id="382"/>
    </w:p>
    <w:p w14:paraId="0AAFE362">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2.3.6 </w:t>
      </w:r>
      <w:r>
        <w:rPr>
          <w:rFonts w:hint="eastAsia" w:cs="宋体"/>
          <w:color w:val="auto"/>
          <w:sz w:val="28"/>
          <w:szCs w:val="28"/>
          <w:highlight w:val="none"/>
          <w:lang w:eastAsia="zh-CN"/>
        </w:rPr>
        <w:t>公共部位的外窗，窗外没有阳台或平台且窗台距楼地面的净高小于</w:t>
      </w:r>
      <w:r>
        <w:rPr>
          <w:rFonts w:cs="宋体"/>
          <w:color w:val="auto"/>
          <w:sz w:val="28"/>
          <w:szCs w:val="28"/>
          <w:highlight w:val="none"/>
          <w:lang w:eastAsia="zh-CN"/>
        </w:rPr>
        <w:t>0.90m时，应设置净高度不小于0.90m的护栏；护栏的造型、尺寸、高度、栏杆间距、安装位置应符合设计要求，护栏安装应牢固</w:t>
      </w:r>
      <w:r>
        <w:rPr>
          <w:rFonts w:hint="eastAsia" w:cs="宋体"/>
          <w:color w:val="auto"/>
          <w:sz w:val="28"/>
          <w:szCs w:val="28"/>
          <w:highlight w:val="none"/>
          <w:lang w:eastAsia="zh-CN"/>
        </w:rPr>
        <w:t>。</w:t>
      </w:r>
    </w:p>
    <w:p w14:paraId="38D08C5C">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12.3.6 公共部位外窗窗台高度及护栏高度测量，应从楼地面完成面开始量起。如有可踏的构件，净高度应从构件可踏最高处量起。要求见《住宅设计规范》GB 50096-2011、《民用建筑设计统一标准》GB 50352-2019。</w:t>
      </w:r>
    </w:p>
    <w:p w14:paraId="12FF3B47">
      <w:pPr>
        <w:pStyle w:val="9"/>
        <w:spacing w:before="115" w:line="360" w:lineRule="auto"/>
        <w:ind w:left="0"/>
        <w:rPr>
          <w:rFonts w:cs="宋体"/>
          <w:color w:val="auto"/>
          <w:highlight w:val="none"/>
          <w:lang w:eastAsia="zh-CN"/>
        </w:rPr>
      </w:pPr>
      <w:r>
        <w:rPr>
          <w:rFonts w:cs="宋体"/>
          <w:color w:val="auto"/>
          <w:sz w:val="28"/>
          <w:szCs w:val="28"/>
          <w:highlight w:val="none"/>
          <w:lang w:eastAsia="zh-CN"/>
        </w:rPr>
        <w:t xml:space="preserve">12.3.7 </w:t>
      </w:r>
      <w:r>
        <w:rPr>
          <w:rFonts w:hint="eastAsia" w:cs="宋体"/>
          <w:color w:val="auto"/>
          <w:sz w:val="28"/>
          <w:szCs w:val="28"/>
          <w:highlight w:val="none"/>
          <w:lang w:eastAsia="zh-CN"/>
        </w:rPr>
        <w:t>公共部分室内装饰装修，外墙装饰应按分部工程质量验收并全部合格</w:t>
      </w:r>
      <w:r>
        <w:rPr>
          <w:rFonts w:hint="eastAsia" w:cs="宋体"/>
          <w:color w:val="auto"/>
          <w:highlight w:val="none"/>
          <w:lang w:eastAsia="zh-CN"/>
        </w:rPr>
        <w:t>。</w:t>
      </w:r>
    </w:p>
    <w:p w14:paraId="20E1230F">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检验方法：测量尺寸是否符合要求；分部工程查看分部验收报告。</w:t>
      </w:r>
    </w:p>
    <w:p w14:paraId="552BD973">
      <w:pPr>
        <w:pStyle w:val="46"/>
        <w:spacing w:line="360" w:lineRule="auto"/>
        <w:rPr>
          <w:rFonts w:ascii="宋体" w:hAnsi="宋体" w:cs="宋体"/>
          <w:color w:val="auto"/>
          <w:highlight w:val="none"/>
        </w:rPr>
      </w:pPr>
      <w:r>
        <w:rPr>
          <w:rFonts w:hint="eastAsia" w:ascii="宋体" w:hAnsi="宋体" w:cs="宋体"/>
          <w:color w:val="auto"/>
          <w:highlight w:val="none"/>
        </w:rPr>
        <w:t>检验数量：应设护栏部位逐个检查，护栏高度每个护栏不少于三处。</w:t>
      </w:r>
    </w:p>
    <w:p w14:paraId="4ED784C3">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12.3.7 公共部分室内装饰装修，外墙装饰要求见《建筑装饰装修工程质量验收标准》GB 50210-2018、《建筑涂饰工程施工及验收规程》JGJ</w:t>
      </w:r>
      <w:r>
        <w:rPr>
          <w:rFonts w:hint="eastAsia" w:cs="宋体"/>
          <w:color w:val="auto"/>
          <w:sz w:val="28"/>
          <w:szCs w:val="28"/>
          <w:highlight w:val="none"/>
          <w:shd w:val="pct10" w:color="auto" w:fill="FFFFFF"/>
          <w:lang w:val="en-US" w:eastAsia="zh-CN"/>
        </w:rPr>
        <w:t>/T</w:t>
      </w:r>
      <w:r>
        <w:rPr>
          <w:rFonts w:cs="宋体"/>
          <w:color w:val="auto"/>
          <w:sz w:val="28"/>
          <w:szCs w:val="28"/>
          <w:highlight w:val="none"/>
          <w:shd w:val="pct10" w:color="auto" w:fill="FFFFFF"/>
          <w:lang w:eastAsia="zh-CN"/>
        </w:rPr>
        <w:t xml:space="preserve"> 29-2015、《外墙饰面砖工程施工及验收规程》JGJ 126-2015、《建筑地面工程施工质量验收规范》GB 50209-2010、《住宅室内装饰装修工程质量验收规范》JGJ</w:t>
      </w:r>
      <w:r>
        <w:rPr>
          <w:rFonts w:hint="eastAsia" w:cs="宋体"/>
          <w:color w:val="auto"/>
          <w:sz w:val="28"/>
          <w:szCs w:val="28"/>
          <w:highlight w:val="none"/>
          <w:shd w:val="pct10" w:color="auto" w:fill="FFFFFF"/>
          <w:lang w:val="en-US" w:eastAsia="zh-CN"/>
        </w:rPr>
        <w:t>/T</w:t>
      </w:r>
      <w:r>
        <w:rPr>
          <w:rFonts w:cs="宋体"/>
          <w:color w:val="auto"/>
          <w:sz w:val="28"/>
          <w:szCs w:val="28"/>
          <w:highlight w:val="none"/>
          <w:shd w:val="pct10" w:color="auto" w:fill="FFFFFF"/>
          <w:lang w:eastAsia="zh-CN"/>
        </w:rPr>
        <w:t xml:space="preserve"> 304-2013。</w:t>
      </w:r>
    </w:p>
    <w:p w14:paraId="5F73E47E">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br w:type="page"/>
      </w:r>
    </w:p>
    <w:p w14:paraId="47670317">
      <w:pPr>
        <w:keepNext/>
        <w:keepLines/>
        <w:jc w:val="left"/>
        <w:outlineLvl w:val="1"/>
        <w:rPr>
          <w:rFonts w:hint="eastAsia" w:ascii="Arial" w:hAnsi="Arial" w:eastAsia="黑体" w:cs="Times New Roman"/>
          <w:b/>
          <w:color w:val="auto"/>
          <w:kern w:val="2"/>
          <w:sz w:val="44"/>
          <w:szCs w:val="44"/>
          <w:highlight w:val="none"/>
          <w:shd w:val="clear" w:color="auto" w:fill="FFFFFF"/>
          <w:lang w:val="en-US" w:eastAsia="zh-CN" w:bidi="ar-SA"/>
        </w:rPr>
      </w:pPr>
      <w:bookmarkStart w:id="383" w:name="_Toc23126"/>
      <w:bookmarkStart w:id="384" w:name="_Toc16352"/>
      <w:bookmarkStart w:id="385" w:name="_Toc1097"/>
      <w:bookmarkStart w:id="386" w:name="_Toc4013"/>
      <w:bookmarkStart w:id="387" w:name="_Toc1433"/>
      <w:bookmarkStart w:id="388" w:name="_Toc24707"/>
      <w:bookmarkStart w:id="389" w:name="_Toc120261746"/>
      <w:r>
        <w:rPr>
          <w:rFonts w:hint="eastAsia" w:ascii="Times New Roman" w:hAnsi="Times New Roman" w:eastAsia="宋体"/>
          <w:b/>
          <w:bCs/>
          <w:color w:val="auto"/>
          <w:kern w:val="0"/>
          <w:szCs w:val="21"/>
          <w:highlight w:val="none"/>
          <w:lang w:val="en-US" w:eastAsia="zh-CN"/>
        </w:rPr>
        <w:t>附录A 住宅工程质量分户验收方案</w:t>
      </w:r>
      <w:bookmarkEnd w:id="383"/>
      <w:bookmarkEnd w:id="384"/>
      <w:bookmarkEnd w:id="385"/>
      <w:bookmarkEnd w:id="386"/>
      <w:bookmarkEnd w:id="387"/>
      <w:bookmarkEnd w:id="388"/>
    </w:p>
    <w:p w14:paraId="58EA78E5">
      <w:pPr>
        <w:rPr>
          <w:rFonts w:hint="eastAsia"/>
          <w:color w:val="auto"/>
          <w:highlight w:val="none"/>
          <w:lang w:val="en-US" w:eastAsia="zh-CN"/>
        </w:rPr>
      </w:pPr>
    </w:p>
    <w:p w14:paraId="0E5A6717">
      <w:pPr>
        <w:rPr>
          <w:rFonts w:hint="eastAsia"/>
          <w:color w:val="auto"/>
          <w:highlight w:val="none"/>
          <w:lang w:val="en-US" w:eastAsia="zh-CN"/>
        </w:rPr>
      </w:pPr>
    </w:p>
    <w:p w14:paraId="59B3E56F">
      <w:pPr>
        <w:rPr>
          <w:rFonts w:hint="eastAsia"/>
          <w:color w:val="auto"/>
          <w:highlight w:val="none"/>
          <w:lang w:val="en-US" w:eastAsia="zh-CN"/>
        </w:rPr>
      </w:pPr>
    </w:p>
    <w:p w14:paraId="323A30C3">
      <w:pPr>
        <w:jc w:val="center"/>
        <w:rPr>
          <w:rFonts w:hint="eastAsia" w:ascii="Calibri" w:hAnsi="Calibri" w:eastAsia="宋体"/>
          <w:b/>
          <w:color w:val="auto"/>
          <w:sz w:val="48"/>
          <w:szCs w:val="48"/>
          <w:highlight w:val="none"/>
          <w:shd w:val="clear" w:color="auto" w:fill="FFFFFF"/>
          <w:lang w:val="en-US" w:eastAsia="zh-CN"/>
        </w:rPr>
      </w:pPr>
    </w:p>
    <w:p w14:paraId="1453BEDE">
      <w:pPr>
        <w:jc w:val="center"/>
        <w:rPr>
          <w:rFonts w:hint="eastAsia" w:ascii="Calibri" w:hAnsi="Calibri" w:eastAsia="宋体"/>
          <w:b/>
          <w:color w:val="auto"/>
          <w:sz w:val="32"/>
          <w:szCs w:val="32"/>
          <w:highlight w:val="none"/>
          <w:shd w:val="clear" w:color="auto" w:fill="FFFFFF"/>
          <w:lang w:val="en-US" w:eastAsia="zh-CN"/>
        </w:rPr>
      </w:pPr>
      <w:r>
        <w:rPr>
          <w:rFonts w:hint="eastAsia" w:ascii="Calibri" w:hAnsi="Calibri" w:eastAsia="宋体"/>
          <w:b/>
          <w:color w:val="auto"/>
          <w:sz w:val="48"/>
          <w:szCs w:val="48"/>
          <w:highlight w:val="none"/>
          <w:shd w:val="clear" w:color="auto" w:fill="FFFFFF"/>
          <w:lang w:val="en-US" w:eastAsia="zh-CN"/>
        </w:rPr>
        <w:t>住宅工程质量分户验收方案</w:t>
      </w:r>
      <w:bookmarkEnd w:id="389"/>
    </w:p>
    <w:p w14:paraId="2DC58F44">
      <w:pPr>
        <w:rPr>
          <w:rFonts w:ascii="Calibri" w:hAnsi="Calibri" w:eastAsia="宋体"/>
          <w:b/>
          <w:color w:val="auto"/>
          <w:sz w:val="44"/>
          <w:szCs w:val="44"/>
          <w:highlight w:val="none"/>
          <w:shd w:val="clear" w:color="auto" w:fill="FFFFFF"/>
        </w:rPr>
      </w:pPr>
    </w:p>
    <w:p w14:paraId="136944BE">
      <w:pPr>
        <w:rPr>
          <w:rFonts w:ascii="Calibri" w:hAnsi="Calibri" w:eastAsia="宋体"/>
          <w:b/>
          <w:color w:val="auto"/>
          <w:sz w:val="44"/>
          <w:szCs w:val="44"/>
          <w:highlight w:val="none"/>
          <w:shd w:val="clear" w:color="auto" w:fill="FFFFFF"/>
        </w:rPr>
      </w:pPr>
    </w:p>
    <w:p w14:paraId="5F8BD610">
      <w:pPr>
        <w:rPr>
          <w:rFonts w:ascii="Calibri" w:hAnsi="Calibri" w:eastAsia="宋体"/>
          <w:b/>
          <w:color w:val="auto"/>
          <w:sz w:val="44"/>
          <w:szCs w:val="44"/>
          <w:highlight w:val="none"/>
          <w:shd w:val="clear" w:color="auto" w:fill="FFFFFF"/>
        </w:rPr>
      </w:pPr>
    </w:p>
    <w:p w14:paraId="282DBE17">
      <w:pPr>
        <w:rPr>
          <w:rFonts w:ascii="Calibri" w:hAnsi="Calibri" w:eastAsia="宋体"/>
          <w:b/>
          <w:color w:val="auto"/>
          <w:sz w:val="44"/>
          <w:szCs w:val="44"/>
          <w:highlight w:val="none"/>
          <w:shd w:val="clear" w:color="auto" w:fill="FFFFFF"/>
        </w:rPr>
      </w:pPr>
    </w:p>
    <w:p w14:paraId="1F4CC3EB">
      <w:pPr>
        <w:rPr>
          <w:rFonts w:ascii="Calibri" w:hAnsi="Calibri" w:eastAsia="宋体"/>
          <w:b/>
          <w:color w:val="auto"/>
          <w:sz w:val="44"/>
          <w:szCs w:val="44"/>
          <w:highlight w:val="none"/>
          <w:shd w:val="clear" w:color="auto" w:fill="FFFFFF"/>
        </w:rPr>
      </w:pPr>
    </w:p>
    <w:p w14:paraId="64FBE63A">
      <w:pPr>
        <w:rPr>
          <w:rFonts w:ascii="Calibri" w:hAnsi="Calibri" w:eastAsia="宋体"/>
          <w:b/>
          <w:color w:val="auto"/>
          <w:sz w:val="44"/>
          <w:szCs w:val="44"/>
          <w:highlight w:val="none"/>
          <w:shd w:val="clear" w:color="auto" w:fill="FFFFFF"/>
        </w:rPr>
      </w:pPr>
    </w:p>
    <w:p w14:paraId="0CF12266">
      <w:pPr>
        <w:ind w:firstLine="904" w:firstLineChars="300"/>
        <w:rPr>
          <w:rFonts w:ascii="Calibri" w:hAnsi="Calibri" w:eastAsia="宋体"/>
          <w:b/>
          <w:color w:val="auto"/>
          <w:sz w:val="36"/>
          <w:szCs w:val="36"/>
          <w:highlight w:val="none"/>
          <w:u w:val="single"/>
          <w:shd w:val="clear" w:color="auto" w:fill="FFFFFF"/>
        </w:rPr>
      </w:pPr>
      <w:r>
        <w:rPr>
          <w:rFonts w:hint="eastAsia" w:ascii="Calibri" w:hAnsi="Calibri" w:eastAsia="宋体"/>
          <w:b/>
          <w:color w:val="auto"/>
          <w:sz w:val="30"/>
          <w:szCs w:val="30"/>
          <w:highlight w:val="none"/>
          <w:shd w:val="clear" w:color="auto" w:fill="FFFFFF"/>
        </w:rPr>
        <w:t>工程名称</w:t>
      </w:r>
      <w:r>
        <w:rPr>
          <w:rFonts w:hint="eastAsia" w:ascii="Calibri" w:hAnsi="Calibri" w:eastAsia="宋体"/>
          <w:b/>
          <w:color w:val="auto"/>
          <w:sz w:val="36"/>
          <w:szCs w:val="36"/>
          <w:highlight w:val="none"/>
          <w:shd w:val="clear" w:color="auto" w:fill="FFFFFF"/>
        </w:rPr>
        <w:t>：</w:t>
      </w:r>
      <w:r>
        <w:rPr>
          <w:rFonts w:hint="eastAsia" w:ascii="Calibri" w:hAnsi="Calibri" w:eastAsia="宋体"/>
          <w:color w:val="auto"/>
          <w:sz w:val="36"/>
          <w:szCs w:val="36"/>
          <w:highlight w:val="none"/>
          <w:u w:val="single"/>
          <w:shd w:val="clear" w:color="auto" w:fill="FFFFFF"/>
        </w:rPr>
        <w:t xml:space="preserve">                                  </w:t>
      </w:r>
    </w:p>
    <w:p w14:paraId="145D508A">
      <w:pPr>
        <w:rPr>
          <w:rFonts w:ascii="Calibri" w:hAnsi="Calibri" w:eastAsia="宋体"/>
          <w:b/>
          <w:color w:val="auto"/>
          <w:sz w:val="36"/>
          <w:szCs w:val="36"/>
          <w:highlight w:val="none"/>
          <w:shd w:val="clear" w:color="auto" w:fill="FFFFFF"/>
        </w:rPr>
      </w:pPr>
      <w:r>
        <w:rPr>
          <w:rFonts w:hint="eastAsia" w:ascii="Calibri" w:hAnsi="Calibri" w:eastAsia="宋体"/>
          <w:b/>
          <w:color w:val="auto"/>
          <w:sz w:val="36"/>
          <w:szCs w:val="36"/>
          <w:highlight w:val="none"/>
          <w:shd w:val="clear" w:color="auto" w:fill="FFFFFF"/>
        </w:rPr>
        <w:t xml:space="preserve">    </w:t>
      </w:r>
    </w:p>
    <w:p w14:paraId="5CE805EF">
      <w:pPr>
        <w:ind w:firstLine="904" w:firstLineChars="300"/>
        <w:rPr>
          <w:rFonts w:ascii="Calibri" w:hAnsi="Calibri" w:eastAsia="宋体"/>
          <w:b/>
          <w:color w:val="auto"/>
          <w:sz w:val="30"/>
          <w:szCs w:val="30"/>
          <w:highlight w:val="none"/>
          <w:u w:val="single"/>
          <w:shd w:val="clear" w:color="auto" w:fill="FFFFFF"/>
        </w:rPr>
      </w:pPr>
      <w:r>
        <w:rPr>
          <w:rFonts w:hint="eastAsia" w:ascii="Calibri" w:hAnsi="Calibri" w:eastAsia="宋体"/>
          <w:b/>
          <w:color w:val="auto"/>
          <w:sz w:val="30"/>
          <w:szCs w:val="30"/>
          <w:highlight w:val="none"/>
          <w:shd w:val="clear" w:color="auto" w:fill="FFFFFF"/>
        </w:rPr>
        <w:t>建设单位（公章）：</w:t>
      </w:r>
      <w:r>
        <w:rPr>
          <w:rFonts w:hint="eastAsia" w:ascii="Calibri" w:hAnsi="Calibri" w:eastAsia="宋体"/>
          <w:color w:val="auto"/>
          <w:sz w:val="36"/>
          <w:szCs w:val="36"/>
          <w:highlight w:val="none"/>
          <w:u w:val="single"/>
          <w:shd w:val="clear" w:color="auto" w:fill="FFFFFF"/>
        </w:rPr>
        <w:t xml:space="preserve">                            </w:t>
      </w:r>
    </w:p>
    <w:p w14:paraId="35CC0D5D">
      <w:pPr>
        <w:rPr>
          <w:rFonts w:ascii="Calibri" w:hAnsi="Calibri" w:eastAsia="宋体"/>
          <w:b/>
          <w:color w:val="auto"/>
          <w:sz w:val="44"/>
          <w:szCs w:val="44"/>
          <w:highlight w:val="none"/>
          <w:shd w:val="clear" w:color="auto" w:fill="FFFFFF"/>
        </w:rPr>
      </w:pPr>
    </w:p>
    <w:p w14:paraId="27F85B94">
      <w:pPr>
        <w:rPr>
          <w:rFonts w:ascii="Calibri" w:hAnsi="Calibri" w:eastAsia="宋体"/>
          <w:b/>
          <w:color w:val="auto"/>
          <w:sz w:val="44"/>
          <w:szCs w:val="44"/>
          <w:highlight w:val="none"/>
          <w:shd w:val="clear" w:color="auto" w:fill="FFFFFF"/>
        </w:rPr>
      </w:pPr>
    </w:p>
    <w:p w14:paraId="01A0127A">
      <w:pPr>
        <w:rPr>
          <w:rFonts w:ascii="Calibri" w:hAnsi="Calibri" w:eastAsia="宋体"/>
          <w:b/>
          <w:color w:val="auto"/>
          <w:sz w:val="44"/>
          <w:szCs w:val="44"/>
          <w:highlight w:val="none"/>
          <w:shd w:val="clear" w:color="auto" w:fill="FFFFFF"/>
        </w:rPr>
      </w:pPr>
    </w:p>
    <w:p w14:paraId="0336063F">
      <w:pPr>
        <w:rPr>
          <w:rFonts w:ascii="Calibri" w:hAnsi="Calibri" w:eastAsia="宋体"/>
          <w:b/>
          <w:color w:val="auto"/>
          <w:sz w:val="44"/>
          <w:szCs w:val="44"/>
          <w:highlight w:val="none"/>
          <w:shd w:val="clear" w:color="auto" w:fill="FFFFFF"/>
        </w:rPr>
      </w:pPr>
    </w:p>
    <w:p w14:paraId="36E58676">
      <w:pPr>
        <w:jc w:val="center"/>
        <w:rPr>
          <w:rFonts w:ascii="Calibri" w:hAnsi="Calibri" w:eastAsia="宋体"/>
          <w:color w:val="auto"/>
          <w:sz w:val="32"/>
          <w:szCs w:val="32"/>
          <w:highlight w:val="none"/>
          <w:shd w:val="clear" w:color="auto" w:fill="FFFFFF"/>
        </w:rPr>
      </w:pPr>
      <w:r>
        <w:rPr>
          <w:rFonts w:hint="eastAsia" w:ascii="Calibri" w:hAnsi="Calibri" w:eastAsia="宋体"/>
          <w:color w:val="auto"/>
          <w:sz w:val="32"/>
          <w:szCs w:val="32"/>
          <w:highlight w:val="none"/>
          <w:shd w:val="clear" w:color="auto" w:fill="FFFFFF"/>
        </w:rPr>
        <w:t>年   月   日</w:t>
      </w:r>
    </w:p>
    <w:p w14:paraId="65FC3548">
      <w:pPr>
        <w:rPr>
          <w:rFonts w:ascii="Calibri" w:hAnsi="Calibri" w:eastAsia="宋体"/>
          <w:b/>
          <w:color w:val="auto"/>
          <w:sz w:val="44"/>
          <w:szCs w:val="44"/>
          <w:highlight w:val="none"/>
          <w:shd w:val="clear" w:color="auto" w:fill="FFFFFF"/>
        </w:rPr>
      </w:pPr>
    </w:p>
    <w:p w14:paraId="3B9666AE">
      <w:pPr>
        <w:rPr>
          <w:rFonts w:ascii="Calibri" w:hAnsi="Calibri" w:eastAsia="宋体"/>
          <w:b/>
          <w:color w:val="auto"/>
          <w:sz w:val="44"/>
          <w:szCs w:val="44"/>
          <w:highlight w:val="none"/>
          <w:shd w:val="clear" w:color="auto" w:fill="FFFFFF"/>
        </w:rPr>
      </w:pPr>
    </w:p>
    <w:p w14:paraId="75CE2FF2">
      <w:pPr>
        <w:rPr>
          <w:rFonts w:ascii="Calibri" w:hAnsi="Calibri" w:eastAsia="宋体"/>
          <w:b/>
          <w:color w:val="auto"/>
          <w:sz w:val="44"/>
          <w:szCs w:val="44"/>
          <w:highlight w:val="none"/>
          <w:shd w:val="clear" w:color="auto" w:fill="FFFFFF"/>
        </w:rPr>
      </w:pPr>
    </w:p>
    <w:p w14:paraId="74B2C44F">
      <w:pPr>
        <w:widowControl/>
        <w:jc w:val="left"/>
        <w:rPr>
          <w:rFonts w:ascii="Calibri" w:hAnsi="Calibri" w:eastAsia="宋体"/>
          <w:b/>
          <w:color w:val="auto"/>
          <w:sz w:val="44"/>
          <w:szCs w:val="44"/>
          <w:highlight w:val="none"/>
          <w:shd w:val="clear" w:color="auto" w:fill="FFFFFF"/>
        </w:rPr>
      </w:pPr>
      <w:r>
        <w:rPr>
          <w:rFonts w:ascii="Calibri" w:hAnsi="Calibri" w:eastAsia="宋体"/>
          <w:b/>
          <w:color w:val="auto"/>
          <w:sz w:val="44"/>
          <w:szCs w:val="44"/>
          <w:highlight w:val="none"/>
          <w:shd w:val="clear" w:color="auto" w:fill="FFFFFF"/>
        </w:rPr>
        <w:br w:type="page"/>
      </w:r>
    </w:p>
    <w:p w14:paraId="4896CF56">
      <w:pPr>
        <w:widowControl/>
        <w:jc w:val="left"/>
        <w:rPr>
          <w:rFonts w:ascii="Calibri" w:hAnsi="Calibri" w:eastAsia="宋体"/>
          <w:b/>
          <w:color w:val="auto"/>
          <w:sz w:val="44"/>
          <w:szCs w:val="44"/>
          <w:highlight w:val="none"/>
          <w:shd w:val="clear" w:color="auto" w:fill="FFFFFF"/>
        </w:rPr>
      </w:pPr>
    </w:p>
    <w:p w14:paraId="4112D9B6">
      <w:pPr>
        <w:jc w:val="center"/>
        <w:rPr>
          <w:rFonts w:ascii="Calibri" w:hAnsi="Calibri" w:eastAsia="宋体"/>
          <w:b/>
          <w:color w:val="auto"/>
          <w:sz w:val="36"/>
          <w:szCs w:val="36"/>
          <w:highlight w:val="none"/>
          <w:shd w:val="clear" w:color="auto" w:fill="FFFFFF"/>
        </w:rPr>
      </w:pPr>
      <w:r>
        <w:rPr>
          <w:rFonts w:hint="eastAsia" w:ascii="Calibri" w:hAnsi="Calibri" w:eastAsia="宋体"/>
          <w:b/>
          <w:color w:val="auto"/>
          <w:sz w:val="36"/>
          <w:szCs w:val="36"/>
          <w:highlight w:val="none"/>
          <w:shd w:val="clear" w:color="auto" w:fill="FFFFFF"/>
        </w:rPr>
        <w:t>住宅工程质量分户验收方案的填写说明</w:t>
      </w:r>
    </w:p>
    <w:p w14:paraId="3656733F">
      <w:pPr>
        <w:pStyle w:val="9"/>
        <w:keepNext w:val="0"/>
        <w:keepLines w:val="0"/>
        <w:pageBreakBefore w:val="0"/>
        <w:widowControl w:val="0"/>
        <w:kinsoku/>
        <w:wordWrap/>
        <w:overflowPunct/>
        <w:topLinePunct w:val="0"/>
        <w:autoSpaceDE/>
        <w:autoSpaceDN/>
        <w:bidi w:val="0"/>
        <w:adjustRightInd/>
        <w:snapToGrid/>
        <w:spacing w:before="35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1.建设单位组织施工单位、监理单位</w:t>
      </w:r>
      <w:r>
        <w:rPr>
          <w:rFonts w:hint="eastAsia" w:cs="宋体"/>
          <w:color w:val="auto"/>
          <w:sz w:val="24"/>
          <w:szCs w:val="24"/>
          <w:highlight w:val="none"/>
          <w:lang w:val="en-US" w:eastAsia="zh-CN"/>
        </w:rPr>
        <w:t>等</w:t>
      </w:r>
      <w:r>
        <w:rPr>
          <w:rFonts w:hint="eastAsia" w:cs="宋体"/>
          <w:color w:val="auto"/>
          <w:sz w:val="24"/>
          <w:szCs w:val="24"/>
          <w:highlight w:val="none"/>
          <w:lang w:eastAsia="zh-CN"/>
        </w:rPr>
        <w:t>制定《住宅工程质量分户验收方案》，《住宅工程质量分户验收方案》应经建设、设计、监理和施工</w:t>
      </w:r>
      <w:r>
        <w:rPr>
          <w:rFonts w:hint="eastAsia" w:cs="宋体"/>
          <w:color w:val="auto"/>
          <w:sz w:val="24"/>
          <w:szCs w:val="24"/>
          <w:highlight w:val="none"/>
          <w:lang w:val="en-US" w:eastAsia="zh-CN"/>
        </w:rPr>
        <w:t>等</w:t>
      </w:r>
      <w:r>
        <w:rPr>
          <w:rFonts w:hint="eastAsia" w:cs="宋体"/>
          <w:color w:val="auto"/>
          <w:sz w:val="24"/>
          <w:szCs w:val="24"/>
          <w:highlight w:val="none"/>
          <w:lang w:eastAsia="zh-CN"/>
        </w:rPr>
        <w:t>单位确认；由建设单位组织施工单位（含相关分包单位）、监理单位成立分户验收小组，分户验收小组应包括建设单位项目负责人，施工单位项目负责人、技术负责人和质量负责人，监理单位总监理工程师和其他专业技术人员；</w:t>
      </w:r>
    </w:p>
    <w:p w14:paraId="646E05A0">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2.《住宅工程质量分户验收方案》由工程概况、分户验收组的人员组成、验收依据、验收时间、验收方式、住宅套内实体状况7个部分组成；</w:t>
      </w:r>
    </w:p>
    <w:p w14:paraId="0DDF0DD2">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3</w:t>
      </w:r>
      <w:r>
        <w:rPr>
          <w:rFonts w:hint="eastAsia" w:cs="宋体"/>
          <w:color w:val="auto"/>
          <w:sz w:val="24"/>
          <w:szCs w:val="24"/>
          <w:highlight w:val="none"/>
          <w:lang w:val="en-US" w:eastAsia="zh-CN"/>
        </w:rPr>
        <w:t>.</w:t>
      </w:r>
      <w:r>
        <w:rPr>
          <w:rFonts w:hint="eastAsia" w:cs="宋体"/>
          <w:color w:val="auto"/>
          <w:sz w:val="24"/>
          <w:szCs w:val="24"/>
          <w:highlight w:val="none"/>
          <w:lang w:eastAsia="zh-CN"/>
        </w:rPr>
        <w:t>“分户验收组人员组成”栏，验收组的组成人员由建设单位、监理单位、设计单位、施工总承包单位、主要分包单位的有关人员参加；</w:t>
      </w:r>
    </w:p>
    <w:p w14:paraId="16C9CEF5">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4</w:t>
      </w:r>
      <w:r>
        <w:rPr>
          <w:rFonts w:hint="eastAsia" w:cs="宋体"/>
          <w:color w:val="auto"/>
          <w:sz w:val="24"/>
          <w:szCs w:val="24"/>
          <w:highlight w:val="none"/>
          <w:lang w:val="en-US" w:eastAsia="zh-CN"/>
        </w:rPr>
        <w:t>.</w:t>
      </w:r>
      <w:r>
        <w:rPr>
          <w:rFonts w:hint="eastAsia" w:cs="宋体"/>
          <w:color w:val="auto"/>
          <w:sz w:val="24"/>
          <w:szCs w:val="24"/>
          <w:highlight w:val="none"/>
          <w:lang w:eastAsia="zh-CN"/>
        </w:rPr>
        <w:t>“验收前的准备工作”栏，应填写准备验收的靠尺板、水平仪、测距仪、卷尺、万用表、漏电保护相位检测器等专业检查仪器和工具；对有防水要求的屋面、阳台、厕浴间、厨房等部位应分别按要求提前做好淋水、蓄水试验，以便分户验收时检查有无渗漏情况；为进行套内水电使用运行情况的检查，必须开通户内的上下水、电以及通讯、门禁等系统；</w:t>
      </w:r>
    </w:p>
    <w:p w14:paraId="1CE79FE7">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5</w:t>
      </w:r>
      <w:r>
        <w:rPr>
          <w:rFonts w:hint="eastAsia" w:cs="宋体"/>
          <w:color w:val="auto"/>
          <w:sz w:val="24"/>
          <w:szCs w:val="24"/>
          <w:highlight w:val="none"/>
          <w:lang w:val="en-US" w:eastAsia="zh-CN"/>
        </w:rPr>
        <w:t>.</w:t>
      </w:r>
      <w:r>
        <w:rPr>
          <w:rFonts w:hint="eastAsia" w:cs="宋体"/>
          <w:color w:val="auto"/>
          <w:sz w:val="24"/>
          <w:szCs w:val="24"/>
          <w:highlight w:val="none"/>
          <w:lang w:eastAsia="zh-CN"/>
        </w:rPr>
        <w:t>“验收方式”栏，一是通过专用检测仪器和工具进行实地检测、测量，获取相关的检测数据，二是通过目测检查外观质量，对其做出观感质量的判定；</w:t>
      </w:r>
    </w:p>
    <w:p w14:paraId="0C95547C">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6</w:t>
      </w:r>
      <w:r>
        <w:rPr>
          <w:rFonts w:hint="eastAsia" w:cs="宋体"/>
          <w:color w:val="auto"/>
          <w:sz w:val="24"/>
          <w:szCs w:val="24"/>
          <w:highlight w:val="none"/>
          <w:lang w:val="en-US" w:eastAsia="zh-CN"/>
        </w:rPr>
        <w:t>.</w:t>
      </w:r>
      <w:r>
        <w:rPr>
          <w:rFonts w:hint="eastAsia" w:cs="宋体"/>
          <w:color w:val="auto"/>
          <w:sz w:val="24"/>
          <w:szCs w:val="24"/>
          <w:highlight w:val="none"/>
          <w:lang w:eastAsia="zh-CN"/>
        </w:rPr>
        <w:t>“套内实体状况”栏，应按照套内实体的实际施工状况和设备配置进行真实填写并据此采用相应的施工质量验收标准进行套内验收；</w:t>
      </w:r>
    </w:p>
    <w:p w14:paraId="7586C38D">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按照工程实际情况，分户验收涉及的内容，在表中方框内填“√，否则留空。</w:t>
      </w:r>
    </w:p>
    <w:p w14:paraId="012AE933">
      <w:pPr>
        <w:spacing w:line="360" w:lineRule="auto"/>
        <w:rPr>
          <w:rFonts w:ascii="Calibri" w:hAnsi="Calibri" w:eastAsia="宋体"/>
          <w:color w:val="auto"/>
          <w:sz w:val="18"/>
          <w:szCs w:val="18"/>
          <w:highlight w:val="none"/>
          <w:shd w:val="clear" w:color="auto" w:fill="FFFFFF"/>
        </w:rPr>
      </w:pPr>
    </w:p>
    <w:p w14:paraId="131CA245">
      <w:pPr>
        <w:widowControl/>
        <w:jc w:val="left"/>
        <w:rPr>
          <w:rFonts w:ascii="Calibri" w:hAnsi="Calibri" w:eastAsia="宋体"/>
          <w:b/>
          <w:color w:val="auto"/>
          <w:sz w:val="32"/>
          <w:szCs w:val="32"/>
          <w:highlight w:val="none"/>
          <w:shd w:val="clear" w:color="auto" w:fill="FFFFFF"/>
        </w:rPr>
      </w:pPr>
      <w:r>
        <w:rPr>
          <w:rFonts w:ascii="Calibri" w:hAnsi="Calibri" w:eastAsia="宋体"/>
          <w:b/>
          <w:color w:val="auto"/>
          <w:sz w:val="32"/>
          <w:szCs w:val="32"/>
          <w:highlight w:val="none"/>
          <w:shd w:val="clear" w:color="auto" w:fill="FFFFFF"/>
        </w:rPr>
        <w:br w:type="page"/>
      </w:r>
    </w:p>
    <w:p w14:paraId="607A7C58">
      <w:pPr>
        <w:jc w:val="center"/>
        <w:rPr>
          <w:rFonts w:ascii="Calibri" w:hAnsi="Calibri" w:eastAsia="宋体"/>
          <w:b/>
          <w:color w:val="auto"/>
          <w:sz w:val="32"/>
          <w:szCs w:val="32"/>
          <w:highlight w:val="none"/>
          <w:shd w:val="clear" w:color="auto" w:fill="FFFFFF"/>
        </w:rPr>
      </w:pPr>
    </w:p>
    <w:p w14:paraId="14584FDD">
      <w:pPr>
        <w:jc w:val="center"/>
        <w:rPr>
          <w:rFonts w:hint="eastAsia" w:ascii="Calibri" w:hAnsi="Calibri" w:eastAsia="宋体"/>
          <w:b/>
          <w:color w:val="auto"/>
          <w:sz w:val="32"/>
          <w:szCs w:val="32"/>
          <w:highlight w:val="none"/>
          <w:shd w:val="clear" w:color="auto" w:fill="FFFFFF"/>
        </w:rPr>
      </w:pPr>
      <w:r>
        <w:rPr>
          <w:rFonts w:hint="eastAsia" w:ascii="Calibri" w:hAnsi="Calibri" w:eastAsia="宋体"/>
          <w:b/>
          <w:color w:val="auto"/>
          <w:sz w:val="32"/>
          <w:szCs w:val="32"/>
          <w:highlight w:val="none"/>
          <w:shd w:val="clear" w:color="auto" w:fill="FFFFFF"/>
        </w:rPr>
        <w:t>住宅工程质量分户验收方案</w:t>
      </w:r>
    </w:p>
    <w:p w14:paraId="3E6F7EDF">
      <w:pPr>
        <w:jc w:val="center"/>
        <w:rPr>
          <w:rFonts w:hint="eastAsia" w:ascii="Calibri" w:hAnsi="Calibri" w:eastAsia="宋体"/>
          <w:b/>
          <w:color w:val="auto"/>
          <w:sz w:val="32"/>
          <w:szCs w:val="32"/>
          <w:highlight w:val="none"/>
          <w:shd w:val="clear" w:color="auto" w:fill="FFFFFF"/>
        </w:rPr>
      </w:pPr>
    </w:p>
    <w:tbl>
      <w:tblPr>
        <w:tblStyle w:val="2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40"/>
        <w:gridCol w:w="536"/>
        <w:gridCol w:w="744"/>
        <w:gridCol w:w="668"/>
        <w:gridCol w:w="340"/>
        <w:gridCol w:w="624"/>
        <w:gridCol w:w="888"/>
        <w:gridCol w:w="979"/>
        <w:gridCol w:w="1120"/>
        <w:gridCol w:w="1820"/>
      </w:tblGrid>
      <w:tr w14:paraId="7AB1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86" w:type="dxa"/>
            <w:gridSpan w:val="3"/>
            <w:tcBorders>
              <w:top w:val="single" w:color="auto" w:sz="12" w:space="0"/>
              <w:left w:val="single" w:color="auto" w:sz="12" w:space="0"/>
            </w:tcBorders>
            <w:vAlign w:val="center"/>
          </w:tcPr>
          <w:p w14:paraId="7B955F5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单位（子单位）工程名称</w:t>
            </w:r>
          </w:p>
        </w:tc>
        <w:tc>
          <w:tcPr>
            <w:tcW w:w="7183" w:type="dxa"/>
            <w:gridSpan w:val="8"/>
            <w:tcBorders>
              <w:top w:val="single" w:color="auto" w:sz="12" w:space="0"/>
              <w:right w:val="single" w:color="auto" w:sz="12" w:space="0"/>
            </w:tcBorders>
            <w:vAlign w:val="center"/>
          </w:tcPr>
          <w:p w14:paraId="65263449">
            <w:pPr>
              <w:jc w:val="center"/>
              <w:rPr>
                <w:rFonts w:ascii="Calibri" w:hAnsi="Calibri" w:eastAsia="宋体"/>
                <w:color w:val="auto"/>
                <w:sz w:val="18"/>
                <w:szCs w:val="18"/>
                <w:highlight w:val="none"/>
                <w:shd w:val="clear" w:color="auto" w:fill="FFFFFF"/>
              </w:rPr>
            </w:pPr>
          </w:p>
        </w:tc>
      </w:tr>
      <w:tr w14:paraId="0A9E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restart"/>
            <w:tcBorders>
              <w:left w:val="single" w:color="auto" w:sz="12" w:space="0"/>
            </w:tcBorders>
            <w:vAlign w:val="center"/>
          </w:tcPr>
          <w:p w14:paraId="3A6942C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工程概况</w:t>
            </w:r>
          </w:p>
        </w:tc>
        <w:tc>
          <w:tcPr>
            <w:tcW w:w="1240" w:type="dxa"/>
            <w:vAlign w:val="center"/>
          </w:tcPr>
          <w:p w14:paraId="4122C93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结构形式</w:t>
            </w:r>
          </w:p>
        </w:tc>
        <w:tc>
          <w:tcPr>
            <w:tcW w:w="1948" w:type="dxa"/>
            <w:gridSpan w:val="3"/>
            <w:vAlign w:val="center"/>
          </w:tcPr>
          <w:p w14:paraId="3EB90486">
            <w:pPr>
              <w:jc w:val="center"/>
              <w:rPr>
                <w:rFonts w:ascii="Calibri" w:hAnsi="Calibri" w:eastAsia="宋体"/>
                <w:color w:val="auto"/>
                <w:sz w:val="18"/>
                <w:szCs w:val="18"/>
                <w:highlight w:val="none"/>
                <w:shd w:val="clear" w:color="auto" w:fill="FFFFFF"/>
              </w:rPr>
            </w:pPr>
          </w:p>
        </w:tc>
        <w:tc>
          <w:tcPr>
            <w:tcW w:w="964" w:type="dxa"/>
            <w:gridSpan w:val="2"/>
            <w:vAlign w:val="center"/>
          </w:tcPr>
          <w:p w14:paraId="1709CB1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建筑</w:t>
            </w:r>
          </w:p>
          <w:p w14:paraId="0ECC15B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面积</w:t>
            </w:r>
          </w:p>
        </w:tc>
        <w:tc>
          <w:tcPr>
            <w:tcW w:w="1867" w:type="dxa"/>
            <w:gridSpan w:val="2"/>
            <w:vAlign w:val="center"/>
          </w:tcPr>
          <w:p w14:paraId="617D1F88">
            <w:pPr>
              <w:jc w:val="center"/>
              <w:rPr>
                <w:rFonts w:ascii="Calibri" w:hAnsi="Calibri" w:eastAsia="宋体"/>
                <w:color w:val="auto"/>
                <w:sz w:val="18"/>
                <w:szCs w:val="18"/>
                <w:highlight w:val="none"/>
                <w:shd w:val="clear" w:color="auto" w:fill="FFFFFF"/>
              </w:rPr>
            </w:pPr>
          </w:p>
        </w:tc>
        <w:tc>
          <w:tcPr>
            <w:tcW w:w="1120" w:type="dxa"/>
            <w:vAlign w:val="center"/>
          </w:tcPr>
          <w:p w14:paraId="3E6BA31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层数</w:t>
            </w:r>
          </w:p>
        </w:tc>
        <w:tc>
          <w:tcPr>
            <w:tcW w:w="1820" w:type="dxa"/>
            <w:tcBorders>
              <w:right w:val="single" w:color="auto" w:sz="12" w:space="0"/>
            </w:tcBorders>
            <w:vAlign w:val="center"/>
          </w:tcPr>
          <w:p w14:paraId="71C537CE">
            <w:pPr>
              <w:jc w:val="center"/>
              <w:rPr>
                <w:rFonts w:ascii="Calibri" w:hAnsi="Calibri" w:eastAsia="宋体"/>
                <w:color w:val="auto"/>
                <w:sz w:val="18"/>
                <w:szCs w:val="18"/>
                <w:highlight w:val="none"/>
                <w:shd w:val="clear" w:color="auto" w:fill="FFFFFF"/>
              </w:rPr>
            </w:pPr>
          </w:p>
        </w:tc>
      </w:tr>
      <w:tr w14:paraId="5AF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019AB475">
            <w:pPr>
              <w:rPr>
                <w:rFonts w:ascii="Calibri" w:hAnsi="Calibri" w:eastAsia="宋体"/>
                <w:color w:val="auto"/>
                <w:sz w:val="18"/>
                <w:szCs w:val="18"/>
                <w:highlight w:val="none"/>
                <w:shd w:val="clear" w:color="auto" w:fill="FFFFFF"/>
              </w:rPr>
            </w:pPr>
          </w:p>
        </w:tc>
        <w:tc>
          <w:tcPr>
            <w:tcW w:w="1240" w:type="dxa"/>
            <w:vAlign w:val="center"/>
          </w:tcPr>
          <w:p w14:paraId="21CCF31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80" w:type="dxa"/>
            <w:gridSpan w:val="2"/>
            <w:vAlign w:val="center"/>
          </w:tcPr>
          <w:p w14:paraId="2A11DF22">
            <w:pPr>
              <w:jc w:val="center"/>
              <w:rPr>
                <w:rFonts w:ascii="Calibri" w:hAnsi="Calibri" w:eastAsia="宋体"/>
                <w:color w:val="auto"/>
                <w:sz w:val="18"/>
                <w:szCs w:val="18"/>
                <w:highlight w:val="none"/>
                <w:shd w:val="clear" w:color="auto" w:fill="FFFFFF"/>
              </w:rPr>
            </w:pPr>
          </w:p>
        </w:tc>
        <w:tc>
          <w:tcPr>
            <w:tcW w:w="1008" w:type="dxa"/>
            <w:gridSpan w:val="2"/>
            <w:vAlign w:val="center"/>
          </w:tcPr>
          <w:p w14:paraId="7BCB51B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总户数</w:t>
            </w:r>
          </w:p>
        </w:tc>
        <w:tc>
          <w:tcPr>
            <w:tcW w:w="1512" w:type="dxa"/>
            <w:gridSpan w:val="2"/>
            <w:vAlign w:val="center"/>
          </w:tcPr>
          <w:p w14:paraId="3B38EE74">
            <w:pPr>
              <w:jc w:val="center"/>
              <w:rPr>
                <w:rFonts w:ascii="Calibri" w:hAnsi="Calibri" w:eastAsia="宋体"/>
                <w:color w:val="auto"/>
                <w:sz w:val="18"/>
                <w:szCs w:val="18"/>
                <w:highlight w:val="none"/>
                <w:shd w:val="clear" w:color="auto" w:fill="FFFFFF"/>
              </w:rPr>
            </w:pPr>
          </w:p>
        </w:tc>
        <w:tc>
          <w:tcPr>
            <w:tcW w:w="979" w:type="dxa"/>
            <w:vAlign w:val="center"/>
          </w:tcPr>
          <w:p w14:paraId="7599C09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装修情况</w:t>
            </w:r>
          </w:p>
        </w:tc>
        <w:tc>
          <w:tcPr>
            <w:tcW w:w="2940" w:type="dxa"/>
            <w:gridSpan w:val="2"/>
            <w:tcBorders>
              <w:right w:val="single" w:color="auto" w:sz="12" w:space="0"/>
            </w:tcBorders>
            <w:vAlign w:val="center"/>
          </w:tcPr>
          <w:p w14:paraId="0AD28E31">
            <w:pPr>
              <w:jc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已装修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 未装修</w:t>
            </w:r>
          </w:p>
        </w:tc>
      </w:tr>
      <w:tr w14:paraId="584B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vAlign w:val="center"/>
          </w:tcPr>
          <w:p w14:paraId="5FB0943D">
            <w:pPr>
              <w:jc w:val="center"/>
              <w:rPr>
                <w:rFonts w:ascii="Calibri" w:hAnsi="Calibri" w:eastAsia="宋体"/>
                <w:color w:val="auto"/>
                <w:sz w:val="18"/>
                <w:szCs w:val="18"/>
                <w:highlight w:val="none"/>
                <w:shd w:val="clear" w:color="auto" w:fill="FFFFFF"/>
              </w:rPr>
            </w:pPr>
          </w:p>
        </w:tc>
        <w:tc>
          <w:tcPr>
            <w:tcW w:w="1240" w:type="dxa"/>
            <w:vAlign w:val="center"/>
          </w:tcPr>
          <w:p w14:paraId="2EBB0B4F">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给水管道 敷设</w:t>
            </w:r>
          </w:p>
        </w:tc>
        <w:tc>
          <w:tcPr>
            <w:tcW w:w="1948" w:type="dxa"/>
            <w:gridSpan w:val="3"/>
            <w:vAlign w:val="center"/>
          </w:tcPr>
          <w:p w14:paraId="405C7471">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至入户(总阀)</w:t>
            </w:r>
            <w:r>
              <w:rPr>
                <w:rFonts w:hint="default" w:ascii="宋体" w:hAnsi="宋体" w:eastAsia="宋体" w:cs="宋体"/>
                <w:color w:val="auto"/>
                <w:sz w:val="20"/>
                <w:szCs w:val="20"/>
                <w:highlight w:val="none"/>
                <w:u w:val="none"/>
                <w:shd w:val="clear" w:color="auto" w:fill="FFFFFF"/>
                <w:lang w:bidi="ar"/>
              </w:rPr>
              <w:t xml:space="preserve">    □ 至配水点末端    □ 其他     </w:t>
            </w:r>
          </w:p>
        </w:tc>
        <w:tc>
          <w:tcPr>
            <w:tcW w:w="964" w:type="dxa"/>
            <w:gridSpan w:val="2"/>
            <w:vAlign w:val="center"/>
          </w:tcPr>
          <w:p w14:paraId="40AA7FE5">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排水管道 敷设</w:t>
            </w:r>
          </w:p>
        </w:tc>
        <w:tc>
          <w:tcPr>
            <w:tcW w:w="1867" w:type="dxa"/>
            <w:gridSpan w:val="2"/>
            <w:vAlign w:val="center"/>
          </w:tcPr>
          <w:p w14:paraId="5EEE54BF">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立管预留接</w:t>
            </w:r>
          </w:p>
          <w:p w14:paraId="7F08DABD">
            <w:pPr>
              <w:widowControl/>
              <w:jc w:val="left"/>
              <w:textAlignment w:val="center"/>
              <w:rPr>
                <w:rFonts w:hint="default" w:ascii="Calibri" w:hAnsi="Calibri" w:eastAsia="宋体"/>
                <w:color w:val="auto"/>
                <w:szCs w:val="24"/>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□至洁具排水接</w:t>
            </w:r>
          </w:p>
          <w:p w14:paraId="666BCD9D">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□其他</w:t>
            </w:r>
          </w:p>
        </w:tc>
        <w:tc>
          <w:tcPr>
            <w:tcW w:w="1120" w:type="dxa"/>
            <w:vAlign w:val="center"/>
          </w:tcPr>
          <w:p w14:paraId="60684F08">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 xml:space="preserve">建筑电气 </w:t>
            </w:r>
            <w:r>
              <w:rPr>
                <w:rFonts w:hint="default" w:ascii="宋体" w:hAnsi="宋体" w:eastAsia="宋体" w:cs="宋体"/>
                <w:color w:val="auto"/>
                <w:sz w:val="20"/>
                <w:szCs w:val="20"/>
                <w:highlight w:val="none"/>
                <w:u w:val="none"/>
                <w:shd w:val="clear" w:color="auto" w:fill="FFFFFF"/>
                <w:lang w:bidi="ar"/>
              </w:rPr>
              <w:t xml:space="preserve"> 线路敷设</w:t>
            </w:r>
          </w:p>
        </w:tc>
        <w:tc>
          <w:tcPr>
            <w:tcW w:w="1820" w:type="dxa"/>
            <w:tcBorders>
              <w:right w:val="single" w:color="auto" w:sz="12" w:space="0"/>
            </w:tcBorders>
            <w:vAlign w:val="center"/>
          </w:tcPr>
          <w:p w14:paraId="3C62A32D">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至户内配电箱□至开关插座灯具等</w:t>
            </w:r>
            <w:r>
              <w:rPr>
                <w:rFonts w:hint="eastAsia" w:ascii="宋体" w:hAnsi="宋体" w:eastAsia="宋体" w:cs="宋体"/>
                <w:color w:val="auto"/>
                <w:kern w:val="0"/>
                <w:sz w:val="20"/>
                <w:szCs w:val="20"/>
                <w:highlight w:val="none"/>
                <w:shd w:val="clear" w:color="auto" w:fill="FFFFFF"/>
                <w:lang w:val="en-US" w:eastAsia="zh-CN" w:bidi="ar"/>
              </w:rPr>
              <w:t>末</w:t>
            </w:r>
            <w:r>
              <w:rPr>
                <w:rFonts w:hint="eastAsia" w:ascii="宋体" w:hAnsi="宋体" w:eastAsia="宋体" w:cs="宋体"/>
                <w:color w:val="auto"/>
                <w:kern w:val="0"/>
                <w:sz w:val="20"/>
                <w:szCs w:val="20"/>
                <w:highlight w:val="none"/>
                <w:shd w:val="clear" w:color="auto" w:fill="FFFFFF"/>
                <w:lang w:bidi="ar"/>
              </w:rPr>
              <w:t>端</w:t>
            </w:r>
          </w:p>
          <w:p w14:paraId="0B28D370">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其他</w:t>
            </w:r>
          </w:p>
        </w:tc>
      </w:tr>
      <w:tr w14:paraId="05A4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restart"/>
            <w:tcBorders>
              <w:left w:val="single" w:color="auto" w:sz="12" w:space="0"/>
            </w:tcBorders>
            <w:vAlign w:val="center"/>
          </w:tcPr>
          <w:p w14:paraId="68B5D33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分户验收组人员组成</w:t>
            </w:r>
          </w:p>
        </w:tc>
        <w:tc>
          <w:tcPr>
            <w:tcW w:w="1240" w:type="dxa"/>
            <w:vAlign w:val="center"/>
          </w:tcPr>
          <w:p w14:paraId="26D4384F">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建设单位</w:t>
            </w:r>
          </w:p>
          <w:p w14:paraId="61B042BA">
            <w:pPr>
              <w:jc w:val="center"/>
              <w:rPr>
                <w:rFonts w:hint="eastAsia" w:ascii="Calibri" w:hAnsi="Calibri" w:eastAsia="宋体"/>
                <w:color w:val="auto"/>
                <w:sz w:val="18"/>
                <w:szCs w:val="18"/>
                <w:highlight w:val="none"/>
                <w:shd w:val="clear" w:color="auto" w:fill="FFFFFF"/>
                <w:lang w:eastAsia="zh-CN"/>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14:paraId="675819DB">
            <w:pPr>
              <w:jc w:val="center"/>
              <w:rPr>
                <w:rFonts w:ascii="Calibri" w:hAnsi="Calibri" w:eastAsia="宋体"/>
                <w:color w:val="auto"/>
                <w:sz w:val="18"/>
                <w:szCs w:val="18"/>
                <w:highlight w:val="none"/>
                <w:shd w:val="clear" w:color="auto" w:fill="FFFFFF"/>
              </w:rPr>
            </w:pPr>
          </w:p>
        </w:tc>
        <w:tc>
          <w:tcPr>
            <w:tcW w:w="964" w:type="dxa"/>
            <w:gridSpan w:val="2"/>
            <w:vAlign w:val="center"/>
          </w:tcPr>
          <w:p w14:paraId="052F757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68786A1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14:paraId="70938C07">
            <w:pPr>
              <w:jc w:val="center"/>
              <w:rPr>
                <w:rFonts w:ascii="Calibri" w:hAnsi="Calibri" w:eastAsia="宋体"/>
                <w:color w:val="auto"/>
                <w:sz w:val="18"/>
                <w:szCs w:val="18"/>
                <w:highlight w:val="none"/>
                <w:shd w:val="clear" w:color="auto" w:fill="FFFFFF"/>
              </w:rPr>
            </w:pPr>
          </w:p>
        </w:tc>
        <w:tc>
          <w:tcPr>
            <w:tcW w:w="1120" w:type="dxa"/>
            <w:vAlign w:val="center"/>
          </w:tcPr>
          <w:p w14:paraId="544CEEE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专业技术</w:t>
            </w:r>
          </w:p>
          <w:p w14:paraId="7CF9146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14:paraId="517F6525">
            <w:pPr>
              <w:rPr>
                <w:rFonts w:ascii="Calibri" w:hAnsi="Calibri" w:eastAsia="宋体"/>
                <w:color w:val="auto"/>
                <w:sz w:val="18"/>
                <w:szCs w:val="18"/>
                <w:highlight w:val="none"/>
                <w:shd w:val="clear" w:color="auto" w:fill="FFFFFF"/>
              </w:rPr>
            </w:pPr>
          </w:p>
        </w:tc>
      </w:tr>
      <w:tr w14:paraId="4BD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12E70913">
            <w:pPr>
              <w:rPr>
                <w:rFonts w:ascii="Calibri" w:hAnsi="Calibri" w:eastAsia="宋体"/>
                <w:color w:val="auto"/>
                <w:sz w:val="18"/>
                <w:szCs w:val="18"/>
                <w:highlight w:val="none"/>
                <w:shd w:val="clear" w:color="auto" w:fill="FFFFFF"/>
              </w:rPr>
            </w:pPr>
          </w:p>
        </w:tc>
        <w:tc>
          <w:tcPr>
            <w:tcW w:w="1240" w:type="dxa"/>
            <w:vAlign w:val="center"/>
          </w:tcPr>
          <w:p w14:paraId="094DFA9E">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监理单位</w:t>
            </w:r>
          </w:p>
          <w:p w14:paraId="646B5303">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14:paraId="1484436A">
            <w:pPr>
              <w:jc w:val="center"/>
              <w:rPr>
                <w:rFonts w:ascii="Calibri" w:hAnsi="Calibri" w:eastAsia="宋体"/>
                <w:color w:val="auto"/>
                <w:sz w:val="18"/>
                <w:szCs w:val="18"/>
                <w:highlight w:val="none"/>
                <w:shd w:val="clear" w:color="auto" w:fill="FFFFFF"/>
              </w:rPr>
            </w:pPr>
          </w:p>
        </w:tc>
        <w:tc>
          <w:tcPr>
            <w:tcW w:w="964" w:type="dxa"/>
            <w:gridSpan w:val="2"/>
            <w:vAlign w:val="center"/>
          </w:tcPr>
          <w:p w14:paraId="11746EE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390E6D9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总监</w:t>
            </w:r>
          </w:p>
        </w:tc>
        <w:tc>
          <w:tcPr>
            <w:tcW w:w="1867" w:type="dxa"/>
            <w:gridSpan w:val="2"/>
            <w:vAlign w:val="center"/>
          </w:tcPr>
          <w:p w14:paraId="43C85390">
            <w:pPr>
              <w:jc w:val="center"/>
              <w:rPr>
                <w:rFonts w:ascii="Calibri" w:hAnsi="Calibri" w:eastAsia="宋体"/>
                <w:color w:val="auto"/>
                <w:sz w:val="18"/>
                <w:szCs w:val="18"/>
                <w:highlight w:val="none"/>
                <w:shd w:val="clear" w:color="auto" w:fill="FFFFFF"/>
              </w:rPr>
            </w:pPr>
          </w:p>
        </w:tc>
        <w:tc>
          <w:tcPr>
            <w:tcW w:w="1120" w:type="dxa"/>
            <w:vAlign w:val="center"/>
          </w:tcPr>
          <w:p w14:paraId="20C2EA0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专业监理</w:t>
            </w:r>
          </w:p>
          <w:p w14:paraId="5E14D4F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14:paraId="6C023297">
            <w:pPr>
              <w:rPr>
                <w:rFonts w:ascii="Calibri" w:hAnsi="Calibri" w:eastAsia="宋体"/>
                <w:color w:val="auto"/>
                <w:sz w:val="18"/>
                <w:szCs w:val="18"/>
                <w:highlight w:val="none"/>
                <w:shd w:val="clear" w:color="auto" w:fill="FFFFFF"/>
              </w:rPr>
            </w:pPr>
          </w:p>
        </w:tc>
      </w:tr>
      <w:tr w14:paraId="3E45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49452DC6">
            <w:pPr>
              <w:rPr>
                <w:rFonts w:ascii="Calibri" w:hAnsi="Calibri" w:eastAsia="宋体"/>
                <w:color w:val="auto"/>
                <w:sz w:val="18"/>
                <w:szCs w:val="18"/>
                <w:highlight w:val="none"/>
                <w:shd w:val="clear" w:color="auto" w:fill="FFFFFF"/>
              </w:rPr>
            </w:pPr>
          </w:p>
        </w:tc>
        <w:tc>
          <w:tcPr>
            <w:tcW w:w="1240" w:type="dxa"/>
            <w:vAlign w:val="center"/>
          </w:tcPr>
          <w:p w14:paraId="5040C3A7">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设计单位</w:t>
            </w:r>
          </w:p>
          <w:p w14:paraId="729F99F1">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14:paraId="2309C88C">
            <w:pPr>
              <w:jc w:val="center"/>
              <w:rPr>
                <w:rFonts w:ascii="Calibri" w:hAnsi="Calibri" w:eastAsia="宋体"/>
                <w:color w:val="auto"/>
                <w:sz w:val="18"/>
                <w:szCs w:val="18"/>
                <w:highlight w:val="none"/>
                <w:shd w:val="clear" w:color="auto" w:fill="FFFFFF"/>
              </w:rPr>
            </w:pPr>
          </w:p>
        </w:tc>
        <w:tc>
          <w:tcPr>
            <w:tcW w:w="964" w:type="dxa"/>
            <w:gridSpan w:val="2"/>
            <w:vAlign w:val="center"/>
          </w:tcPr>
          <w:p w14:paraId="2E30D8B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土建设</w:t>
            </w:r>
          </w:p>
          <w:p w14:paraId="6286015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计人员</w:t>
            </w:r>
          </w:p>
        </w:tc>
        <w:tc>
          <w:tcPr>
            <w:tcW w:w="1867" w:type="dxa"/>
            <w:gridSpan w:val="2"/>
            <w:vAlign w:val="center"/>
          </w:tcPr>
          <w:p w14:paraId="630BF89B">
            <w:pPr>
              <w:jc w:val="center"/>
              <w:rPr>
                <w:rFonts w:ascii="Calibri" w:hAnsi="Calibri" w:eastAsia="宋体"/>
                <w:color w:val="auto"/>
                <w:sz w:val="18"/>
                <w:szCs w:val="18"/>
                <w:highlight w:val="none"/>
                <w:shd w:val="clear" w:color="auto" w:fill="FFFFFF"/>
              </w:rPr>
            </w:pPr>
          </w:p>
        </w:tc>
        <w:tc>
          <w:tcPr>
            <w:tcW w:w="1120" w:type="dxa"/>
            <w:vAlign w:val="center"/>
          </w:tcPr>
          <w:p w14:paraId="78F8489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设备设计</w:t>
            </w:r>
          </w:p>
          <w:p w14:paraId="56C7B71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14:paraId="3DBE39AB">
            <w:pPr>
              <w:rPr>
                <w:rFonts w:ascii="Calibri" w:hAnsi="Calibri" w:eastAsia="宋体"/>
                <w:color w:val="auto"/>
                <w:sz w:val="18"/>
                <w:szCs w:val="18"/>
                <w:highlight w:val="none"/>
                <w:shd w:val="clear" w:color="auto" w:fill="FFFFFF"/>
              </w:rPr>
            </w:pPr>
          </w:p>
        </w:tc>
      </w:tr>
      <w:tr w14:paraId="31A2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741C636C">
            <w:pPr>
              <w:rPr>
                <w:rFonts w:ascii="Calibri" w:hAnsi="Calibri" w:eastAsia="宋体"/>
                <w:color w:val="auto"/>
                <w:sz w:val="18"/>
                <w:szCs w:val="18"/>
                <w:highlight w:val="none"/>
                <w:shd w:val="clear" w:color="auto" w:fill="FFFFFF"/>
              </w:rPr>
            </w:pPr>
          </w:p>
        </w:tc>
        <w:tc>
          <w:tcPr>
            <w:tcW w:w="1240" w:type="dxa"/>
            <w:vAlign w:val="center"/>
          </w:tcPr>
          <w:p w14:paraId="55172059">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施工单位</w:t>
            </w:r>
          </w:p>
          <w:p w14:paraId="263BADE3">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14:paraId="692EC74B">
            <w:pPr>
              <w:jc w:val="center"/>
              <w:rPr>
                <w:rFonts w:ascii="Calibri" w:hAnsi="Calibri" w:eastAsia="宋体"/>
                <w:color w:val="auto"/>
                <w:sz w:val="18"/>
                <w:szCs w:val="18"/>
                <w:highlight w:val="none"/>
                <w:shd w:val="clear" w:color="auto" w:fill="FFFFFF"/>
              </w:rPr>
            </w:pPr>
          </w:p>
        </w:tc>
        <w:tc>
          <w:tcPr>
            <w:tcW w:w="964" w:type="dxa"/>
            <w:gridSpan w:val="2"/>
            <w:vAlign w:val="center"/>
          </w:tcPr>
          <w:p w14:paraId="7B41A5B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1057A3A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14:paraId="58F267FF">
            <w:pPr>
              <w:jc w:val="center"/>
              <w:rPr>
                <w:rFonts w:ascii="Calibri" w:hAnsi="Calibri" w:eastAsia="宋体"/>
                <w:color w:val="auto"/>
                <w:sz w:val="18"/>
                <w:szCs w:val="18"/>
                <w:highlight w:val="none"/>
                <w:shd w:val="clear" w:color="auto" w:fill="FFFFFF"/>
              </w:rPr>
            </w:pPr>
          </w:p>
        </w:tc>
        <w:tc>
          <w:tcPr>
            <w:tcW w:w="1120" w:type="dxa"/>
            <w:vAlign w:val="center"/>
          </w:tcPr>
          <w:p w14:paraId="0B87226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14:paraId="177BA10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14:paraId="01F0AC42">
            <w:pPr>
              <w:rPr>
                <w:rFonts w:ascii="Calibri" w:hAnsi="Calibri" w:eastAsia="宋体"/>
                <w:color w:val="auto"/>
                <w:sz w:val="18"/>
                <w:szCs w:val="18"/>
                <w:highlight w:val="none"/>
                <w:shd w:val="clear" w:color="auto" w:fill="FFFFFF"/>
              </w:rPr>
            </w:pPr>
          </w:p>
        </w:tc>
      </w:tr>
      <w:tr w14:paraId="0BD7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20373104">
            <w:pPr>
              <w:rPr>
                <w:rFonts w:ascii="Calibri" w:hAnsi="Calibri" w:eastAsia="宋体"/>
                <w:color w:val="auto"/>
                <w:sz w:val="18"/>
                <w:szCs w:val="18"/>
                <w:highlight w:val="none"/>
                <w:shd w:val="clear" w:color="auto" w:fill="FFFFFF"/>
              </w:rPr>
            </w:pPr>
          </w:p>
        </w:tc>
        <w:tc>
          <w:tcPr>
            <w:tcW w:w="1240" w:type="dxa"/>
            <w:vAlign w:val="center"/>
          </w:tcPr>
          <w:p w14:paraId="734DF65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专业分包</w:t>
            </w:r>
          </w:p>
          <w:p w14:paraId="75B2FF8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w:t>
            </w:r>
          </w:p>
        </w:tc>
        <w:tc>
          <w:tcPr>
            <w:tcW w:w="1948" w:type="dxa"/>
            <w:gridSpan w:val="3"/>
            <w:vAlign w:val="center"/>
          </w:tcPr>
          <w:p w14:paraId="57A23F29">
            <w:pPr>
              <w:jc w:val="center"/>
              <w:rPr>
                <w:rFonts w:ascii="Calibri" w:hAnsi="Calibri" w:eastAsia="宋体"/>
                <w:color w:val="auto"/>
                <w:sz w:val="18"/>
                <w:szCs w:val="18"/>
                <w:highlight w:val="none"/>
                <w:shd w:val="clear" w:color="auto" w:fill="FFFFFF"/>
              </w:rPr>
            </w:pPr>
          </w:p>
        </w:tc>
        <w:tc>
          <w:tcPr>
            <w:tcW w:w="964" w:type="dxa"/>
            <w:gridSpan w:val="2"/>
            <w:vAlign w:val="center"/>
          </w:tcPr>
          <w:p w14:paraId="2BF9012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5A2A9A3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14:paraId="3C300D26">
            <w:pPr>
              <w:jc w:val="center"/>
              <w:rPr>
                <w:rFonts w:ascii="Calibri" w:hAnsi="Calibri" w:eastAsia="宋体"/>
                <w:color w:val="auto"/>
                <w:sz w:val="18"/>
                <w:szCs w:val="18"/>
                <w:highlight w:val="none"/>
                <w:shd w:val="clear" w:color="auto" w:fill="FFFFFF"/>
              </w:rPr>
            </w:pPr>
          </w:p>
        </w:tc>
        <w:tc>
          <w:tcPr>
            <w:tcW w:w="1120" w:type="dxa"/>
            <w:vAlign w:val="center"/>
          </w:tcPr>
          <w:p w14:paraId="6AD0CA7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14:paraId="483121B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14:paraId="79CBDFB4">
            <w:pPr>
              <w:rPr>
                <w:rFonts w:ascii="Calibri" w:hAnsi="Calibri" w:eastAsia="宋体"/>
                <w:color w:val="auto"/>
                <w:sz w:val="18"/>
                <w:szCs w:val="18"/>
                <w:highlight w:val="none"/>
                <w:shd w:val="clear" w:color="auto" w:fill="FFFFFF"/>
              </w:rPr>
            </w:pPr>
          </w:p>
        </w:tc>
      </w:tr>
      <w:tr w14:paraId="5871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793017E9">
            <w:pPr>
              <w:rPr>
                <w:rFonts w:ascii="Calibri" w:hAnsi="Calibri" w:eastAsia="宋体"/>
                <w:color w:val="auto"/>
                <w:sz w:val="18"/>
                <w:szCs w:val="18"/>
                <w:highlight w:val="none"/>
                <w:shd w:val="clear" w:color="auto" w:fill="FFFFFF"/>
              </w:rPr>
            </w:pPr>
          </w:p>
        </w:tc>
        <w:tc>
          <w:tcPr>
            <w:tcW w:w="1240" w:type="dxa"/>
            <w:vAlign w:val="center"/>
          </w:tcPr>
          <w:p w14:paraId="1CC56E3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专业分包</w:t>
            </w:r>
          </w:p>
          <w:p w14:paraId="01D035B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w:t>
            </w:r>
          </w:p>
        </w:tc>
        <w:tc>
          <w:tcPr>
            <w:tcW w:w="1948" w:type="dxa"/>
            <w:gridSpan w:val="3"/>
          </w:tcPr>
          <w:p w14:paraId="4C2E7C3D">
            <w:pPr>
              <w:rPr>
                <w:rFonts w:ascii="Calibri" w:hAnsi="Calibri" w:eastAsia="宋体"/>
                <w:color w:val="auto"/>
                <w:sz w:val="18"/>
                <w:szCs w:val="18"/>
                <w:highlight w:val="none"/>
                <w:shd w:val="clear" w:color="auto" w:fill="FFFFFF"/>
              </w:rPr>
            </w:pPr>
          </w:p>
        </w:tc>
        <w:tc>
          <w:tcPr>
            <w:tcW w:w="964" w:type="dxa"/>
            <w:gridSpan w:val="2"/>
            <w:vAlign w:val="center"/>
          </w:tcPr>
          <w:p w14:paraId="01F69FC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46BB33C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tcPr>
          <w:p w14:paraId="4F7A3A91">
            <w:pPr>
              <w:rPr>
                <w:rFonts w:ascii="Calibri" w:hAnsi="Calibri" w:eastAsia="宋体"/>
                <w:color w:val="auto"/>
                <w:sz w:val="18"/>
                <w:szCs w:val="18"/>
                <w:highlight w:val="none"/>
                <w:shd w:val="clear" w:color="auto" w:fill="FFFFFF"/>
              </w:rPr>
            </w:pPr>
          </w:p>
        </w:tc>
        <w:tc>
          <w:tcPr>
            <w:tcW w:w="1120" w:type="dxa"/>
            <w:vAlign w:val="center"/>
          </w:tcPr>
          <w:p w14:paraId="04BC29D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14:paraId="7A74F55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14:paraId="53221CF0">
            <w:pPr>
              <w:rPr>
                <w:rFonts w:ascii="Calibri" w:hAnsi="Calibri" w:eastAsia="宋体"/>
                <w:color w:val="auto"/>
                <w:sz w:val="18"/>
                <w:szCs w:val="18"/>
                <w:highlight w:val="none"/>
                <w:shd w:val="clear" w:color="auto" w:fill="FFFFFF"/>
              </w:rPr>
            </w:pPr>
          </w:p>
        </w:tc>
      </w:tr>
      <w:tr w14:paraId="4992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14:paraId="0285DC89">
            <w:pPr>
              <w:rPr>
                <w:rFonts w:ascii="Calibri" w:hAnsi="Calibri" w:eastAsia="宋体"/>
                <w:color w:val="auto"/>
                <w:sz w:val="18"/>
                <w:szCs w:val="18"/>
                <w:highlight w:val="none"/>
                <w:shd w:val="clear" w:color="auto" w:fill="FFFFFF"/>
              </w:rPr>
            </w:pPr>
          </w:p>
        </w:tc>
        <w:tc>
          <w:tcPr>
            <w:tcW w:w="1240" w:type="dxa"/>
          </w:tcPr>
          <w:p w14:paraId="29A77F4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专业分包</w:t>
            </w:r>
          </w:p>
          <w:p w14:paraId="28DCD9A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w:t>
            </w:r>
          </w:p>
        </w:tc>
        <w:tc>
          <w:tcPr>
            <w:tcW w:w="1948" w:type="dxa"/>
            <w:gridSpan w:val="3"/>
          </w:tcPr>
          <w:p w14:paraId="202061D2">
            <w:pPr>
              <w:rPr>
                <w:rFonts w:ascii="Calibri" w:hAnsi="Calibri" w:eastAsia="宋体"/>
                <w:color w:val="auto"/>
                <w:sz w:val="18"/>
                <w:szCs w:val="18"/>
                <w:highlight w:val="none"/>
                <w:shd w:val="clear" w:color="auto" w:fill="FFFFFF"/>
              </w:rPr>
            </w:pPr>
          </w:p>
        </w:tc>
        <w:tc>
          <w:tcPr>
            <w:tcW w:w="964" w:type="dxa"/>
            <w:gridSpan w:val="2"/>
            <w:vAlign w:val="center"/>
          </w:tcPr>
          <w:p w14:paraId="7BE628C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14:paraId="51874C5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tcPr>
          <w:p w14:paraId="785FF66C">
            <w:pPr>
              <w:rPr>
                <w:rFonts w:ascii="Calibri" w:hAnsi="Calibri" w:eastAsia="宋体"/>
                <w:color w:val="auto"/>
                <w:sz w:val="18"/>
                <w:szCs w:val="18"/>
                <w:highlight w:val="none"/>
                <w:shd w:val="clear" w:color="auto" w:fill="FFFFFF"/>
              </w:rPr>
            </w:pPr>
          </w:p>
        </w:tc>
        <w:tc>
          <w:tcPr>
            <w:tcW w:w="1120" w:type="dxa"/>
            <w:vAlign w:val="center"/>
          </w:tcPr>
          <w:p w14:paraId="565722D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14:paraId="6E23D11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14:paraId="4238A0C7">
            <w:pPr>
              <w:rPr>
                <w:rFonts w:ascii="Calibri" w:hAnsi="Calibri" w:eastAsia="宋体"/>
                <w:color w:val="auto"/>
                <w:sz w:val="18"/>
                <w:szCs w:val="18"/>
                <w:highlight w:val="none"/>
                <w:shd w:val="clear" w:color="auto" w:fill="FFFFFF"/>
              </w:rPr>
            </w:pPr>
          </w:p>
        </w:tc>
      </w:tr>
      <w:tr w14:paraId="647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10" w:type="dxa"/>
            <w:tcBorders>
              <w:left w:val="single" w:color="auto" w:sz="12" w:space="0"/>
            </w:tcBorders>
            <w:vAlign w:val="center"/>
          </w:tcPr>
          <w:p w14:paraId="7024A3B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验收依据</w:t>
            </w:r>
          </w:p>
        </w:tc>
        <w:tc>
          <w:tcPr>
            <w:tcW w:w="8959" w:type="dxa"/>
            <w:gridSpan w:val="10"/>
            <w:tcBorders>
              <w:right w:val="single" w:color="auto" w:sz="12" w:space="0"/>
            </w:tcBorders>
            <w:vAlign w:val="center"/>
          </w:tcPr>
          <w:p w14:paraId="620B3784">
            <w:pPr>
              <w:ind w:firstLine="360" w:firstLineChars="20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国家现行的建筑工程施工质量验收规范、标准，省发布的有关工程质量管理规定及施工合同、设计文件</w:t>
            </w:r>
          </w:p>
        </w:tc>
      </w:tr>
      <w:tr w14:paraId="09B5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10" w:type="dxa"/>
            <w:tcBorders>
              <w:left w:val="single" w:color="auto" w:sz="12" w:space="0"/>
            </w:tcBorders>
            <w:vAlign w:val="center"/>
          </w:tcPr>
          <w:p w14:paraId="589C0E4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验收时间</w:t>
            </w:r>
          </w:p>
        </w:tc>
        <w:tc>
          <w:tcPr>
            <w:tcW w:w="8959" w:type="dxa"/>
            <w:gridSpan w:val="10"/>
            <w:tcBorders>
              <w:right w:val="single" w:color="auto" w:sz="12" w:space="0"/>
            </w:tcBorders>
            <w:vAlign w:val="center"/>
          </w:tcPr>
          <w:p w14:paraId="2CC9A7C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年   月   日～      年   月   日</w:t>
            </w:r>
          </w:p>
        </w:tc>
      </w:tr>
      <w:tr w14:paraId="4EF5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10" w:type="dxa"/>
            <w:vMerge w:val="restart"/>
            <w:tcBorders>
              <w:left w:val="single" w:color="auto" w:sz="12" w:space="0"/>
            </w:tcBorders>
            <w:vAlign w:val="center"/>
          </w:tcPr>
          <w:p w14:paraId="7B12086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验收前的准备工作</w:t>
            </w:r>
          </w:p>
        </w:tc>
        <w:tc>
          <w:tcPr>
            <w:tcW w:w="1776" w:type="dxa"/>
            <w:gridSpan w:val="2"/>
            <w:vAlign w:val="center"/>
          </w:tcPr>
          <w:p w14:paraId="26470E7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实测实量的</w:t>
            </w:r>
          </w:p>
          <w:p w14:paraId="746AD26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仪器和工具</w:t>
            </w:r>
          </w:p>
        </w:tc>
        <w:tc>
          <w:tcPr>
            <w:tcW w:w="7183" w:type="dxa"/>
            <w:gridSpan w:val="8"/>
            <w:tcBorders>
              <w:right w:val="single" w:color="auto" w:sz="12" w:space="0"/>
            </w:tcBorders>
          </w:tcPr>
          <w:p w14:paraId="69DB91FC">
            <w:pPr>
              <w:rPr>
                <w:rFonts w:ascii="Calibri" w:hAnsi="Calibri" w:eastAsia="宋体"/>
                <w:color w:val="auto"/>
                <w:sz w:val="18"/>
                <w:szCs w:val="18"/>
                <w:highlight w:val="none"/>
                <w:shd w:val="clear" w:color="auto" w:fill="FFFFFF"/>
              </w:rPr>
            </w:pPr>
          </w:p>
        </w:tc>
      </w:tr>
      <w:tr w14:paraId="33BC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0" w:type="dxa"/>
            <w:vMerge w:val="continue"/>
            <w:tcBorders>
              <w:left w:val="single" w:color="auto" w:sz="12" w:space="0"/>
            </w:tcBorders>
            <w:vAlign w:val="center"/>
          </w:tcPr>
          <w:p w14:paraId="2EB9DB31">
            <w:pPr>
              <w:jc w:val="center"/>
              <w:rPr>
                <w:rFonts w:ascii="Calibri" w:hAnsi="Calibri" w:eastAsia="宋体"/>
                <w:color w:val="auto"/>
                <w:sz w:val="18"/>
                <w:szCs w:val="18"/>
                <w:highlight w:val="none"/>
                <w:shd w:val="clear" w:color="auto" w:fill="FFFFFF"/>
              </w:rPr>
            </w:pPr>
          </w:p>
        </w:tc>
        <w:tc>
          <w:tcPr>
            <w:tcW w:w="1776" w:type="dxa"/>
            <w:gridSpan w:val="2"/>
            <w:vAlign w:val="center"/>
          </w:tcPr>
          <w:p w14:paraId="35EA059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蓄水试验部位</w:t>
            </w:r>
          </w:p>
        </w:tc>
        <w:tc>
          <w:tcPr>
            <w:tcW w:w="7183" w:type="dxa"/>
            <w:gridSpan w:val="8"/>
            <w:tcBorders>
              <w:right w:val="single" w:color="auto" w:sz="12" w:space="0"/>
            </w:tcBorders>
            <w:vAlign w:val="center"/>
          </w:tcPr>
          <w:p w14:paraId="2D27C3E2">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平屋面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露/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阳台/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厕浴间地面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厨房地面</w:t>
            </w:r>
          </w:p>
        </w:tc>
      </w:tr>
      <w:tr w14:paraId="4945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0" w:type="dxa"/>
            <w:vMerge w:val="continue"/>
            <w:tcBorders>
              <w:left w:val="single" w:color="auto" w:sz="12" w:space="0"/>
            </w:tcBorders>
            <w:vAlign w:val="center"/>
          </w:tcPr>
          <w:p w14:paraId="72523ED7">
            <w:pPr>
              <w:jc w:val="center"/>
              <w:rPr>
                <w:rFonts w:ascii="Calibri" w:hAnsi="Calibri" w:eastAsia="宋体"/>
                <w:color w:val="auto"/>
                <w:sz w:val="18"/>
                <w:szCs w:val="18"/>
                <w:highlight w:val="none"/>
                <w:shd w:val="clear" w:color="auto" w:fill="FFFFFF"/>
              </w:rPr>
            </w:pPr>
          </w:p>
        </w:tc>
        <w:tc>
          <w:tcPr>
            <w:tcW w:w="1776" w:type="dxa"/>
            <w:gridSpan w:val="2"/>
            <w:vAlign w:val="center"/>
          </w:tcPr>
          <w:p w14:paraId="52D440D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水电设备安装工程系统开通情况</w:t>
            </w:r>
          </w:p>
        </w:tc>
        <w:tc>
          <w:tcPr>
            <w:tcW w:w="7183" w:type="dxa"/>
            <w:gridSpan w:val="8"/>
            <w:tcBorders>
              <w:right w:val="single" w:color="auto" w:sz="12" w:space="0"/>
            </w:tcBorders>
            <w:vAlign w:val="center"/>
          </w:tcPr>
          <w:p w14:paraId="57334CCF">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给排水系统开通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建筑电气开通系统</w:t>
            </w:r>
          </w:p>
        </w:tc>
      </w:tr>
      <w:tr w14:paraId="2C7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10" w:type="dxa"/>
            <w:tcBorders>
              <w:left w:val="single" w:color="auto" w:sz="12" w:space="0"/>
              <w:bottom w:val="single" w:color="auto" w:sz="12" w:space="0"/>
            </w:tcBorders>
            <w:vAlign w:val="center"/>
          </w:tcPr>
          <w:p w14:paraId="35858D7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验收方式</w:t>
            </w:r>
          </w:p>
        </w:tc>
        <w:tc>
          <w:tcPr>
            <w:tcW w:w="8959" w:type="dxa"/>
            <w:gridSpan w:val="10"/>
            <w:tcBorders>
              <w:bottom w:val="single" w:color="auto" w:sz="12" w:space="0"/>
              <w:right w:val="single" w:color="auto" w:sz="12" w:space="0"/>
            </w:tcBorders>
            <w:vAlign w:val="center"/>
          </w:tcPr>
          <w:p w14:paraId="4D04F53E">
            <w:pPr>
              <w:ind w:firstLine="600" w:firstLineChars="300"/>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已装修</w:t>
            </w:r>
            <w:r>
              <w:rPr>
                <w:rFonts w:hint="eastAsia" w:ascii="宋体" w:hAnsi="宋体" w:eastAsia="宋体" w:cs="宋体"/>
                <w:color w:val="auto"/>
                <w:kern w:val="0"/>
                <w:sz w:val="20"/>
                <w:szCs w:val="20"/>
                <w:highlight w:val="none"/>
                <w:shd w:val="clear" w:color="auto" w:fill="FFFFFF"/>
                <w:lang w:bidi="ar"/>
              </w:rPr>
              <w:t>室内主要空间尺寸</w:t>
            </w:r>
            <w:r>
              <w:rPr>
                <w:rFonts w:hint="eastAsia" w:ascii="Calibri" w:hAnsi="Calibri" w:eastAsia="宋体"/>
                <w:color w:val="auto"/>
                <w:sz w:val="18"/>
                <w:szCs w:val="18"/>
                <w:highlight w:val="none"/>
                <w:shd w:val="clear" w:color="auto" w:fill="FFFFFF"/>
              </w:rPr>
              <w:t xml:space="preserve">实测实量    </w:t>
            </w:r>
            <w:r>
              <w:rPr>
                <w:rFonts w:hint="default" w:ascii="宋体" w:hAnsi="宋体" w:eastAsia="宋体" w:cs="宋体"/>
                <w:color w:val="auto"/>
                <w:sz w:val="20"/>
                <w:szCs w:val="20"/>
                <w:highlight w:val="none"/>
                <w:u w:val="none"/>
                <w:shd w:val="clear" w:color="auto" w:fill="FFFFFF"/>
                <w:lang w:bidi="ar"/>
              </w:rPr>
              <w:t>□</w:t>
            </w:r>
            <w:r>
              <w:rPr>
                <w:rFonts w:ascii="Calibri" w:hAnsi="Calibri" w:eastAsia="宋体"/>
                <w:color w:val="auto"/>
                <w:sz w:val="18"/>
                <w:szCs w:val="18"/>
                <w:highlight w:val="none"/>
                <w:shd w:val="clear" w:color="auto" w:fill="FFFFFF"/>
              </w:rPr>
              <w:t>现场</w:t>
            </w:r>
            <w:r>
              <w:rPr>
                <w:rFonts w:hint="eastAsia" w:ascii="Calibri" w:hAnsi="Calibri" w:eastAsia="宋体"/>
                <w:color w:val="auto"/>
                <w:sz w:val="18"/>
                <w:szCs w:val="18"/>
                <w:highlight w:val="none"/>
                <w:shd w:val="clear" w:color="auto" w:fill="FFFFFF"/>
              </w:rPr>
              <w:t xml:space="preserve">实测实量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观感质量检查   </w:t>
            </w:r>
          </w:p>
        </w:tc>
      </w:tr>
    </w:tbl>
    <w:p w14:paraId="5428CF17">
      <w:pPr>
        <w:rPr>
          <w:rFonts w:ascii="Calibri" w:hAnsi="Calibri" w:eastAsia="宋体"/>
          <w:color w:val="auto"/>
          <w:szCs w:val="24"/>
          <w:highlight w:val="none"/>
        </w:rPr>
      </w:pPr>
      <w:r>
        <w:rPr>
          <w:rFonts w:ascii="Calibri" w:hAnsi="Calibri" w:eastAsia="宋体"/>
          <w:color w:val="auto"/>
          <w:szCs w:val="24"/>
          <w:highlight w:val="none"/>
        </w:rPr>
        <w:br w:type="page"/>
      </w:r>
    </w:p>
    <w:p w14:paraId="3F029A95">
      <w:pPr>
        <w:rPr>
          <w:rFonts w:ascii="Calibri" w:hAnsi="Calibri" w:eastAsia="宋体"/>
          <w:color w:val="auto"/>
          <w:szCs w:val="24"/>
          <w:highlight w:val="none"/>
        </w:rPr>
      </w:pPr>
    </w:p>
    <w:tbl>
      <w:tblPr>
        <w:tblStyle w:val="2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93"/>
        <w:gridCol w:w="1260"/>
        <w:gridCol w:w="5806"/>
      </w:tblGrid>
      <w:tr w14:paraId="6743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669" w:type="dxa"/>
            <w:gridSpan w:val="4"/>
            <w:tcBorders>
              <w:top w:val="single" w:color="auto" w:sz="4" w:space="0"/>
              <w:left w:val="single" w:color="auto" w:sz="4" w:space="0"/>
              <w:right w:val="single" w:color="auto" w:sz="4" w:space="0"/>
            </w:tcBorders>
            <w:vAlign w:val="center"/>
          </w:tcPr>
          <w:p w14:paraId="07B61BE5">
            <w:pPr>
              <w:jc w:val="center"/>
              <w:rPr>
                <w:rFonts w:ascii="Calibri" w:hAnsi="Calibri" w:eastAsia="宋体"/>
                <w:b/>
                <w:color w:val="auto"/>
                <w:sz w:val="32"/>
                <w:szCs w:val="32"/>
                <w:highlight w:val="none"/>
                <w:shd w:val="clear" w:color="auto" w:fill="FFFFFF"/>
              </w:rPr>
            </w:pPr>
            <w:r>
              <w:rPr>
                <w:rFonts w:hint="eastAsia" w:ascii="Calibri" w:hAnsi="Calibri" w:eastAsia="宋体"/>
                <w:b/>
                <w:color w:val="auto"/>
                <w:sz w:val="32"/>
                <w:szCs w:val="32"/>
                <w:highlight w:val="none"/>
                <w:shd w:val="clear" w:color="auto" w:fill="FFFFFF"/>
              </w:rPr>
              <w:t>住宅工程质量分户验收方案（续）</w:t>
            </w:r>
          </w:p>
        </w:tc>
      </w:tr>
      <w:tr w14:paraId="06F6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10" w:type="dxa"/>
            <w:vMerge w:val="restart"/>
            <w:tcBorders>
              <w:top w:val="single" w:color="auto" w:sz="12" w:space="0"/>
              <w:left w:val="single" w:color="auto" w:sz="4" w:space="0"/>
            </w:tcBorders>
            <w:vAlign w:val="center"/>
          </w:tcPr>
          <w:p w14:paraId="3A6C03D1">
            <w:pPr>
              <w:jc w:val="center"/>
              <w:rPr>
                <w:rFonts w:ascii="Calibri" w:hAnsi="Calibri" w:eastAsia="宋体"/>
                <w:color w:val="auto"/>
                <w:sz w:val="18"/>
                <w:szCs w:val="18"/>
                <w:highlight w:val="none"/>
                <w:shd w:val="clear" w:color="auto" w:fill="FFFFFF"/>
              </w:rPr>
            </w:pPr>
            <w:r>
              <w:rPr>
                <w:rFonts w:hint="eastAsia" w:ascii="Calibri" w:hAnsi="Calibri" w:eastAsia="宋体"/>
                <w:bCs/>
                <w:color w:val="auto"/>
                <w:szCs w:val="24"/>
                <w:highlight w:val="none"/>
                <w:shd w:val="clear" w:color="auto" w:fill="FFFFFF"/>
              </w:rPr>
              <w:t>分户验收项目</w:t>
            </w:r>
          </w:p>
        </w:tc>
        <w:tc>
          <w:tcPr>
            <w:tcW w:w="1893" w:type="dxa"/>
            <w:tcBorders>
              <w:top w:val="single" w:color="auto" w:sz="12" w:space="0"/>
            </w:tcBorders>
            <w:vAlign w:val="center"/>
          </w:tcPr>
          <w:p w14:paraId="5422E239">
            <w:pPr>
              <w:widowControl/>
              <w:jc w:val="center"/>
              <w:textAlignment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室内主要空间</w:t>
            </w:r>
          </w:p>
          <w:p w14:paraId="5378E29E">
            <w:pPr>
              <w:widowControl/>
              <w:jc w:val="center"/>
              <w:textAlignment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尺寸</w:t>
            </w:r>
          </w:p>
        </w:tc>
        <w:tc>
          <w:tcPr>
            <w:tcW w:w="1260" w:type="dxa"/>
            <w:tcBorders>
              <w:top w:val="single" w:color="auto" w:sz="12" w:space="0"/>
            </w:tcBorders>
            <w:vAlign w:val="center"/>
          </w:tcPr>
          <w:p w14:paraId="24858CA6">
            <w:pPr>
              <w:widowControl/>
              <w:jc w:val="center"/>
              <w:textAlignment w:val="center"/>
              <w:rPr>
                <w:rFonts w:hint="eastAsia" w:ascii="宋体" w:hAnsi="宋体" w:eastAsia="宋体" w:cs="宋体"/>
                <w:color w:val="auto"/>
                <w:kern w:val="0"/>
                <w:sz w:val="20"/>
                <w:szCs w:val="20"/>
                <w:highlight w:val="none"/>
                <w:shd w:val="clear" w:color="auto" w:fill="FFFFFF"/>
                <w:lang w:bidi="ar"/>
              </w:rPr>
            </w:pPr>
            <w:r>
              <w:rPr>
                <w:rFonts w:hint="eastAsia" w:ascii="宋体" w:hAnsi="宋体" w:eastAsia="宋体" w:cs="宋体"/>
                <w:b w:val="0"/>
                <w:color w:val="auto"/>
                <w:kern w:val="0"/>
                <w:sz w:val="20"/>
                <w:szCs w:val="20"/>
                <w:highlight w:val="none"/>
                <w:shd w:val="clear" w:color="auto" w:fill="FFFFFF"/>
                <w:lang w:bidi="ar"/>
              </w:rPr>
              <w:t>自然间</w:t>
            </w:r>
          </w:p>
        </w:tc>
        <w:tc>
          <w:tcPr>
            <w:tcW w:w="5806" w:type="dxa"/>
            <w:tcBorders>
              <w:top w:val="single" w:color="auto" w:sz="12" w:space="0"/>
              <w:right w:val="single" w:color="auto" w:sz="4" w:space="0"/>
            </w:tcBorders>
            <w:vAlign w:val="center"/>
          </w:tcPr>
          <w:p w14:paraId="5F74494A">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净</w:t>
            </w:r>
            <w:r>
              <w:rPr>
                <w:rFonts w:hint="eastAsia" w:ascii="宋体" w:hAnsi="宋体" w:eastAsia="宋体" w:cs="宋体"/>
                <w:b w:val="0"/>
                <w:color w:val="auto"/>
                <w:kern w:val="0"/>
                <w:sz w:val="20"/>
                <w:szCs w:val="20"/>
                <w:highlight w:val="none"/>
                <w:shd w:val="clear" w:color="auto" w:fill="FFFFFF"/>
                <w:lang w:bidi="ar"/>
              </w:rPr>
              <w:t>开间</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净</w:t>
            </w:r>
            <w:r>
              <w:rPr>
                <w:rFonts w:hint="eastAsia" w:ascii="宋体" w:hAnsi="宋体" w:eastAsia="宋体" w:cs="宋体"/>
                <w:b w:val="0"/>
                <w:color w:val="auto"/>
                <w:kern w:val="0"/>
                <w:sz w:val="20"/>
                <w:szCs w:val="20"/>
                <w:highlight w:val="none"/>
                <w:shd w:val="clear" w:color="auto" w:fill="FFFFFF"/>
                <w:lang w:bidi="ar"/>
              </w:rPr>
              <w:t xml:space="preserve">进深 </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w:t>
            </w:r>
            <w:r>
              <w:rPr>
                <w:rFonts w:hint="eastAsia" w:ascii="宋体" w:hAnsi="宋体" w:eastAsia="宋体" w:cs="宋体"/>
                <w:b w:val="0"/>
                <w:color w:val="auto"/>
                <w:kern w:val="0"/>
                <w:sz w:val="20"/>
                <w:szCs w:val="20"/>
                <w:highlight w:val="none"/>
                <w:shd w:val="clear" w:color="auto" w:fill="FFFFFF"/>
                <w:lang w:bidi="ar"/>
              </w:rPr>
              <w:t>净高</w:t>
            </w:r>
          </w:p>
        </w:tc>
      </w:tr>
      <w:tr w14:paraId="645B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0" w:type="dxa"/>
            <w:vMerge w:val="continue"/>
            <w:tcBorders>
              <w:left w:val="single" w:color="auto" w:sz="4" w:space="0"/>
            </w:tcBorders>
            <w:vAlign w:val="center"/>
          </w:tcPr>
          <w:p w14:paraId="6FD7BB7D">
            <w:pPr>
              <w:jc w:val="center"/>
              <w:rPr>
                <w:rFonts w:ascii="Calibri" w:hAnsi="Calibri" w:eastAsia="宋体"/>
                <w:color w:val="auto"/>
                <w:sz w:val="18"/>
                <w:szCs w:val="18"/>
                <w:highlight w:val="none"/>
                <w:shd w:val="clear" w:color="auto" w:fill="FFFFFF"/>
              </w:rPr>
            </w:pPr>
          </w:p>
        </w:tc>
        <w:tc>
          <w:tcPr>
            <w:tcW w:w="1893" w:type="dxa"/>
            <w:vMerge w:val="restart"/>
            <w:tcBorders>
              <w:top w:val="single" w:color="auto" w:sz="12" w:space="0"/>
            </w:tcBorders>
            <w:vAlign w:val="center"/>
          </w:tcPr>
          <w:p w14:paraId="350DB1F1">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建筑地面、</w:t>
            </w:r>
          </w:p>
          <w:p w14:paraId="6F3AA5E0">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墙面和顶棚</w:t>
            </w:r>
          </w:p>
        </w:tc>
        <w:tc>
          <w:tcPr>
            <w:tcW w:w="1260" w:type="dxa"/>
            <w:tcBorders>
              <w:top w:val="single" w:color="auto" w:sz="12" w:space="0"/>
            </w:tcBorders>
            <w:vAlign w:val="center"/>
          </w:tcPr>
          <w:p w14:paraId="3263BE68">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楼地面</w:t>
            </w:r>
          </w:p>
        </w:tc>
        <w:tc>
          <w:tcPr>
            <w:tcW w:w="5806" w:type="dxa"/>
            <w:tcBorders>
              <w:top w:val="single" w:color="auto" w:sz="12" w:space="0"/>
              <w:right w:val="single" w:color="auto" w:sz="4" w:space="0"/>
            </w:tcBorders>
            <w:vAlign w:val="center"/>
          </w:tcPr>
          <w:p w14:paraId="2E966348">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ascii="宋体" w:hAnsi="宋体" w:eastAsia="宋体" w:cs="宋体"/>
                <w:color w:val="auto"/>
                <w:kern w:val="0"/>
                <w:sz w:val="20"/>
                <w:szCs w:val="20"/>
                <w:highlight w:val="none"/>
                <w:shd w:val="clear" w:color="auto" w:fill="FFFFFF"/>
                <w:lang w:bidi="ar"/>
              </w:rPr>
              <w:t xml:space="preserve">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ascii="宋体" w:hAnsi="宋体" w:eastAsia="宋体" w:cs="宋体"/>
                <w:color w:val="auto"/>
                <w:kern w:val="0"/>
                <w:sz w:val="20"/>
                <w:szCs w:val="20"/>
                <w:highlight w:val="none"/>
                <w:shd w:val="clear" w:color="auto" w:fill="FFFFFF"/>
                <w:lang w:bidi="ar"/>
              </w:rPr>
              <w:t xml:space="preserve">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坡度（有排水要求部位）</w:t>
            </w:r>
          </w:p>
        </w:tc>
      </w:tr>
      <w:tr w14:paraId="0D98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0" w:type="dxa"/>
            <w:vMerge w:val="continue"/>
            <w:tcBorders>
              <w:left w:val="single" w:color="auto" w:sz="4" w:space="0"/>
            </w:tcBorders>
            <w:vAlign w:val="center"/>
          </w:tcPr>
          <w:p w14:paraId="538950D9">
            <w:pPr>
              <w:jc w:val="center"/>
              <w:rPr>
                <w:rFonts w:ascii="Calibri" w:hAnsi="Calibri" w:eastAsia="宋体"/>
                <w:color w:val="auto"/>
                <w:sz w:val="18"/>
                <w:szCs w:val="18"/>
                <w:highlight w:val="none"/>
                <w:shd w:val="clear" w:color="auto" w:fill="FFFFFF"/>
              </w:rPr>
            </w:pPr>
          </w:p>
        </w:tc>
        <w:tc>
          <w:tcPr>
            <w:tcW w:w="1893" w:type="dxa"/>
            <w:vMerge w:val="continue"/>
            <w:vAlign w:val="center"/>
          </w:tcPr>
          <w:p w14:paraId="3DB61DBF">
            <w:pPr>
              <w:jc w:val="center"/>
              <w:rPr>
                <w:rFonts w:ascii="Calibri" w:hAnsi="Calibri" w:eastAsia="宋体"/>
                <w:color w:val="auto"/>
                <w:szCs w:val="24"/>
                <w:highlight w:val="none"/>
                <w:shd w:val="clear" w:color="auto" w:fill="FFFFFF"/>
              </w:rPr>
            </w:pPr>
          </w:p>
        </w:tc>
        <w:tc>
          <w:tcPr>
            <w:tcW w:w="1260" w:type="dxa"/>
            <w:vAlign w:val="center"/>
          </w:tcPr>
          <w:p w14:paraId="347585DB">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墙面</w:t>
            </w:r>
          </w:p>
        </w:tc>
        <w:tc>
          <w:tcPr>
            <w:tcW w:w="5806" w:type="dxa"/>
            <w:tcBorders>
              <w:right w:val="single" w:color="auto" w:sz="4" w:space="0"/>
            </w:tcBorders>
            <w:vAlign w:val="center"/>
          </w:tcPr>
          <w:p w14:paraId="0BA02222">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起皮</w:t>
            </w:r>
          </w:p>
        </w:tc>
      </w:tr>
      <w:tr w14:paraId="75B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14:paraId="570FC7BD">
            <w:pPr>
              <w:jc w:val="center"/>
              <w:rPr>
                <w:rFonts w:ascii="Calibri" w:hAnsi="Calibri" w:eastAsia="宋体"/>
                <w:color w:val="auto"/>
                <w:sz w:val="18"/>
                <w:szCs w:val="18"/>
                <w:highlight w:val="none"/>
                <w:shd w:val="clear" w:color="auto" w:fill="FFFFFF"/>
              </w:rPr>
            </w:pPr>
          </w:p>
        </w:tc>
        <w:tc>
          <w:tcPr>
            <w:tcW w:w="1893" w:type="dxa"/>
            <w:vMerge w:val="continue"/>
            <w:vAlign w:val="center"/>
          </w:tcPr>
          <w:p w14:paraId="3A6CE17F">
            <w:pPr>
              <w:jc w:val="center"/>
              <w:rPr>
                <w:rFonts w:ascii="Calibri" w:hAnsi="Calibri" w:eastAsia="宋体"/>
                <w:color w:val="auto"/>
                <w:szCs w:val="24"/>
                <w:highlight w:val="none"/>
                <w:shd w:val="clear" w:color="auto" w:fill="FFFFFF"/>
              </w:rPr>
            </w:pPr>
          </w:p>
        </w:tc>
        <w:tc>
          <w:tcPr>
            <w:tcW w:w="1260" w:type="dxa"/>
            <w:vAlign w:val="center"/>
          </w:tcPr>
          <w:p w14:paraId="725A3490">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顶棚</w:t>
            </w:r>
          </w:p>
        </w:tc>
        <w:tc>
          <w:tcPr>
            <w:tcW w:w="5806" w:type="dxa"/>
            <w:tcBorders>
              <w:right w:val="single" w:color="auto" w:sz="4" w:space="0"/>
            </w:tcBorders>
            <w:vAlign w:val="center"/>
          </w:tcPr>
          <w:p w14:paraId="4F4BBEA3">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起皮</w:t>
            </w:r>
          </w:p>
        </w:tc>
      </w:tr>
      <w:tr w14:paraId="0F11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tcBorders>
              <w:left w:val="single" w:color="auto" w:sz="4" w:space="0"/>
            </w:tcBorders>
            <w:vAlign w:val="center"/>
          </w:tcPr>
          <w:p w14:paraId="0E18DBD5">
            <w:pPr>
              <w:rPr>
                <w:rFonts w:ascii="Calibri" w:hAnsi="Calibri" w:eastAsia="宋体"/>
                <w:color w:val="auto"/>
                <w:sz w:val="18"/>
                <w:szCs w:val="18"/>
                <w:highlight w:val="none"/>
                <w:shd w:val="clear" w:color="auto" w:fill="FFFFFF"/>
              </w:rPr>
            </w:pPr>
          </w:p>
        </w:tc>
        <w:tc>
          <w:tcPr>
            <w:tcW w:w="1893" w:type="dxa"/>
            <w:vMerge w:val="restart"/>
            <w:vAlign w:val="center"/>
          </w:tcPr>
          <w:p w14:paraId="528AC9FE">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门窗安装</w:t>
            </w:r>
          </w:p>
        </w:tc>
        <w:tc>
          <w:tcPr>
            <w:tcW w:w="1260" w:type="dxa"/>
            <w:vAlign w:val="center"/>
          </w:tcPr>
          <w:p w14:paraId="03E9ECA5">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窗</w:t>
            </w:r>
          </w:p>
        </w:tc>
        <w:tc>
          <w:tcPr>
            <w:tcW w:w="5806" w:type="dxa"/>
            <w:tcBorders>
              <w:right w:val="single" w:color="auto" w:sz="4" w:space="0"/>
            </w:tcBorders>
            <w:vAlign w:val="center"/>
          </w:tcPr>
          <w:p w14:paraId="051A66C5">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防脱落措施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开关灵活到位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与墙体间密封防水（有防水要求）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窗台、窗檐排水措施</w:t>
            </w:r>
          </w:p>
        </w:tc>
      </w:tr>
      <w:tr w14:paraId="7EEF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tcBorders>
              <w:left w:val="single" w:color="auto" w:sz="4" w:space="0"/>
            </w:tcBorders>
            <w:vAlign w:val="center"/>
          </w:tcPr>
          <w:p w14:paraId="47BE4522">
            <w:pPr>
              <w:rPr>
                <w:rFonts w:ascii="Calibri" w:hAnsi="Calibri" w:eastAsia="宋体"/>
                <w:color w:val="auto"/>
                <w:sz w:val="18"/>
                <w:szCs w:val="18"/>
                <w:highlight w:val="none"/>
                <w:shd w:val="clear" w:color="auto" w:fill="FFFFFF"/>
              </w:rPr>
            </w:pPr>
          </w:p>
        </w:tc>
        <w:tc>
          <w:tcPr>
            <w:tcW w:w="1893" w:type="dxa"/>
            <w:vMerge w:val="continue"/>
            <w:vAlign w:val="center"/>
          </w:tcPr>
          <w:p w14:paraId="4150CD0A">
            <w:pPr>
              <w:jc w:val="center"/>
              <w:rPr>
                <w:rFonts w:ascii="Calibri" w:hAnsi="Calibri" w:eastAsia="宋体"/>
                <w:color w:val="auto"/>
                <w:szCs w:val="24"/>
                <w:highlight w:val="none"/>
                <w:shd w:val="clear" w:color="auto" w:fill="FFFFFF"/>
              </w:rPr>
            </w:pPr>
          </w:p>
        </w:tc>
        <w:tc>
          <w:tcPr>
            <w:tcW w:w="1260" w:type="dxa"/>
            <w:vAlign w:val="center"/>
          </w:tcPr>
          <w:p w14:paraId="3CEAB890">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门</w:t>
            </w:r>
          </w:p>
        </w:tc>
        <w:tc>
          <w:tcPr>
            <w:tcW w:w="5806" w:type="dxa"/>
            <w:tcBorders>
              <w:right w:val="single" w:color="auto" w:sz="4" w:space="0"/>
            </w:tcBorders>
            <w:vAlign w:val="center"/>
          </w:tcPr>
          <w:p w14:paraId="69F8B782">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开关灵活到位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与墙体间密封防水（有防水要求）                  </w:t>
            </w:r>
            <w:r>
              <w:rPr>
                <w:rFonts w:hint="default" w:ascii="宋体" w:hAnsi="宋体" w:eastAsia="宋体" w:cs="宋体"/>
                <w:color w:val="auto"/>
                <w:sz w:val="20"/>
                <w:szCs w:val="20"/>
                <w:highlight w:val="none"/>
                <w:u w:val="none"/>
                <w:shd w:val="clear" w:color="auto" w:fill="FFFFFF"/>
                <w:lang w:bidi="ar"/>
              </w:rPr>
              <w:t>□</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厨房、卫生间的门的下方应设进风固定百叶或留进风缝隙</w:t>
            </w:r>
          </w:p>
        </w:tc>
      </w:tr>
      <w:tr w14:paraId="374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14:paraId="706B0DFC">
            <w:pPr>
              <w:jc w:val="center"/>
              <w:rPr>
                <w:rFonts w:ascii="Calibri" w:hAnsi="Calibri" w:eastAsia="宋体"/>
                <w:color w:val="auto"/>
                <w:sz w:val="18"/>
                <w:szCs w:val="18"/>
                <w:highlight w:val="none"/>
                <w:shd w:val="clear" w:color="auto" w:fill="FFFFFF"/>
              </w:rPr>
            </w:pPr>
          </w:p>
        </w:tc>
        <w:tc>
          <w:tcPr>
            <w:tcW w:w="1893" w:type="dxa"/>
            <w:vMerge w:val="restart"/>
            <w:vAlign w:val="center"/>
          </w:tcPr>
          <w:p w14:paraId="0F9E275F">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建筑外门窗节能</w:t>
            </w:r>
          </w:p>
        </w:tc>
        <w:tc>
          <w:tcPr>
            <w:tcW w:w="1260" w:type="dxa"/>
            <w:vAlign w:val="center"/>
          </w:tcPr>
          <w:p w14:paraId="7B9BB497">
            <w:pPr>
              <w:jc w:val="center"/>
              <w:rPr>
                <w:rFonts w:ascii="Calibri" w:hAnsi="Calibri" w:eastAsia="宋体"/>
                <w:color w:val="auto"/>
                <w:szCs w:val="24"/>
                <w:highlight w:val="none"/>
                <w:shd w:val="clear" w:color="auto" w:fill="FFFFFF"/>
              </w:rPr>
            </w:pPr>
            <w:r>
              <w:rPr>
                <w:rFonts w:hint="eastAsia" w:ascii="宋体" w:hAnsi="宋体" w:eastAsia="宋体" w:cs="宋体"/>
                <w:b w:val="0"/>
                <w:color w:val="auto"/>
                <w:kern w:val="0"/>
                <w:sz w:val="20"/>
                <w:szCs w:val="20"/>
                <w:highlight w:val="none"/>
                <w:shd w:val="clear" w:color="auto" w:fill="FFFFFF"/>
                <w:lang w:bidi="ar"/>
              </w:rPr>
              <w:t>外遮阳</w:t>
            </w:r>
          </w:p>
        </w:tc>
        <w:tc>
          <w:tcPr>
            <w:tcW w:w="5806" w:type="dxa"/>
            <w:tcBorders>
              <w:right w:val="single" w:color="auto" w:sz="4" w:space="0"/>
            </w:tcBorders>
            <w:vAlign w:val="center"/>
          </w:tcPr>
          <w:p w14:paraId="15B3E4D9">
            <w:pPr>
              <w:rPr>
                <w:rFonts w:ascii="Calibri" w:hAnsi="Calibri" w:eastAsia="宋体"/>
                <w:b/>
                <w:bCs/>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型式符合要求     □ 安装牢固    □ 其他 </w:t>
            </w:r>
          </w:p>
        </w:tc>
      </w:tr>
      <w:tr w14:paraId="2CB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14:paraId="129085B5">
            <w:pPr>
              <w:jc w:val="center"/>
              <w:rPr>
                <w:rFonts w:ascii="Calibri" w:hAnsi="Calibri" w:eastAsia="宋体"/>
                <w:color w:val="auto"/>
                <w:sz w:val="18"/>
                <w:szCs w:val="18"/>
                <w:highlight w:val="none"/>
                <w:shd w:val="clear" w:color="auto" w:fill="FFFFFF"/>
              </w:rPr>
            </w:pPr>
          </w:p>
        </w:tc>
        <w:tc>
          <w:tcPr>
            <w:tcW w:w="1893" w:type="dxa"/>
            <w:vMerge w:val="continue"/>
            <w:vAlign w:val="center"/>
          </w:tcPr>
          <w:p w14:paraId="79ECA3EC">
            <w:pPr>
              <w:jc w:val="center"/>
              <w:rPr>
                <w:rFonts w:ascii="Calibri" w:hAnsi="Calibri" w:eastAsia="宋体"/>
                <w:color w:val="auto"/>
                <w:szCs w:val="24"/>
                <w:highlight w:val="none"/>
                <w:shd w:val="clear" w:color="auto" w:fill="FFFFFF"/>
              </w:rPr>
            </w:pPr>
          </w:p>
        </w:tc>
        <w:tc>
          <w:tcPr>
            <w:tcW w:w="1260" w:type="dxa"/>
            <w:vAlign w:val="center"/>
          </w:tcPr>
          <w:p w14:paraId="20CEE6EE">
            <w:pPr>
              <w:rPr>
                <w:rFonts w:ascii="Calibri" w:hAnsi="Calibri" w:eastAsia="宋体"/>
                <w:color w:val="auto"/>
                <w:szCs w:val="24"/>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 其他 </w:t>
            </w:r>
          </w:p>
        </w:tc>
        <w:tc>
          <w:tcPr>
            <w:tcW w:w="5806" w:type="dxa"/>
            <w:tcBorders>
              <w:right w:val="single" w:color="auto" w:sz="4" w:space="0"/>
            </w:tcBorders>
            <w:vAlign w:val="center"/>
          </w:tcPr>
          <w:p w14:paraId="41941C2D">
            <w:pPr>
              <w:rPr>
                <w:rFonts w:ascii="Calibri" w:hAnsi="Calibri" w:eastAsia="宋体"/>
                <w:color w:val="auto"/>
                <w:sz w:val="18"/>
                <w:szCs w:val="18"/>
                <w:highlight w:val="none"/>
                <w:shd w:val="clear" w:color="auto" w:fill="FFFFFF"/>
              </w:rPr>
            </w:pPr>
          </w:p>
        </w:tc>
      </w:tr>
      <w:tr w14:paraId="1A47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31D22E4A">
            <w:pPr>
              <w:jc w:val="center"/>
              <w:rPr>
                <w:rFonts w:ascii="Calibri" w:hAnsi="Calibri" w:eastAsia="宋体"/>
                <w:color w:val="auto"/>
                <w:sz w:val="18"/>
                <w:szCs w:val="18"/>
                <w:highlight w:val="none"/>
                <w:shd w:val="clear" w:color="auto" w:fill="FFFFFF"/>
              </w:rPr>
            </w:pPr>
          </w:p>
        </w:tc>
        <w:tc>
          <w:tcPr>
            <w:tcW w:w="1893" w:type="dxa"/>
            <w:vAlign w:val="center"/>
          </w:tcPr>
          <w:p w14:paraId="7DF1C99F">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栏杆、护栏及安全玻璃类型</w:t>
            </w:r>
          </w:p>
        </w:tc>
        <w:tc>
          <w:tcPr>
            <w:tcW w:w="7066" w:type="dxa"/>
            <w:gridSpan w:val="2"/>
            <w:tcBorders>
              <w:right w:val="single" w:color="auto" w:sz="4" w:space="0"/>
            </w:tcBorders>
            <w:vAlign w:val="center"/>
          </w:tcPr>
          <w:p w14:paraId="0821797A">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Calibri" w:hAnsi="Calibri" w:eastAsia="宋体"/>
                <w:color w:val="auto"/>
                <w:sz w:val="18"/>
                <w:szCs w:val="18"/>
                <w:highlight w:val="none"/>
                <w:shd w:val="clear" w:color="auto" w:fill="FFFFFF"/>
              </w:rPr>
              <w:t xml:space="preserve">高度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竖杆间距　  </w:t>
            </w:r>
            <w:r>
              <w:rPr>
                <w:rFonts w:hint="default" w:ascii="宋体" w:hAnsi="宋体" w:eastAsia="宋体" w:cs="宋体"/>
                <w:color w:val="auto"/>
                <w:sz w:val="20"/>
                <w:szCs w:val="20"/>
                <w:highlight w:val="none"/>
                <w:u w:val="none"/>
                <w:shd w:val="clear" w:color="auto" w:fill="FFFFFF"/>
                <w:lang w:bidi="ar"/>
              </w:rPr>
              <w:t xml:space="preserve">□ </w:t>
            </w:r>
            <w:r>
              <w:rPr>
                <w:rFonts w:hint="eastAsia" w:ascii="Calibri" w:hAnsi="Calibri" w:eastAsia="宋体"/>
                <w:color w:val="auto"/>
                <w:sz w:val="18"/>
                <w:szCs w:val="18"/>
                <w:highlight w:val="none"/>
                <w:shd w:val="clear" w:color="auto" w:fill="FFFFFF"/>
              </w:rPr>
              <w:t xml:space="preserve">安装牢固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防攀爬措施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玻璃的型号规格颜色</w:t>
            </w:r>
          </w:p>
        </w:tc>
      </w:tr>
      <w:tr w14:paraId="49F6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46E0C24B">
            <w:pPr>
              <w:jc w:val="center"/>
              <w:rPr>
                <w:rFonts w:ascii="Calibri" w:hAnsi="Calibri" w:eastAsia="宋体"/>
                <w:color w:val="auto"/>
                <w:sz w:val="18"/>
                <w:szCs w:val="18"/>
                <w:highlight w:val="none"/>
                <w:shd w:val="clear" w:color="auto" w:fill="FFFFFF"/>
              </w:rPr>
            </w:pPr>
          </w:p>
        </w:tc>
        <w:tc>
          <w:tcPr>
            <w:tcW w:w="1893" w:type="dxa"/>
            <w:vMerge w:val="restart"/>
            <w:vAlign w:val="center"/>
          </w:tcPr>
          <w:p w14:paraId="37085998">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落水口排水</w:t>
            </w:r>
          </w:p>
        </w:tc>
        <w:tc>
          <w:tcPr>
            <w:tcW w:w="1260" w:type="dxa"/>
            <w:vAlign w:val="center"/>
          </w:tcPr>
          <w:p w14:paraId="7B95E8C8">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厨房</w:t>
            </w:r>
          </w:p>
        </w:tc>
        <w:tc>
          <w:tcPr>
            <w:tcW w:w="5806" w:type="dxa"/>
            <w:tcBorders>
              <w:right w:val="single" w:color="auto" w:sz="4" w:space="0"/>
            </w:tcBorders>
            <w:vAlign w:val="center"/>
          </w:tcPr>
          <w:p w14:paraId="5FA6C3ED">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14:paraId="4B8A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1EC30D43">
            <w:pPr>
              <w:jc w:val="center"/>
              <w:rPr>
                <w:rFonts w:ascii="Calibri" w:hAnsi="Calibri" w:eastAsia="宋体"/>
                <w:color w:val="auto"/>
                <w:sz w:val="18"/>
                <w:szCs w:val="18"/>
                <w:highlight w:val="none"/>
                <w:shd w:val="clear" w:color="auto" w:fill="FFFFFF"/>
              </w:rPr>
            </w:pPr>
          </w:p>
        </w:tc>
        <w:tc>
          <w:tcPr>
            <w:tcW w:w="1893" w:type="dxa"/>
            <w:vMerge w:val="continue"/>
            <w:vAlign w:val="center"/>
          </w:tcPr>
          <w:p w14:paraId="24CD631E">
            <w:pPr>
              <w:rPr>
                <w:rFonts w:ascii="Calibri" w:hAnsi="Calibri" w:eastAsia="宋体"/>
                <w:color w:val="auto"/>
                <w:szCs w:val="24"/>
                <w:highlight w:val="none"/>
                <w:shd w:val="clear" w:color="auto" w:fill="FFFFFF"/>
              </w:rPr>
            </w:pPr>
          </w:p>
        </w:tc>
        <w:tc>
          <w:tcPr>
            <w:tcW w:w="1260" w:type="dxa"/>
            <w:vAlign w:val="center"/>
          </w:tcPr>
          <w:p w14:paraId="30558310">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厕浴间</w:t>
            </w:r>
          </w:p>
        </w:tc>
        <w:tc>
          <w:tcPr>
            <w:tcW w:w="5806" w:type="dxa"/>
            <w:tcBorders>
              <w:right w:val="single" w:color="auto" w:sz="4" w:space="0"/>
            </w:tcBorders>
            <w:vAlign w:val="center"/>
          </w:tcPr>
          <w:p w14:paraId="2307A7D3">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14:paraId="6F88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67ED2C1C">
            <w:pPr>
              <w:jc w:val="center"/>
              <w:rPr>
                <w:rFonts w:ascii="Calibri" w:hAnsi="Calibri" w:eastAsia="宋体"/>
                <w:color w:val="auto"/>
                <w:sz w:val="18"/>
                <w:szCs w:val="18"/>
                <w:highlight w:val="none"/>
                <w:shd w:val="clear" w:color="auto" w:fill="FFFFFF"/>
              </w:rPr>
            </w:pPr>
          </w:p>
        </w:tc>
        <w:tc>
          <w:tcPr>
            <w:tcW w:w="1893" w:type="dxa"/>
            <w:vMerge w:val="continue"/>
            <w:vAlign w:val="center"/>
          </w:tcPr>
          <w:p w14:paraId="1B49EBB3">
            <w:pPr>
              <w:rPr>
                <w:rFonts w:ascii="Calibri" w:hAnsi="Calibri" w:eastAsia="宋体"/>
                <w:color w:val="auto"/>
                <w:szCs w:val="24"/>
                <w:highlight w:val="none"/>
                <w:shd w:val="clear" w:color="auto" w:fill="FFFFFF"/>
              </w:rPr>
            </w:pPr>
          </w:p>
        </w:tc>
        <w:tc>
          <w:tcPr>
            <w:tcW w:w="1260" w:type="dxa"/>
            <w:vAlign w:val="center"/>
          </w:tcPr>
          <w:p w14:paraId="094021AF">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阳台</w:t>
            </w:r>
          </w:p>
        </w:tc>
        <w:tc>
          <w:tcPr>
            <w:tcW w:w="5806" w:type="dxa"/>
            <w:tcBorders>
              <w:right w:val="single" w:color="auto" w:sz="4" w:space="0"/>
            </w:tcBorders>
            <w:vAlign w:val="center"/>
          </w:tcPr>
          <w:p w14:paraId="3E4D4F1E">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14:paraId="0191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74A681AC">
            <w:pPr>
              <w:jc w:val="center"/>
              <w:rPr>
                <w:rFonts w:ascii="Calibri" w:hAnsi="Calibri" w:eastAsia="宋体"/>
                <w:color w:val="auto"/>
                <w:sz w:val="18"/>
                <w:szCs w:val="18"/>
                <w:highlight w:val="none"/>
                <w:shd w:val="clear" w:color="auto" w:fill="FFFFFF"/>
              </w:rPr>
            </w:pPr>
          </w:p>
        </w:tc>
        <w:tc>
          <w:tcPr>
            <w:tcW w:w="1893" w:type="dxa"/>
            <w:vAlign w:val="center"/>
          </w:tcPr>
          <w:p w14:paraId="384B52DF">
            <w:pP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给排水系统安装</w:t>
            </w:r>
          </w:p>
        </w:tc>
        <w:tc>
          <w:tcPr>
            <w:tcW w:w="7066" w:type="dxa"/>
            <w:gridSpan w:val="2"/>
            <w:tcBorders>
              <w:right w:val="single" w:color="auto" w:sz="4" w:space="0"/>
            </w:tcBorders>
            <w:vAlign w:val="center"/>
          </w:tcPr>
          <w:p w14:paraId="2EE10B48">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入户给水管位置、标高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给水压力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卫生器具、盥洗器具安装位置和通水       </w:t>
            </w:r>
            <w:r>
              <w:rPr>
                <w:rFonts w:hint="default" w:ascii="宋体" w:hAnsi="宋体" w:eastAsia="宋体" w:cs="宋体"/>
                <w:color w:val="auto"/>
                <w:sz w:val="20"/>
                <w:szCs w:val="20"/>
                <w:highlight w:val="none"/>
                <w:u w:val="none"/>
                <w:shd w:val="clear" w:color="auto" w:fill="FFFFFF"/>
                <w:lang w:bidi="ar"/>
              </w:rPr>
              <w:t xml:space="preserve">□ </w:t>
            </w:r>
            <w:r>
              <w:rPr>
                <w:rFonts w:hint="eastAsia" w:ascii="Calibri" w:hAnsi="Calibri" w:eastAsia="宋体"/>
                <w:color w:val="auto"/>
                <w:sz w:val="18"/>
                <w:szCs w:val="18"/>
                <w:highlight w:val="none"/>
                <w:shd w:val="clear" w:color="auto" w:fill="FFFFFF"/>
              </w:rPr>
              <w:t xml:space="preserve"> 检查口位置、标高</w:t>
            </w:r>
          </w:p>
        </w:tc>
      </w:tr>
      <w:tr w14:paraId="1EE5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5CCFBFDC">
            <w:pPr>
              <w:jc w:val="center"/>
              <w:rPr>
                <w:rFonts w:ascii="Calibri" w:hAnsi="Calibri" w:eastAsia="宋体"/>
                <w:color w:val="auto"/>
                <w:sz w:val="18"/>
                <w:szCs w:val="18"/>
                <w:highlight w:val="none"/>
                <w:shd w:val="clear" w:color="auto" w:fill="FFFFFF"/>
              </w:rPr>
            </w:pPr>
          </w:p>
        </w:tc>
        <w:tc>
          <w:tcPr>
            <w:tcW w:w="1893" w:type="dxa"/>
            <w:vAlign w:val="center"/>
          </w:tcPr>
          <w:p w14:paraId="4459A5DD">
            <w:pPr>
              <w:widowControl/>
              <w:jc w:val="center"/>
              <w:textAlignment w:val="auto"/>
              <w:rPr>
                <w:rFonts w:ascii="Calibri" w:hAnsi="Calibri" w:eastAsia="宋体"/>
                <w:color w:val="auto"/>
                <w:szCs w:val="24"/>
                <w:highlight w:val="none"/>
                <w:shd w:val="clear" w:color="auto" w:fill="FFFFFF"/>
              </w:rPr>
            </w:pPr>
            <w:r>
              <w:rPr>
                <w:rFonts w:hint="eastAsia" w:ascii="Calibri" w:hAnsi="Calibri" w:eastAsia="宋体" w:cs="Times New Roman"/>
                <w:b w:val="0"/>
                <w:color w:val="auto"/>
                <w:kern w:val="2"/>
                <w:sz w:val="21"/>
                <w:szCs w:val="24"/>
                <w:highlight w:val="none"/>
                <w:shd w:val="clear" w:color="auto" w:fill="FFFFFF"/>
                <w:lang w:bidi="ar"/>
              </w:rPr>
              <w:t>建筑</w:t>
            </w:r>
            <w:r>
              <w:rPr>
                <w:rFonts w:hint="eastAsia" w:ascii="Calibri" w:hAnsi="Calibri" w:eastAsia="宋体" w:cs="Times New Roman"/>
                <w:color w:val="auto"/>
                <w:kern w:val="2"/>
                <w:sz w:val="21"/>
                <w:szCs w:val="24"/>
                <w:highlight w:val="none"/>
                <w:shd w:val="clear" w:color="auto" w:fill="FFFFFF"/>
                <w:lang w:bidi="ar"/>
              </w:rPr>
              <w:t>电气系统</w:t>
            </w:r>
          </w:p>
        </w:tc>
        <w:tc>
          <w:tcPr>
            <w:tcW w:w="7066" w:type="dxa"/>
            <w:gridSpan w:val="2"/>
            <w:tcBorders>
              <w:right w:val="single" w:color="auto" w:sz="4" w:space="0"/>
            </w:tcBorders>
            <w:vAlign w:val="center"/>
          </w:tcPr>
          <w:p w14:paraId="6C80273B">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配电箱漏电保护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开关插座位置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开关插座接线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开关插座防水、防潮、防溅（有防护要求部位）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局部等电位</w:t>
            </w:r>
          </w:p>
        </w:tc>
      </w:tr>
      <w:tr w14:paraId="7738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2E72AB5F">
            <w:pPr>
              <w:jc w:val="center"/>
              <w:rPr>
                <w:rFonts w:ascii="Calibri" w:hAnsi="Calibri" w:eastAsia="宋体"/>
                <w:color w:val="auto"/>
                <w:sz w:val="18"/>
                <w:szCs w:val="18"/>
                <w:highlight w:val="none"/>
                <w:shd w:val="clear" w:color="auto" w:fill="FFFFFF"/>
              </w:rPr>
            </w:pPr>
          </w:p>
        </w:tc>
        <w:tc>
          <w:tcPr>
            <w:tcW w:w="1893" w:type="dxa"/>
            <w:vAlign w:val="center"/>
          </w:tcPr>
          <w:p w14:paraId="7776C2B8">
            <w:pPr>
              <w:widowControl/>
              <w:jc w:val="center"/>
              <w:textAlignment w:val="auto"/>
              <w:rPr>
                <w:rFonts w:hint="eastAsia" w:ascii="Calibri" w:hAnsi="Calibri" w:eastAsia="宋体" w:cs="Times New Roman"/>
                <w:b w:val="0"/>
                <w:color w:val="auto"/>
                <w:kern w:val="2"/>
                <w:sz w:val="21"/>
                <w:szCs w:val="24"/>
                <w:highlight w:val="none"/>
                <w:shd w:val="clear" w:color="auto" w:fill="FFFFFF"/>
                <w:lang w:bidi="ar"/>
              </w:rPr>
            </w:pPr>
            <w:r>
              <w:rPr>
                <w:rFonts w:hint="eastAsia" w:ascii="Calibri" w:hAnsi="Calibri" w:eastAsia="宋体" w:cs="Times New Roman"/>
                <w:b w:val="0"/>
                <w:color w:val="auto"/>
                <w:kern w:val="2"/>
                <w:sz w:val="21"/>
                <w:szCs w:val="24"/>
                <w:highlight w:val="none"/>
                <w:shd w:val="clear" w:color="auto" w:fill="FFFFFF"/>
                <w:lang w:bidi="ar"/>
              </w:rPr>
              <w:t>通风与空调</w:t>
            </w:r>
          </w:p>
        </w:tc>
        <w:tc>
          <w:tcPr>
            <w:tcW w:w="7066" w:type="dxa"/>
            <w:gridSpan w:val="2"/>
            <w:tcBorders>
              <w:right w:val="single" w:color="auto" w:sz="4" w:space="0"/>
            </w:tcBorders>
            <w:vAlign w:val="center"/>
          </w:tcPr>
          <w:p w14:paraId="4FB754AD">
            <w:pPr>
              <w:widowControl/>
              <w:jc w:val="left"/>
              <w:textAlignment w:val="center"/>
              <w:rPr>
                <w:rFonts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 xml:space="preserve">外墙预留孔洞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 xml:space="preserve">抽油烟机排气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卫生间排气</w:t>
            </w:r>
          </w:p>
        </w:tc>
      </w:tr>
      <w:tr w14:paraId="6525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6D644483">
            <w:pPr>
              <w:jc w:val="center"/>
              <w:rPr>
                <w:rFonts w:ascii="Calibri" w:hAnsi="Calibri" w:eastAsia="宋体"/>
                <w:color w:val="auto"/>
                <w:sz w:val="18"/>
                <w:szCs w:val="18"/>
                <w:highlight w:val="none"/>
                <w:shd w:val="clear" w:color="auto" w:fill="FFFFFF"/>
              </w:rPr>
            </w:pPr>
          </w:p>
        </w:tc>
        <w:tc>
          <w:tcPr>
            <w:tcW w:w="1893" w:type="dxa"/>
            <w:vAlign w:val="center"/>
          </w:tcPr>
          <w:p w14:paraId="7C88A7F9">
            <w:pPr>
              <w:widowControl/>
              <w:jc w:val="center"/>
              <w:textAlignment w:val="auto"/>
              <w:rPr>
                <w:rFonts w:hint="eastAsia" w:ascii="Calibri" w:hAnsi="Calibri" w:eastAsia="宋体" w:cs="Times New Roman"/>
                <w:b w:val="0"/>
                <w:color w:val="auto"/>
                <w:kern w:val="2"/>
                <w:sz w:val="21"/>
                <w:szCs w:val="24"/>
                <w:highlight w:val="none"/>
                <w:shd w:val="clear" w:color="auto" w:fill="FFFFFF"/>
                <w:lang w:bidi="ar"/>
              </w:rPr>
            </w:pPr>
            <w:r>
              <w:rPr>
                <w:rFonts w:hint="eastAsia" w:ascii="Calibri" w:hAnsi="Calibri" w:eastAsia="宋体" w:cs="Times New Roman"/>
                <w:b w:val="0"/>
                <w:color w:val="auto"/>
                <w:kern w:val="2"/>
                <w:sz w:val="21"/>
                <w:szCs w:val="24"/>
                <w:highlight w:val="none"/>
                <w:shd w:val="clear" w:color="auto" w:fill="FFFFFF"/>
                <w:lang w:bidi="ar"/>
              </w:rPr>
              <w:t>智能系统工程</w:t>
            </w:r>
          </w:p>
        </w:tc>
        <w:tc>
          <w:tcPr>
            <w:tcW w:w="7066" w:type="dxa"/>
            <w:gridSpan w:val="2"/>
            <w:tcBorders>
              <w:right w:val="single" w:color="auto" w:sz="4" w:space="0"/>
            </w:tcBorders>
            <w:vAlign w:val="center"/>
          </w:tcPr>
          <w:p w14:paraId="08B1C547">
            <w:pPr>
              <w:widowControl/>
              <w:jc w:val="left"/>
              <w:textAlignment w:val="center"/>
              <w:rPr>
                <w:rFonts w:ascii="宋体" w:hAnsi="宋体" w:eastAsia="宋体" w:cs="宋体"/>
                <w:color w:val="auto"/>
                <w:kern w:val="0"/>
                <w:sz w:val="20"/>
                <w:szCs w:val="20"/>
                <w:highlight w:val="none"/>
                <w:shd w:val="clear" w:color="auto" w:fill="FFFFFF"/>
                <w:lang w:bidi="ar"/>
              </w:rPr>
            </w:pP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 xml:space="preserve">家居配线箱安装和配置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对讲系统室内机的功能和性能</w:t>
            </w:r>
          </w:p>
        </w:tc>
      </w:tr>
      <w:tr w14:paraId="6597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14:paraId="29D95E56">
            <w:pPr>
              <w:jc w:val="center"/>
              <w:rPr>
                <w:rFonts w:ascii="Calibri" w:hAnsi="Calibri" w:eastAsia="宋体"/>
                <w:color w:val="auto"/>
                <w:sz w:val="18"/>
                <w:szCs w:val="18"/>
                <w:highlight w:val="none"/>
                <w:shd w:val="clear" w:color="auto" w:fill="FFFFFF"/>
              </w:rPr>
            </w:pPr>
          </w:p>
        </w:tc>
        <w:tc>
          <w:tcPr>
            <w:tcW w:w="1893" w:type="dxa"/>
            <w:vAlign w:val="center"/>
          </w:tcPr>
          <w:p w14:paraId="2E3826F0">
            <w:pPr>
              <w:widowControl/>
              <w:jc w:val="center"/>
              <w:textAlignment w:val="auto"/>
              <w:rPr>
                <w:rFonts w:hint="eastAsia" w:ascii="Calibri" w:hAnsi="Calibri" w:eastAsia="宋体" w:cs="Times New Roman"/>
                <w:b w:val="0"/>
                <w:color w:val="auto"/>
                <w:kern w:val="2"/>
                <w:sz w:val="21"/>
                <w:szCs w:val="24"/>
                <w:highlight w:val="none"/>
                <w:shd w:val="clear" w:color="auto" w:fill="FFFFFF"/>
                <w:lang w:val="en-US" w:eastAsia="zh-CN" w:bidi="ar"/>
              </w:rPr>
            </w:pPr>
            <w:r>
              <w:rPr>
                <w:rFonts w:hint="eastAsia" w:ascii="Calibri" w:hAnsi="Calibri" w:eastAsia="宋体" w:cs="Times New Roman"/>
                <w:b w:val="0"/>
                <w:color w:val="auto"/>
                <w:kern w:val="2"/>
                <w:sz w:val="21"/>
                <w:szCs w:val="24"/>
                <w:highlight w:val="none"/>
                <w:shd w:val="clear" w:color="auto" w:fill="FFFFFF"/>
                <w:lang w:val="en-US" w:eastAsia="zh-CN" w:bidi="ar"/>
              </w:rPr>
              <w:t>公共部分</w:t>
            </w:r>
          </w:p>
        </w:tc>
        <w:tc>
          <w:tcPr>
            <w:tcW w:w="7066" w:type="dxa"/>
            <w:gridSpan w:val="2"/>
            <w:tcBorders>
              <w:right w:val="single" w:color="auto" w:sz="4" w:space="0"/>
            </w:tcBorders>
            <w:vAlign w:val="center"/>
          </w:tcPr>
          <w:p w14:paraId="3CF2A154">
            <w:pPr>
              <w:widowControl/>
              <w:jc w:val="left"/>
              <w:textAlignment w:val="center"/>
              <w:rPr>
                <w:rFonts w:hint="eastAsia" w:ascii="宋体" w:hAnsi="宋体" w:eastAsia="宋体" w:cs="宋体"/>
                <w:color w:val="auto"/>
                <w:kern w:val="0"/>
                <w:sz w:val="20"/>
                <w:szCs w:val="20"/>
                <w:highlight w:val="none"/>
                <w:shd w:val="clear" w:color="auto" w:fill="FFFFFF"/>
                <w:lang w:val="en-US" w:eastAsia="zh-CN" w:bidi="ar"/>
              </w:rPr>
            </w:pP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val="en-US" w:eastAsia="zh-CN" w:bidi="ar"/>
              </w:rPr>
              <w:t>公共交通部分</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val="en-US" w:eastAsia="zh-CN" w:bidi="ar"/>
              </w:rPr>
              <w:t>地下室及屋面部分</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val="en-US" w:eastAsia="zh-CN" w:bidi="ar"/>
              </w:rPr>
              <w:t>无障碍及公共部位装饰装修</w:t>
            </w:r>
          </w:p>
        </w:tc>
      </w:tr>
    </w:tbl>
    <w:p w14:paraId="1EDD8A13">
      <w:pP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注：本表一式五份，建设、监理、设计、施工各执一份并在分户验收前7个工作日向当地工程质量监督机构报送一份。</w:t>
      </w:r>
    </w:p>
    <w:p w14:paraId="78EF3D77">
      <w:pPr>
        <w:rPr>
          <w:rFonts w:ascii="Calibri" w:hAnsi="Calibri" w:eastAsia="宋体"/>
          <w:color w:val="auto"/>
          <w:sz w:val="18"/>
          <w:szCs w:val="18"/>
          <w:highlight w:val="none"/>
          <w:u w:val="single"/>
          <w:shd w:val="clear" w:color="auto" w:fill="FFFFFF"/>
        </w:rPr>
      </w:pPr>
      <w:r>
        <w:rPr>
          <w:rFonts w:hint="eastAsia" w:ascii="Calibri" w:hAnsi="Calibri" w:eastAsia="宋体"/>
          <w:color w:val="auto"/>
          <w:sz w:val="18"/>
          <w:szCs w:val="18"/>
          <w:highlight w:val="none"/>
          <w:shd w:val="clear" w:color="auto" w:fill="FFFFFF"/>
        </w:rPr>
        <w:t>分户验收组组长：</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电话：</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联系人：</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电话：</w:t>
      </w:r>
      <w:r>
        <w:rPr>
          <w:rFonts w:hint="eastAsia" w:ascii="Calibri" w:hAnsi="Calibri" w:eastAsia="宋体"/>
          <w:color w:val="auto"/>
          <w:sz w:val="18"/>
          <w:szCs w:val="18"/>
          <w:highlight w:val="none"/>
          <w:u w:val="single"/>
          <w:shd w:val="clear" w:color="auto" w:fill="FFFFFF"/>
        </w:rPr>
        <w:t xml:space="preserve">                  </w:t>
      </w:r>
    </w:p>
    <w:p w14:paraId="20FBB4A6">
      <w:pPr>
        <w:widowControl/>
        <w:jc w:val="left"/>
        <w:rPr>
          <w:rFonts w:ascii="Calibri" w:hAnsi="Calibri" w:eastAsia="宋体"/>
          <w:b/>
          <w:dstrike/>
          <w:color w:val="auto"/>
          <w:sz w:val="36"/>
          <w:szCs w:val="36"/>
          <w:highlight w:val="none"/>
          <w:shd w:val="clear" w:color="auto" w:fill="FFFFFF"/>
        </w:rPr>
      </w:pPr>
      <w:r>
        <w:rPr>
          <w:rFonts w:ascii="Calibri" w:hAnsi="Calibri" w:eastAsia="宋体"/>
          <w:b/>
          <w:dstrike/>
          <w:color w:val="auto"/>
          <w:sz w:val="36"/>
          <w:szCs w:val="36"/>
          <w:highlight w:val="none"/>
          <w:shd w:val="clear" w:color="auto" w:fill="FFFFFF"/>
        </w:rPr>
        <w:br w:type="page"/>
      </w:r>
    </w:p>
    <w:p w14:paraId="20135A6E">
      <w:pPr>
        <w:keepNext/>
        <w:keepLines/>
        <w:jc w:val="center"/>
        <w:outlineLvl w:val="1"/>
        <w:rPr>
          <w:rFonts w:hint="eastAsia" w:ascii="Times New Roman" w:hAnsi="Times New Roman" w:eastAsia="宋体"/>
          <w:b/>
          <w:bCs/>
          <w:color w:val="auto"/>
          <w:kern w:val="0"/>
          <w:szCs w:val="21"/>
          <w:highlight w:val="none"/>
          <w:lang w:val="en-US" w:eastAsia="zh-CN"/>
        </w:rPr>
      </w:pPr>
      <w:bookmarkStart w:id="390" w:name="_Toc23396"/>
      <w:bookmarkStart w:id="391" w:name="_Toc14832"/>
      <w:bookmarkStart w:id="392" w:name="_Toc19362"/>
      <w:bookmarkStart w:id="393" w:name="_Toc21699"/>
      <w:bookmarkStart w:id="394" w:name="_Toc3511"/>
      <w:bookmarkStart w:id="395" w:name="_Toc23286"/>
      <w:r>
        <w:rPr>
          <w:rFonts w:hint="eastAsia" w:ascii="Times New Roman" w:hAnsi="Times New Roman" w:eastAsia="宋体"/>
          <w:b/>
          <w:bCs/>
          <w:color w:val="auto"/>
          <w:kern w:val="0"/>
          <w:szCs w:val="21"/>
          <w:highlight w:val="none"/>
          <w:lang w:val="en-US" w:eastAsia="zh-CN"/>
        </w:rPr>
        <w:t>附录B 住宅工程质量分户验收记录表（一）</w:t>
      </w:r>
      <w:bookmarkEnd w:id="390"/>
      <w:bookmarkEnd w:id="391"/>
      <w:bookmarkEnd w:id="392"/>
      <w:bookmarkEnd w:id="393"/>
      <w:bookmarkEnd w:id="394"/>
      <w:bookmarkEnd w:id="395"/>
    </w:p>
    <w:p w14:paraId="5AF9747B">
      <w:pPr>
        <w:widowControl/>
        <w:shd w:val="clear" w:color="auto" w:fill="FFFFFF"/>
        <w:spacing w:beforeAutospacing="0" w:afterAutospacing="0"/>
        <w:jc w:val="right"/>
        <w:rPr>
          <w:rFonts w:hint="default"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---空间尺寸实测记录表</w:t>
      </w:r>
    </w:p>
    <w:tbl>
      <w:tblPr>
        <w:tblStyle w:val="2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99"/>
        <w:gridCol w:w="641"/>
        <w:gridCol w:w="242"/>
        <w:gridCol w:w="226"/>
        <w:gridCol w:w="314"/>
        <w:gridCol w:w="540"/>
        <w:gridCol w:w="525"/>
        <w:gridCol w:w="525"/>
        <w:gridCol w:w="37"/>
        <w:gridCol w:w="428"/>
        <w:gridCol w:w="435"/>
        <w:gridCol w:w="420"/>
        <w:gridCol w:w="45"/>
        <w:gridCol w:w="435"/>
        <w:gridCol w:w="330"/>
        <w:gridCol w:w="165"/>
        <w:gridCol w:w="151"/>
        <w:gridCol w:w="494"/>
        <w:gridCol w:w="101"/>
        <w:gridCol w:w="439"/>
        <w:gridCol w:w="450"/>
        <w:gridCol w:w="240"/>
        <w:gridCol w:w="617"/>
      </w:tblGrid>
      <w:tr w14:paraId="7324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gridSpan w:val="5"/>
            <w:tcBorders>
              <w:top w:val="single" w:color="auto" w:sz="4" w:space="0"/>
              <w:left w:val="single" w:color="auto" w:sz="4" w:space="0"/>
              <w:bottom w:val="single" w:color="auto" w:sz="4" w:space="0"/>
              <w:right w:val="single" w:color="auto" w:sz="4" w:space="0"/>
            </w:tcBorders>
            <w:noWrap/>
          </w:tcPr>
          <w:p w14:paraId="43DECB9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单位（子）单位工程名称</w:t>
            </w:r>
          </w:p>
        </w:tc>
        <w:tc>
          <w:tcPr>
            <w:tcW w:w="3224" w:type="dxa"/>
            <w:gridSpan w:val="8"/>
            <w:tcBorders>
              <w:top w:val="single" w:color="auto" w:sz="4" w:space="0"/>
              <w:left w:val="nil"/>
              <w:bottom w:val="single" w:color="auto" w:sz="4" w:space="0"/>
              <w:right w:val="single" w:color="auto" w:sz="4" w:space="0"/>
            </w:tcBorders>
          </w:tcPr>
          <w:p w14:paraId="0A6E5D18">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p>
        </w:tc>
        <w:tc>
          <w:tcPr>
            <w:tcW w:w="810" w:type="dxa"/>
            <w:gridSpan w:val="3"/>
            <w:tcBorders>
              <w:top w:val="single" w:color="auto" w:sz="4" w:space="0"/>
              <w:left w:val="nil"/>
              <w:bottom w:val="single" w:color="auto" w:sz="4" w:space="0"/>
              <w:right w:val="single" w:color="auto" w:sz="4" w:space="0"/>
            </w:tcBorders>
          </w:tcPr>
          <w:p w14:paraId="11161250">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栋号</w:t>
            </w:r>
          </w:p>
        </w:tc>
        <w:tc>
          <w:tcPr>
            <w:tcW w:w="911" w:type="dxa"/>
            <w:gridSpan w:val="4"/>
            <w:tcBorders>
              <w:top w:val="single" w:color="auto" w:sz="4" w:space="0"/>
              <w:left w:val="nil"/>
              <w:bottom w:val="single" w:color="auto" w:sz="4" w:space="0"/>
              <w:right w:val="single" w:color="auto" w:sz="4" w:space="0"/>
            </w:tcBorders>
          </w:tcPr>
          <w:p w14:paraId="0A34B4C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9" w:type="dxa"/>
            <w:gridSpan w:val="2"/>
            <w:tcBorders>
              <w:top w:val="single" w:color="auto" w:sz="4" w:space="0"/>
              <w:left w:val="nil"/>
              <w:bottom w:val="single" w:color="auto" w:sz="4" w:space="0"/>
              <w:right w:val="single" w:color="auto" w:sz="4" w:space="0"/>
            </w:tcBorders>
          </w:tcPr>
          <w:p w14:paraId="55C23B5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房号</w:t>
            </w:r>
          </w:p>
        </w:tc>
        <w:tc>
          <w:tcPr>
            <w:tcW w:w="857" w:type="dxa"/>
            <w:gridSpan w:val="2"/>
            <w:tcBorders>
              <w:top w:val="single" w:color="auto" w:sz="4" w:space="0"/>
              <w:left w:val="nil"/>
              <w:bottom w:val="single" w:color="auto" w:sz="4" w:space="0"/>
              <w:right w:val="single" w:color="auto" w:sz="4" w:space="0"/>
            </w:tcBorders>
          </w:tcPr>
          <w:p w14:paraId="63373FBB">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3372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tcBorders>
              <w:top w:val="nil"/>
              <w:left w:val="single" w:color="auto" w:sz="4" w:space="0"/>
              <w:bottom w:val="single" w:color="auto" w:sz="4" w:space="0"/>
              <w:right w:val="single" w:color="auto" w:sz="4" w:space="0"/>
            </w:tcBorders>
            <w:noWrap/>
            <w:vAlign w:val="center"/>
          </w:tcPr>
          <w:p w14:paraId="642803FE">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功能</w:t>
            </w:r>
          </w:p>
          <w:p w14:paraId="4CBF3BDD">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区域</w:t>
            </w:r>
          </w:p>
        </w:tc>
        <w:tc>
          <w:tcPr>
            <w:tcW w:w="899" w:type="dxa"/>
            <w:vMerge w:val="restart"/>
            <w:tcBorders>
              <w:top w:val="nil"/>
              <w:left w:val="nil"/>
              <w:bottom w:val="single" w:color="auto" w:sz="4" w:space="0"/>
              <w:right w:val="single" w:color="auto" w:sz="4" w:space="0"/>
            </w:tcBorders>
            <w:noWrap/>
            <w:vAlign w:val="center"/>
          </w:tcPr>
          <w:p w14:paraId="2C4EB126">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p w14:paraId="4CB70CA1">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c>
          <w:tcPr>
            <w:tcW w:w="883" w:type="dxa"/>
            <w:gridSpan w:val="2"/>
            <w:vMerge w:val="restart"/>
            <w:tcBorders>
              <w:top w:val="nil"/>
              <w:left w:val="nil"/>
              <w:bottom w:val="single" w:color="auto" w:sz="4" w:space="0"/>
              <w:right w:val="single" w:color="auto" w:sz="4" w:space="0"/>
            </w:tcBorders>
            <w:noWrap/>
            <w:vAlign w:val="center"/>
          </w:tcPr>
          <w:p w14:paraId="0A2CA282">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净距</w:t>
            </w:r>
          </w:p>
          <w:p w14:paraId="58D50691">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c>
          <w:tcPr>
            <w:tcW w:w="4425" w:type="dxa"/>
            <w:gridSpan w:val="13"/>
            <w:tcBorders>
              <w:top w:val="single" w:color="auto" w:sz="4" w:space="0"/>
              <w:left w:val="nil"/>
              <w:bottom w:val="single" w:color="auto" w:sz="4" w:space="0"/>
              <w:right w:val="single" w:color="auto" w:sz="4" w:space="0"/>
            </w:tcBorders>
            <w:noWrap/>
            <w:vAlign w:val="center"/>
          </w:tcPr>
          <w:p w14:paraId="6FA86E57">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实测值(mm)</w:t>
            </w:r>
          </w:p>
        </w:tc>
        <w:tc>
          <w:tcPr>
            <w:tcW w:w="2492" w:type="dxa"/>
            <w:gridSpan w:val="7"/>
            <w:tcBorders>
              <w:top w:val="single" w:color="auto" w:sz="4" w:space="0"/>
              <w:left w:val="nil"/>
              <w:bottom w:val="single" w:color="auto" w:sz="4" w:space="0"/>
              <w:right w:val="single" w:color="auto" w:sz="4" w:space="0"/>
            </w:tcBorders>
            <w:noWrap/>
            <w:vAlign w:val="center"/>
          </w:tcPr>
          <w:p w14:paraId="67574462">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r>
      <w:tr w14:paraId="022C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tcBorders>
              <w:top w:val="nil"/>
              <w:left w:val="single" w:color="auto" w:sz="4" w:space="0"/>
              <w:bottom w:val="single" w:color="auto" w:sz="4" w:space="0"/>
              <w:right w:val="single" w:color="auto" w:sz="4" w:space="0"/>
            </w:tcBorders>
            <w:vAlign w:val="center"/>
          </w:tcPr>
          <w:p w14:paraId="26A0C151">
            <w:pPr>
              <w:widowControl/>
              <w:spacing w:line="280" w:lineRule="exact"/>
              <w:jc w:val="left"/>
              <w:rPr>
                <w:rFonts w:ascii="宋体" w:hAnsi="宋体" w:eastAsia="宋体" w:cs="Arial"/>
                <w:color w:val="auto"/>
                <w:szCs w:val="21"/>
                <w:highlight w:val="none"/>
                <w:shd w:val="clear" w:color="auto" w:fill="FFFFFF"/>
              </w:rPr>
            </w:pPr>
          </w:p>
        </w:tc>
        <w:tc>
          <w:tcPr>
            <w:tcW w:w="899" w:type="dxa"/>
            <w:vMerge w:val="continue"/>
            <w:tcBorders>
              <w:top w:val="nil"/>
              <w:left w:val="nil"/>
              <w:bottom w:val="single" w:color="auto" w:sz="4" w:space="0"/>
              <w:right w:val="single" w:color="auto" w:sz="4" w:space="0"/>
            </w:tcBorders>
            <w:vAlign w:val="center"/>
          </w:tcPr>
          <w:p w14:paraId="5839F281">
            <w:pPr>
              <w:widowControl/>
              <w:spacing w:line="280" w:lineRule="exact"/>
              <w:jc w:val="left"/>
              <w:rPr>
                <w:rFonts w:ascii="宋体" w:hAnsi="宋体" w:eastAsia="宋体" w:cs="Arial"/>
                <w:color w:val="auto"/>
                <w:szCs w:val="21"/>
                <w:highlight w:val="none"/>
                <w:shd w:val="clear" w:color="auto" w:fill="FFFFFF"/>
              </w:rPr>
            </w:pPr>
          </w:p>
        </w:tc>
        <w:tc>
          <w:tcPr>
            <w:tcW w:w="883" w:type="dxa"/>
            <w:gridSpan w:val="2"/>
            <w:vMerge w:val="continue"/>
            <w:tcBorders>
              <w:top w:val="nil"/>
              <w:left w:val="nil"/>
              <w:bottom w:val="single" w:color="auto" w:sz="4" w:space="0"/>
              <w:right w:val="single" w:color="auto" w:sz="4" w:space="0"/>
            </w:tcBorders>
            <w:vAlign w:val="center"/>
          </w:tcPr>
          <w:p w14:paraId="3BEB4F29">
            <w:pPr>
              <w:widowControl/>
              <w:spacing w:line="280" w:lineRule="exact"/>
              <w:jc w:val="left"/>
              <w:rPr>
                <w:rFonts w:ascii="宋体" w:hAnsi="宋体" w:eastAsia="宋体" w:cs="Arial"/>
                <w:color w:val="auto"/>
                <w:szCs w:val="21"/>
                <w:highlight w:val="none"/>
                <w:shd w:val="clear" w:color="auto" w:fill="FFFFFF"/>
              </w:rPr>
            </w:pPr>
          </w:p>
        </w:tc>
        <w:tc>
          <w:tcPr>
            <w:tcW w:w="2595" w:type="dxa"/>
            <w:gridSpan w:val="7"/>
            <w:tcBorders>
              <w:top w:val="single" w:color="auto" w:sz="4" w:space="0"/>
              <w:left w:val="nil"/>
              <w:bottom w:val="single" w:color="auto" w:sz="4" w:space="0"/>
              <w:right w:val="single" w:color="auto" w:sz="4" w:space="0"/>
            </w:tcBorders>
            <w:noWrap/>
            <w:vAlign w:val="center"/>
          </w:tcPr>
          <w:p w14:paraId="0E7721BC">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tc>
        <w:tc>
          <w:tcPr>
            <w:tcW w:w="900" w:type="dxa"/>
            <w:gridSpan w:val="3"/>
            <w:tcBorders>
              <w:top w:val="single" w:color="auto" w:sz="4" w:space="0"/>
              <w:left w:val="nil"/>
              <w:bottom w:val="single" w:color="auto" w:sz="4" w:space="0"/>
              <w:right w:val="single" w:color="auto" w:sz="4" w:space="0"/>
            </w:tcBorders>
            <w:noWrap/>
            <w:vAlign w:val="center"/>
          </w:tcPr>
          <w:p w14:paraId="305309CC">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净开间</w:t>
            </w:r>
          </w:p>
        </w:tc>
        <w:tc>
          <w:tcPr>
            <w:tcW w:w="930" w:type="dxa"/>
            <w:gridSpan w:val="3"/>
            <w:tcBorders>
              <w:top w:val="single" w:color="auto" w:sz="4" w:space="0"/>
              <w:left w:val="nil"/>
              <w:bottom w:val="single" w:color="auto" w:sz="4" w:space="0"/>
              <w:right w:val="single" w:color="auto" w:sz="4" w:space="0"/>
            </w:tcBorders>
            <w:noWrap/>
            <w:vAlign w:val="center"/>
          </w:tcPr>
          <w:p w14:paraId="41485471">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净进深</w:t>
            </w:r>
          </w:p>
        </w:tc>
        <w:tc>
          <w:tcPr>
            <w:tcW w:w="1185" w:type="dxa"/>
            <w:gridSpan w:val="4"/>
            <w:tcBorders>
              <w:top w:val="single" w:color="auto" w:sz="4" w:space="0"/>
              <w:left w:val="nil"/>
              <w:bottom w:val="single" w:color="auto" w:sz="4" w:space="0"/>
              <w:right w:val="single" w:color="auto" w:sz="4" w:space="0"/>
            </w:tcBorders>
            <w:noWrap/>
            <w:vAlign w:val="center"/>
          </w:tcPr>
          <w:p w14:paraId="14452C6A">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tc>
        <w:tc>
          <w:tcPr>
            <w:tcW w:w="1307" w:type="dxa"/>
            <w:gridSpan w:val="3"/>
            <w:tcBorders>
              <w:top w:val="single" w:color="auto" w:sz="4" w:space="0"/>
              <w:left w:val="nil"/>
              <w:bottom w:val="single" w:color="auto" w:sz="4" w:space="0"/>
              <w:right w:val="single" w:color="auto" w:sz="4" w:space="0"/>
            </w:tcBorders>
            <w:noWrap/>
            <w:vAlign w:val="center"/>
          </w:tcPr>
          <w:p w14:paraId="18E790A3">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净开间</w:t>
            </w:r>
          </w:p>
          <w:p w14:paraId="66B5110D">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（净进深）</w:t>
            </w:r>
          </w:p>
        </w:tc>
      </w:tr>
      <w:tr w14:paraId="6071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tcBorders>
              <w:top w:val="nil"/>
              <w:left w:val="single" w:color="auto" w:sz="4" w:space="0"/>
              <w:bottom w:val="single" w:color="auto" w:sz="4" w:space="0"/>
              <w:right w:val="single" w:color="auto" w:sz="4" w:space="0"/>
            </w:tcBorders>
            <w:vAlign w:val="center"/>
          </w:tcPr>
          <w:p w14:paraId="375403BE">
            <w:pPr>
              <w:widowControl/>
              <w:spacing w:line="280" w:lineRule="exact"/>
              <w:jc w:val="left"/>
              <w:rPr>
                <w:rFonts w:ascii="宋体" w:hAnsi="宋体" w:eastAsia="宋体" w:cs="Arial"/>
                <w:color w:val="auto"/>
                <w:szCs w:val="21"/>
                <w:highlight w:val="none"/>
                <w:shd w:val="clear" w:color="auto" w:fill="FFFFFF"/>
              </w:rPr>
            </w:pPr>
          </w:p>
        </w:tc>
        <w:tc>
          <w:tcPr>
            <w:tcW w:w="899" w:type="dxa"/>
            <w:tcBorders>
              <w:top w:val="single" w:color="auto" w:sz="4" w:space="0"/>
              <w:left w:val="nil"/>
              <w:bottom w:val="single" w:color="auto" w:sz="4" w:space="0"/>
              <w:right w:val="single" w:color="auto" w:sz="4" w:space="0"/>
            </w:tcBorders>
            <w:noWrap/>
            <w:vAlign w:val="center"/>
          </w:tcPr>
          <w:p w14:paraId="0847A64C">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w:t>
            </w:r>
          </w:p>
        </w:tc>
        <w:tc>
          <w:tcPr>
            <w:tcW w:w="883" w:type="dxa"/>
            <w:gridSpan w:val="2"/>
            <w:tcBorders>
              <w:top w:val="single" w:color="auto" w:sz="4" w:space="0"/>
              <w:left w:val="nil"/>
              <w:bottom w:val="single" w:color="auto" w:sz="4" w:space="0"/>
              <w:right w:val="single" w:color="auto" w:sz="4" w:space="0"/>
            </w:tcBorders>
            <w:noWrap/>
            <w:vAlign w:val="center"/>
          </w:tcPr>
          <w:p w14:paraId="7F16E7FA">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w:t>
            </w:r>
          </w:p>
        </w:tc>
        <w:tc>
          <w:tcPr>
            <w:tcW w:w="540" w:type="dxa"/>
            <w:gridSpan w:val="2"/>
            <w:tcBorders>
              <w:top w:val="single" w:color="auto" w:sz="4" w:space="0"/>
              <w:left w:val="nil"/>
              <w:bottom w:val="single" w:color="auto" w:sz="4" w:space="0"/>
              <w:right w:val="single" w:color="auto" w:sz="4" w:space="0"/>
            </w:tcBorders>
            <w:noWrap/>
            <w:vAlign w:val="center"/>
          </w:tcPr>
          <w:p w14:paraId="5915B391">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H1</w:t>
            </w:r>
          </w:p>
        </w:tc>
        <w:tc>
          <w:tcPr>
            <w:tcW w:w="540" w:type="dxa"/>
            <w:tcBorders>
              <w:top w:val="single" w:color="auto" w:sz="4" w:space="0"/>
              <w:left w:val="nil"/>
              <w:bottom w:val="single" w:color="auto" w:sz="4" w:space="0"/>
              <w:right w:val="single" w:color="auto" w:sz="4" w:space="0"/>
            </w:tcBorders>
            <w:noWrap/>
            <w:vAlign w:val="center"/>
          </w:tcPr>
          <w:p w14:paraId="075F6FAC">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H2</w:t>
            </w:r>
          </w:p>
        </w:tc>
        <w:tc>
          <w:tcPr>
            <w:tcW w:w="525" w:type="dxa"/>
            <w:tcBorders>
              <w:top w:val="single" w:color="auto" w:sz="4" w:space="0"/>
              <w:left w:val="nil"/>
              <w:bottom w:val="single" w:color="auto" w:sz="4" w:space="0"/>
              <w:right w:val="single" w:color="auto" w:sz="4" w:space="0"/>
            </w:tcBorders>
            <w:noWrap/>
            <w:vAlign w:val="center"/>
          </w:tcPr>
          <w:p w14:paraId="11C8599B">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H3</w:t>
            </w:r>
          </w:p>
        </w:tc>
        <w:tc>
          <w:tcPr>
            <w:tcW w:w="525" w:type="dxa"/>
            <w:tcBorders>
              <w:top w:val="single" w:color="auto" w:sz="4" w:space="0"/>
              <w:left w:val="nil"/>
              <w:bottom w:val="single" w:color="auto" w:sz="4" w:space="0"/>
              <w:right w:val="single" w:color="auto" w:sz="4" w:space="0"/>
            </w:tcBorders>
            <w:noWrap/>
            <w:vAlign w:val="center"/>
          </w:tcPr>
          <w:p w14:paraId="7B6A9760">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H4</w:t>
            </w:r>
          </w:p>
        </w:tc>
        <w:tc>
          <w:tcPr>
            <w:tcW w:w="465" w:type="dxa"/>
            <w:gridSpan w:val="2"/>
            <w:tcBorders>
              <w:top w:val="single" w:color="auto" w:sz="4" w:space="0"/>
              <w:left w:val="nil"/>
              <w:bottom w:val="single" w:color="auto" w:sz="4" w:space="0"/>
              <w:right w:val="single" w:color="auto" w:sz="4" w:space="0"/>
            </w:tcBorders>
            <w:noWrap/>
            <w:vAlign w:val="center"/>
          </w:tcPr>
          <w:p w14:paraId="02975D4A">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H5</w:t>
            </w:r>
          </w:p>
        </w:tc>
        <w:tc>
          <w:tcPr>
            <w:tcW w:w="435" w:type="dxa"/>
            <w:tcBorders>
              <w:top w:val="single" w:color="auto" w:sz="4" w:space="0"/>
              <w:left w:val="nil"/>
              <w:bottom w:val="single" w:color="auto" w:sz="4" w:space="0"/>
              <w:right w:val="single" w:color="auto" w:sz="4" w:space="0"/>
            </w:tcBorders>
            <w:noWrap/>
            <w:vAlign w:val="center"/>
          </w:tcPr>
          <w:p w14:paraId="1ABB2BF5">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L1</w:t>
            </w:r>
          </w:p>
        </w:tc>
        <w:tc>
          <w:tcPr>
            <w:tcW w:w="465" w:type="dxa"/>
            <w:gridSpan w:val="2"/>
            <w:tcBorders>
              <w:top w:val="single" w:color="auto" w:sz="4" w:space="0"/>
              <w:left w:val="nil"/>
              <w:bottom w:val="single" w:color="auto" w:sz="4" w:space="0"/>
              <w:right w:val="single" w:color="auto" w:sz="4" w:space="0"/>
            </w:tcBorders>
            <w:noWrap/>
            <w:vAlign w:val="center"/>
          </w:tcPr>
          <w:p w14:paraId="23ECA3CA">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L2</w:t>
            </w:r>
          </w:p>
        </w:tc>
        <w:tc>
          <w:tcPr>
            <w:tcW w:w="435" w:type="dxa"/>
            <w:tcBorders>
              <w:top w:val="single" w:color="auto" w:sz="4" w:space="0"/>
              <w:left w:val="nil"/>
              <w:bottom w:val="single" w:color="auto" w:sz="4" w:space="0"/>
              <w:right w:val="single" w:color="auto" w:sz="4" w:space="0"/>
            </w:tcBorders>
            <w:noWrap/>
            <w:vAlign w:val="center"/>
          </w:tcPr>
          <w:p w14:paraId="5A1DAD50">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L3</w:t>
            </w:r>
          </w:p>
        </w:tc>
        <w:tc>
          <w:tcPr>
            <w:tcW w:w="495" w:type="dxa"/>
            <w:gridSpan w:val="2"/>
            <w:tcBorders>
              <w:top w:val="single" w:color="auto" w:sz="4" w:space="0"/>
              <w:left w:val="nil"/>
              <w:bottom w:val="single" w:color="auto" w:sz="4" w:space="0"/>
              <w:right w:val="single" w:color="auto" w:sz="4" w:space="0"/>
            </w:tcBorders>
            <w:noWrap/>
            <w:vAlign w:val="center"/>
          </w:tcPr>
          <w:p w14:paraId="1BE2EC97">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L4</w:t>
            </w:r>
          </w:p>
        </w:tc>
        <w:tc>
          <w:tcPr>
            <w:tcW w:w="645" w:type="dxa"/>
            <w:gridSpan w:val="2"/>
            <w:tcBorders>
              <w:top w:val="single" w:color="auto" w:sz="4" w:space="0"/>
              <w:left w:val="nil"/>
              <w:bottom w:val="single" w:color="auto" w:sz="4" w:space="0"/>
              <w:right w:val="single" w:color="auto" w:sz="4" w:space="0"/>
            </w:tcBorders>
            <w:noWrap/>
            <w:vAlign w:val="center"/>
          </w:tcPr>
          <w:p w14:paraId="6F8F5DF5">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最大偏差</w:t>
            </w:r>
          </w:p>
        </w:tc>
        <w:tc>
          <w:tcPr>
            <w:tcW w:w="540" w:type="dxa"/>
            <w:gridSpan w:val="2"/>
            <w:tcBorders>
              <w:top w:val="single" w:color="auto" w:sz="4" w:space="0"/>
              <w:left w:val="nil"/>
              <w:bottom w:val="single" w:color="auto" w:sz="4" w:space="0"/>
              <w:right w:val="single" w:color="auto" w:sz="4" w:space="0"/>
            </w:tcBorders>
            <w:noWrap/>
            <w:vAlign w:val="center"/>
          </w:tcPr>
          <w:p w14:paraId="4E205743">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极差</w:t>
            </w:r>
          </w:p>
        </w:tc>
        <w:tc>
          <w:tcPr>
            <w:tcW w:w="690" w:type="dxa"/>
            <w:gridSpan w:val="2"/>
            <w:tcBorders>
              <w:top w:val="single" w:color="auto" w:sz="4" w:space="0"/>
              <w:left w:val="nil"/>
              <w:bottom w:val="single" w:color="auto" w:sz="4" w:space="0"/>
              <w:right w:val="single" w:color="auto" w:sz="4" w:space="0"/>
            </w:tcBorders>
            <w:noWrap/>
            <w:vAlign w:val="center"/>
          </w:tcPr>
          <w:p w14:paraId="2E875443">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最大偏差</w:t>
            </w:r>
          </w:p>
        </w:tc>
        <w:tc>
          <w:tcPr>
            <w:tcW w:w="617" w:type="dxa"/>
            <w:tcBorders>
              <w:top w:val="single" w:color="auto" w:sz="4" w:space="0"/>
              <w:left w:val="nil"/>
              <w:bottom w:val="single" w:color="auto" w:sz="4" w:space="0"/>
              <w:right w:val="single" w:color="auto" w:sz="4" w:space="0"/>
            </w:tcBorders>
            <w:noWrap/>
            <w:vAlign w:val="center"/>
          </w:tcPr>
          <w:p w14:paraId="51C8FBC6">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极差</w:t>
            </w:r>
          </w:p>
        </w:tc>
      </w:tr>
      <w:tr w14:paraId="3609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7011AA25">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卧室1</w:t>
            </w:r>
          </w:p>
        </w:tc>
        <w:tc>
          <w:tcPr>
            <w:tcW w:w="899" w:type="dxa"/>
            <w:tcBorders>
              <w:top w:val="single" w:color="auto" w:sz="4" w:space="0"/>
              <w:left w:val="nil"/>
              <w:bottom w:val="single" w:color="auto" w:sz="4" w:space="0"/>
              <w:right w:val="single" w:color="auto" w:sz="4" w:space="0"/>
            </w:tcBorders>
            <w:noWrap/>
          </w:tcPr>
          <w:p w14:paraId="0A2F627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694D8A1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3AC39AA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7D2C4E3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2474D7C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3D28E5B">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35EB1D7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7BA5E1A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0E12DD7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5F7B8FA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2471A3C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2F21B20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5D3C0B4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2E8F2C3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5A5FFFB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3617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74032DDA">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卧室2</w:t>
            </w:r>
          </w:p>
        </w:tc>
        <w:tc>
          <w:tcPr>
            <w:tcW w:w="899" w:type="dxa"/>
            <w:tcBorders>
              <w:top w:val="single" w:color="auto" w:sz="4" w:space="0"/>
              <w:left w:val="nil"/>
              <w:bottom w:val="single" w:color="auto" w:sz="4" w:space="0"/>
              <w:right w:val="single" w:color="auto" w:sz="4" w:space="0"/>
            </w:tcBorders>
            <w:noWrap/>
          </w:tcPr>
          <w:p w14:paraId="225EE4C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4C79CBC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428D9A9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53C3EF7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001A875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1166344B">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3EB8565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739B315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214D9D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08BF1DA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53E2E55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6B18B0B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6BF3D32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2472AB0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582A1FB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6ACE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311F6A45">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卧室3</w:t>
            </w:r>
          </w:p>
        </w:tc>
        <w:tc>
          <w:tcPr>
            <w:tcW w:w="899" w:type="dxa"/>
            <w:tcBorders>
              <w:top w:val="single" w:color="auto" w:sz="4" w:space="0"/>
              <w:left w:val="nil"/>
              <w:bottom w:val="single" w:color="auto" w:sz="4" w:space="0"/>
              <w:right w:val="single" w:color="auto" w:sz="4" w:space="0"/>
            </w:tcBorders>
            <w:noWrap/>
          </w:tcPr>
          <w:p w14:paraId="17E55BD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540C3EB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219509F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4F619BE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28282C3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25A402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B707A0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11CB8AC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06F994C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2E07626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3187849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2848367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3AA723D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7C672B1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4D665ED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02D7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2B828920">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卧室4</w:t>
            </w:r>
          </w:p>
        </w:tc>
        <w:tc>
          <w:tcPr>
            <w:tcW w:w="899" w:type="dxa"/>
            <w:tcBorders>
              <w:top w:val="single" w:color="auto" w:sz="4" w:space="0"/>
              <w:left w:val="nil"/>
              <w:bottom w:val="single" w:color="auto" w:sz="4" w:space="0"/>
              <w:right w:val="single" w:color="auto" w:sz="4" w:space="0"/>
            </w:tcBorders>
            <w:noWrap/>
          </w:tcPr>
          <w:p w14:paraId="6291BA1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437109D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58CBAD4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0160265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150EF38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0709F62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57AA0B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6CE9D07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59D83C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4574730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53DFD33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3079DE2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4650895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5B8AC6C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1DF877DB">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4C30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288EC71F">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客厅</w:t>
            </w:r>
          </w:p>
        </w:tc>
        <w:tc>
          <w:tcPr>
            <w:tcW w:w="899" w:type="dxa"/>
            <w:tcBorders>
              <w:top w:val="single" w:color="auto" w:sz="4" w:space="0"/>
              <w:left w:val="nil"/>
              <w:bottom w:val="single" w:color="auto" w:sz="4" w:space="0"/>
              <w:right w:val="single" w:color="auto" w:sz="4" w:space="0"/>
            </w:tcBorders>
            <w:noWrap/>
          </w:tcPr>
          <w:p w14:paraId="52DF004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20B6AA5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2BA0813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6418609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62EBF02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204F8F3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6CF0F0B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349F464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1DD37DA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33CDD34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7C808DE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48FA691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1CA301D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5703B68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15F7B23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5040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7D69E38B">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餐厅</w:t>
            </w:r>
          </w:p>
        </w:tc>
        <w:tc>
          <w:tcPr>
            <w:tcW w:w="899" w:type="dxa"/>
            <w:tcBorders>
              <w:top w:val="single" w:color="auto" w:sz="4" w:space="0"/>
              <w:left w:val="nil"/>
              <w:bottom w:val="single" w:color="auto" w:sz="4" w:space="0"/>
              <w:right w:val="single" w:color="auto" w:sz="4" w:space="0"/>
            </w:tcBorders>
            <w:noWrap/>
          </w:tcPr>
          <w:p w14:paraId="0397A73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5443A53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20A71D6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6519210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2D68C3CB">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29637F6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0BD7A92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2CFBFEE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14F09C8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42FBBB6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6FBE1D2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57FC039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6226899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312FCD3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2ECE597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6E67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20E02131">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厨房</w:t>
            </w:r>
          </w:p>
        </w:tc>
        <w:tc>
          <w:tcPr>
            <w:tcW w:w="899" w:type="dxa"/>
            <w:tcBorders>
              <w:top w:val="single" w:color="auto" w:sz="4" w:space="0"/>
              <w:left w:val="nil"/>
              <w:bottom w:val="single" w:color="auto" w:sz="4" w:space="0"/>
              <w:right w:val="single" w:color="auto" w:sz="4" w:space="0"/>
            </w:tcBorders>
            <w:noWrap/>
          </w:tcPr>
          <w:p w14:paraId="0838575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6535A26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5C61F5F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412D264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6ABE8A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1B07405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7A653D2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359871F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2B2721EC">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432F3A4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173A6D7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653D1FB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55671C3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33CF3DB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05DBF5D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2685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70A2BE03">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卫生间</w:t>
            </w:r>
          </w:p>
        </w:tc>
        <w:tc>
          <w:tcPr>
            <w:tcW w:w="899" w:type="dxa"/>
            <w:tcBorders>
              <w:top w:val="single" w:color="auto" w:sz="4" w:space="0"/>
              <w:left w:val="nil"/>
              <w:bottom w:val="single" w:color="auto" w:sz="4" w:space="0"/>
              <w:right w:val="single" w:color="auto" w:sz="4" w:space="0"/>
            </w:tcBorders>
            <w:noWrap/>
          </w:tcPr>
          <w:p w14:paraId="0D32A1D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41131C7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7F9082F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1A0D06D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DF02E3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1A8DC6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28C9C16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03A7B07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2FE885D">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766635F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5901212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454DF98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6911BFE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0D2D566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34AF1B7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02D8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3D9D7E95">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阳台</w:t>
            </w:r>
          </w:p>
        </w:tc>
        <w:tc>
          <w:tcPr>
            <w:tcW w:w="899" w:type="dxa"/>
            <w:tcBorders>
              <w:top w:val="single" w:color="auto" w:sz="4" w:space="0"/>
              <w:left w:val="nil"/>
              <w:bottom w:val="single" w:color="auto" w:sz="4" w:space="0"/>
              <w:right w:val="single" w:color="auto" w:sz="4" w:space="0"/>
            </w:tcBorders>
            <w:noWrap/>
          </w:tcPr>
          <w:p w14:paraId="55BA470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780CB9C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31C7F84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6CD3C504">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CE3FCB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0DDBC0E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8EFE7E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5D790A6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536B0BD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0DA1A13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06CBED2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47C1A33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4C21F01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6CAA39D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29D3F4D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1E7E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tcPr>
          <w:p w14:paraId="075E086F">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99" w:type="dxa"/>
            <w:tcBorders>
              <w:top w:val="single" w:color="auto" w:sz="4" w:space="0"/>
              <w:left w:val="nil"/>
              <w:bottom w:val="single" w:color="auto" w:sz="4" w:space="0"/>
              <w:right w:val="single" w:color="auto" w:sz="4" w:space="0"/>
            </w:tcBorders>
            <w:noWrap/>
          </w:tcPr>
          <w:p w14:paraId="2614B66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14:paraId="15F7CC36">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08FA6845">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14:paraId="5334D3A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A77C1A9">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14:paraId="361E2828">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0FC1A363">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26D15C3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14:paraId="293004D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14:paraId="089008A7">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14:paraId="1AA6B7DE">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14:paraId="4CFD023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14:paraId="630434EA">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14:paraId="7AC86140">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14:paraId="22152AE2">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14:paraId="3C30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5246" w:type="dxa"/>
            <w:gridSpan w:val="11"/>
            <w:tcBorders>
              <w:top w:val="single" w:color="auto" w:sz="4" w:space="0"/>
              <w:left w:val="single" w:color="auto" w:sz="4" w:space="0"/>
              <w:bottom w:val="single" w:color="auto" w:sz="4" w:space="0"/>
              <w:right w:val="single" w:color="auto" w:sz="4" w:space="0"/>
            </w:tcBorders>
            <w:noWrap/>
          </w:tcPr>
          <w:p w14:paraId="3D2C7945">
            <w:pPr>
              <w:widowControl/>
              <w:spacing w:beforeAutospacing="0" w:afterAutospacing="0" w:line="280" w:lineRule="exact"/>
              <w:jc w:val="both"/>
              <w:rPr>
                <w:rFonts w:hint="default" w:ascii="宋体" w:hAnsi="宋体" w:eastAsia="宋体" w:cs="Times New Roman"/>
                <w:color w:val="auto"/>
                <w:kern w:val="0"/>
                <w:sz w:val="24"/>
                <w:szCs w:val="24"/>
                <w:highlight w:val="none"/>
                <w:shd w:val="clear" w:color="auto" w:fill="FFFFFF"/>
                <w:lang w:val="en-US" w:eastAsia="zh-CN" w:bidi="ar-SA"/>
              </w:rPr>
            </w:pPr>
          </w:p>
          <w:p w14:paraId="4A3F3B26">
            <w:pPr>
              <w:widowControl/>
              <w:spacing w:beforeAutospacing="0" w:afterAutospacing="0" w:line="240" w:lineRule="auto"/>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drawing>
                <wp:inline distT="0" distB="0" distL="114300" distR="114300">
                  <wp:extent cx="2867025" cy="1724025"/>
                  <wp:effectExtent l="0" t="0" r="9525"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2867025" cy="1724025"/>
                          </a:xfrm>
                          <a:prstGeom prst="rect">
                            <a:avLst/>
                          </a:prstGeom>
                        </pic:spPr>
                      </pic:pic>
                    </a:graphicData>
                  </a:graphic>
                </wp:inline>
              </w:drawing>
            </w:r>
            <w:r>
              <w:rPr>
                <w:rFonts w:hint="eastAsia" w:ascii="宋体" w:hAnsi="宋体" w:eastAsia="宋体" w:cs="Arial"/>
                <w:color w:val="auto"/>
                <w:kern w:val="0"/>
                <w:sz w:val="21"/>
                <w:szCs w:val="21"/>
                <w:highlight w:val="none"/>
                <w:shd w:val="clear" w:color="auto" w:fill="FFFFFF"/>
                <w:lang w:val="en-US" w:eastAsia="zh-CN" w:bidi="ar-SA"/>
              </w:rPr>
              <w:t xml:space="preserve">  （室内空间尺寸示意图）</w:t>
            </w:r>
          </w:p>
        </w:tc>
        <w:tc>
          <w:tcPr>
            <w:tcW w:w="4322" w:type="dxa"/>
            <w:gridSpan w:val="13"/>
            <w:tcBorders>
              <w:top w:val="single" w:color="auto" w:sz="4" w:space="0"/>
              <w:left w:val="nil"/>
              <w:bottom w:val="single" w:color="auto" w:sz="4" w:space="0"/>
              <w:right w:val="single" w:color="auto" w:sz="4" w:space="0"/>
            </w:tcBorders>
            <w:noWrap/>
            <w:vAlign w:val="center"/>
          </w:tcPr>
          <w:p w14:paraId="69137F4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套型示意图贴图区（标注房间编号）</w:t>
            </w:r>
          </w:p>
        </w:tc>
      </w:tr>
      <w:tr w14:paraId="31ED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68" w:type="dxa"/>
            <w:gridSpan w:val="24"/>
            <w:tcBorders>
              <w:top w:val="single" w:color="auto" w:sz="4" w:space="0"/>
              <w:left w:val="single" w:color="auto" w:sz="4" w:space="0"/>
              <w:bottom w:val="single" w:color="auto" w:sz="4" w:space="0"/>
              <w:right w:val="single" w:color="auto" w:sz="4" w:space="0"/>
            </w:tcBorders>
            <w:noWrap/>
          </w:tcPr>
          <w:p w14:paraId="6AAE92D1">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验收意见：</w:t>
            </w:r>
          </w:p>
        </w:tc>
      </w:tr>
      <w:tr w14:paraId="5DA3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409" w:type="dxa"/>
            <w:gridSpan w:val="3"/>
            <w:tcBorders>
              <w:top w:val="single" w:color="auto" w:sz="4" w:space="0"/>
              <w:left w:val="single" w:color="auto" w:sz="4" w:space="0"/>
              <w:bottom w:val="single" w:color="auto" w:sz="4" w:space="0"/>
              <w:right w:val="single" w:color="auto" w:sz="4" w:space="0"/>
            </w:tcBorders>
            <w:noWrap/>
            <w:vAlign w:val="center"/>
          </w:tcPr>
          <w:p w14:paraId="68445826">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建 设 单 位</w:t>
            </w:r>
          </w:p>
          <w:p w14:paraId="5384CCC4">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409" w:type="dxa"/>
            <w:gridSpan w:val="7"/>
            <w:tcBorders>
              <w:top w:val="single" w:color="auto" w:sz="4" w:space="0"/>
              <w:left w:val="single" w:color="auto" w:sz="4" w:space="0"/>
              <w:bottom w:val="single" w:color="auto" w:sz="4" w:space="0"/>
              <w:right w:val="single" w:color="auto" w:sz="4" w:space="0"/>
            </w:tcBorders>
            <w:vAlign w:val="center"/>
          </w:tcPr>
          <w:p w14:paraId="16AF5885">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监 理 单 位</w:t>
            </w:r>
          </w:p>
          <w:p w14:paraId="17E312AC">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409" w:type="dxa"/>
            <w:gridSpan w:val="8"/>
            <w:tcBorders>
              <w:top w:val="single" w:color="auto" w:sz="4" w:space="0"/>
              <w:left w:val="single" w:color="auto" w:sz="4" w:space="0"/>
              <w:bottom w:val="single" w:color="auto" w:sz="4" w:space="0"/>
              <w:right w:val="single" w:color="auto" w:sz="4" w:space="0"/>
            </w:tcBorders>
            <w:vAlign w:val="center"/>
          </w:tcPr>
          <w:p w14:paraId="09F3D96A">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施 工 单 位</w:t>
            </w:r>
          </w:p>
          <w:p w14:paraId="4CA29154">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c>
          <w:tcPr>
            <w:tcW w:w="2341" w:type="dxa"/>
            <w:gridSpan w:val="6"/>
            <w:tcBorders>
              <w:top w:val="single" w:color="auto" w:sz="4" w:space="0"/>
              <w:left w:val="single" w:color="auto" w:sz="4" w:space="0"/>
              <w:bottom w:val="single" w:color="auto" w:sz="4" w:space="0"/>
              <w:right w:val="single" w:color="auto" w:sz="4" w:space="0"/>
            </w:tcBorders>
            <w:vAlign w:val="center"/>
          </w:tcPr>
          <w:p w14:paraId="7353D1A8">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专业分包单位</w:t>
            </w:r>
          </w:p>
          <w:p w14:paraId="49D81692">
            <w:pPr>
              <w:widowControl/>
              <w:spacing w:beforeAutospacing="0" w:afterAutospacing="0" w:line="240" w:lineRule="exact"/>
              <w:jc w:val="center"/>
              <w:rPr>
                <w:rFonts w:hint="default"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r>
      <w:tr w14:paraId="4CEC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409" w:type="dxa"/>
            <w:gridSpan w:val="3"/>
            <w:tcBorders>
              <w:top w:val="single" w:color="auto" w:sz="4" w:space="0"/>
              <w:left w:val="single" w:color="auto" w:sz="4" w:space="0"/>
              <w:bottom w:val="single" w:color="auto" w:sz="4" w:space="0"/>
              <w:right w:val="single" w:color="auto" w:sz="4" w:space="0"/>
            </w:tcBorders>
            <w:noWrap/>
          </w:tcPr>
          <w:p w14:paraId="575173BB">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14:paraId="2564647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286842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60C754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19FB46F">
            <w:pPr>
              <w:widowControl/>
              <w:spacing w:beforeAutospacing="0" w:afterAutospacing="0" w:line="240" w:lineRule="exact"/>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09" w:type="dxa"/>
            <w:gridSpan w:val="7"/>
            <w:tcBorders>
              <w:top w:val="single" w:color="auto" w:sz="4" w:space="0"/>
              <w:left w:val="single" w:color="auto" w:sz="4" w:space="0"/>
              <w:bottom w:val="single" w:color="auto" w:sz="4" w:space="0"/>
              <w:right w:val="single" w:color="auto" w:sz="4" w:space="0"/>
            </w:tcBorders>
          </w:tcPr>
          <w:p w14:paraId="57ECF8F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14:paraId="241D367B">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3F3566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A6478D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2AD3A64">
            <w:pPr>
              <w:spacing w:line="240" w:lineRule="exact"/>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409" w:type="dxa"/>
            <w:gridSpan w:val="8"/>
            <w:tcBorders>
              <w:top w:val="single" w:color="auto" w:sz="4" w:space="0"/>
              <w:left w:val="single" w:color="auto" w:sz="4" w:space="0"/>
              <w:bottom w:val="single" w:color="auto" w:sz="4" w:space="0"/>
              <w:right w:val="single" w:color="auto" w:sz="4" w:space="0"/>
            </w:tcBorders>
          </w:tcPr>
          <w:p w14:paraId="17A0DC2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411BAF6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34528CC">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3A7224F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9EE5E47">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341" w:type="dxa"/>
            <w:gridSpan w:val="6"/>
            <w:tcBorders>
              <w:top w:val="single" w:color="auto" w:sz="4" w:space="0"/>
              <w:left w:val="single" w:color="auto" w:sz="4" w:space="0"/>
              <w:bottom w:val="single" w:color="auto" w:sz="4" w:space="0"/>
              <w:right w:val="single" w:color="auto" w:sz="4" w:space="0"/>
            </w:tcBorders>
          </w:tcPr>
          <w:p w14:paraId="1F3502B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33820FD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9A0742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0499D97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9223AF1">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14:paraId="78891B0A">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注：1、每个房间净高共抽测五点，开间、进深尺寸各抽测两处，测点位置详见附图；</w:t>
      </w:r>
    </w:p>
    <w:p w14:paraId="5D5D6484">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2、净距计算值≤3.6m时，允许偏差≤±15mm，极差≤20mm；净距计算值＞3.6m时，允许偏差≤±20mm，</w:t>
      </w:r>
    </w:p>
    <w:p w14:paraId="195BFC49">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允许极差≤25mm。净高计算值≤3.3m时，允许偏差≥±15mm，极差≤20mm；净高计算值＞3.3m时，</w:t>
      </w:r>
    </w:p>
    <w:p w14:paraId="5E799C7B">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允许偏差≥±20mm，允许极差≤25mm。偏差为实测值与标准值之间的绝对差；极差为实测中最大值与最小值之差，极差不应大于垂直长度的0.5%（且最大不应超过20mm），不合格点数在表内用红笔圈出；</w:t>
      </w:r>
    </w:p>
    <w:p w14:paraId="75364175">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3、室内每户为一个检验单元，每个检验单元填写本表一张；</w:t>
      </w:r>
    </w:p>
    <w:p w14:paraId="5FA7B49A">
      <w:pPr>
        <w:rPr>
          <w:rFonts w:hint="eastAsia" w:ascii="Calibri" w:hAnsi="Calibri" w:eastAsia="宋体" w:cs="Arial"/>
          <w:color w:val="auto"/>
          <w:szCs w:val="21"/>
          <w:highlight w:val="none"/>
          <w:shd w:val="clear" w:color="auto" w:fill="FFFFFF"/>
          <w:lang w:eastAsia="zh-CN"/>
        </w:rPr>
      </w:pPr>
      <w:r>
        <w:rPr>
          <w:rFonts w:hint="eastAsia" w:ascii="Calibri" w:hAnsi="Calibri" w:eastAsia="宋体" w:cs="Arial"/>
          <w:color w:val="auto"/>
          <w:szCs w:val="21"/>
          <w:highlight w:val="none"/>
          <w:shd w:val="clear" w:color="auto" w:fill="FFFFFF"/>
        </w:rPr>
        <w:t>4、该表作为交接验收表时，设计单位不须签章</w:t>
      </w:r>
      <w:r>
        <w:rPr>
          <w:rFonts w:hint="eastAsia" w:ascii="Calibri" w:hAnsi="Calibri" w:eastAsia="宋体" w:cs="Arial"/>
          <w:color w:val="auto"/>
          <w:szCs w:val="21"/>
          <w:highlight w:val="none"/>
          <w:shd w:val="clear" w:color="auto" w:fill="FFFFFF"/>
          <w:lang w:eastAsia="zh-CN"/>
        </w:rPr>
        <w:t>。</w:t>
      </w:r>
    </w:p>
    <w:p w14:paraId="2511AE41">
      <w:pPr>
        <w:keepNext/>
        <w:keepLines/>
        <w:jc w:val="center"/>
        <w:outlineLvl w:val="1"/>
        <w:rPr>
          <w:rFonts w:hint="eastAsia" w:ascii="Times New Roman" w:hAnsi="Times New Roman" w:eastAsia="宋体"/>
          <w:b/>
          <w:bCs/>
          <w:color w:val="auto"/>
          <w:kern w:val="0"/>
          <w:szCs w:val="21"/>
          <w:highlight w:val="none"/>
          <w:lang w:val="en-US" w:eastAsia="zh-CN"/>
        </w:rPr>
      </w:pPr>
      <w:bookmarkStart w:id="396" w:name="_Toc14072"/>
      <w:bookmarkStart w:id="397" w:name="_Toc11310"/>
      <w:bookmarkStart w:id="398" w:name="_Toc24011"/>
      <w:bookmarkStart w:id="399" w:name="_Toc20435"/>
      <w:bookmarkStart w:id="400" w:name="_Toc29445"/>
      <w:bookmarkStart w:id="401" w:name="_Toc2211"/>
      <w:r>
        <w:rPr>
          <w:rFonts w:hint="eastAsia" w:ascii="Times New Roman" w:hAnsi="Times New Roman" w:eastAsia="宋体"/>
          <w:b/>
          <w:bCs/>
          <w:color w:val="auto"/>
          <w:kern w:val="0"/>
          <w:szCs w:val="21"/>
          <w:highlight w:val="none"/>
          <w:lang w:val="en-US" w:eastAsia="zh-CN"/>
        </w:rPr>
        <w:t>附录C 住宅工程质量分户验收记录表（二）</w:t>
      </w:r>
      <w:bookmarkEnd w:id="396"/>
      <w:bookmarkEnd w:id="397"/>
      <w:bookmarkEnd w:id="398"/>
      <w:bookmarkEnd w:id="399"/>
      <w:bookmarkEnd w:id="400"/>
      <w:bookmarkEnd w:id="401"/>
    </w:p>
    <w:p w14:paraId="4CF1C1F5">
      <w:pPr>
        <w:widowControl/>
        <w:shd w:val="clear" w:color="auto" w:fill="FFFFFF"/>
        <w:spacing w:beforeAutospacing="0" w:afterAutospacing="0"/>
        <w:jc w:val="right"/>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---现场实测记录表</w:t>
      </w:r>
    </w:p>
    <w:tbl>
      <w:tblPr>
        <w:tblStyle w:val="27"/>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22"/>
        <w:gridCol w:w="298"/>
        <w:gridCol w:w="35"/>
        <w:gridCol w:w="682"/>
        <w:gridCol w:w="516"/>
        <w:gridCol w:w="516"/>
        <w:gridCol w:w="516"/>
        <w:gridCol w:w="128"/>
        <w:gridCol w:w="388"/>
        <w:gridCol w:w="374"/>
        <w:gridCol w:w="142"/>
        <w:gridCol w:w="519"/>
        <w:gridCol w:w="239"/>
        <w:gridCol w:w="283"/>
        <w:gridCol w:w="448"/>
        <w:gridCol w:w="71"/>
        <w:gridCol w:w="233"/>
        <w:gridCol w:w="286"/>
        <w:gridCol w:w="419"/>
        <w:gridCol w:w="103"/>
        <w:gridCol w:w="1283"/>
      </w:tblGrid>
      <w:tr w14:paraId="79D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28" w:type="dxa"/>
            <w:gridSpan w:val="4"/>
            <w:tcBorders>
              <w:top w:val="single" w:color="auto" w:sz="4" w:space="0"/>
              <w:left w:val="single" w:color="auto" w:sz="4" w:space="0"/>
              <w:right w:val="single" w:color="auto" w:sz="4" w:space="0"/>
            </w:tcBorders>
            <w:vAlign w:val="center"/>
          </w:tcPr>
          <w:p w14:paraId="6F8B11EF">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bCs/>
                <w:color w:val="auto"/>
                <w:sz w:val="18"/>
                <w:szCs w:val="18"/>
                <w:highlight w:val="none"/>
                <w:shd w:val="clear" w:color="auto" w:fill="FFFFFF"/>
              </w:rPr>
              <w:t>单位（子单位）工程名称</w:t>
            </w:r>
          </w:p>
        </w:tc>
        <w:tc>
          <w:tcPr>
            <w:tcW w:w="3120" w:type="dxa"/>
            <w:gridSpan w:val="7"/>
            <w:tcBorders>
              <w:top w:val="single" w:color="auto" w:sz="4" w:space="0"/>
              <w:left w:val="single" w:color="auto" w:sz="4" w:space="0"/>
              <w:right w:val="single" w:color="auto" w:sz="4" w:space="0"/>
            </w:tcBorders>
            <w:vAlign w:val="center"/>
          </w:tcPr>
          <w:p w14:paraId="0D357F8F">
            <w:pPr>
              <w:spacing w:line="240" w:lineRule="exact"/>
              <w:jc w:val="center"/>
              <w:rPr>
                <w:rFonts w:ascii="Calibri" w:hAnsi="Calibri" w:eastAsia="宋体"/>
                <w:bCs/>
                <w:color w:val="auto"/>
                <w:sz w:val="18"/>
                <w:szCs w:val="18"/>
                <w:highlight w:val="none"/>
                <w:shd w:val="clear" w:color="auto" w:fill="FFFFFF"/>
              </w:rPr>
            </w:pPr>
          </w:p>
        </w:tc>
        <w:tc>
          <w:tcPr>
            <w:tcW w:w="900" w:type="dxa"/>
            <w:gridSpan w:val="3"/>
            <w:tcBorders>
              <w:top w:val="single" w:color="auto" w:sz="4" w:space="0"/>
              <w:left w:val="single" w:color="auto" w:sz="4" w:space="0"/>
              <w:right w:val="single" w:color="auto" w:sz="4" w:space="0"/>
            </w:tcBorders>
            <w:vAlign w:val="center"/>
          </w:tcPr>
          <w:p w14:paraId="23BDC8A7">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035" w:type="dxa"/>
            <w:gridSpan w:val="4"/>
            <w:tcBorders>
              <w:top w:val="single" w:color="auto" w:sz="4" w:space="0"/>
              <w:left w:val="single" w:color="auto" w:sz="4" w:space="0"/>
              <w:right w:val="single" w:color="auto" w:sz="4" w:space="0"/>
            </w:tcBorders>
            <w:vAlign w:val="center"/>
          </w:tcPr>
          <w:p w14:paraId="14E3BDB6">
            <w:pPr>
              <w:spacing w:line="240" w:lineRule="exact"/>
              <w:jc w:val="center"/>
              <w:rPr>
                <w:rFonts w:ascii="Calibri" w:hAnsi="Calibri" w:eastAsia="宋体"/>
                <w:bCs/>
                <w:color w:val="auto"/>
                <w:sz w:val="18"/>
                <w:szCs w:val="18"/>
                <w:highlight w:val="none"/>
                <w:shd w:val="clear" w:color="auto" w:fill="FFFFFF"/>
              </w:rPr>
            </w:pPr>
          </w:p>
        </w:tc>
        <w:tc>
          <w:tcPr>
            <w:tcW w:w="705" w:type="dxa"/>
            <w:gridSpan w:val="2"/>
            <w:tcBorders>
              <w:top w:val="single" w:color="auto" w:sz="4" w:space="0"/>
              <w:left w:val="single" w:color="auto" w:sz="4" w:space="0"/>
              <w:right w:val="single" w:color="auto" w:sz="4" w:space="0"/>
            </w:tcBorders>
            <w:vAlign w:val="center"/>
          </w:tcPr>
          <w:p w14:paraId="2651CE2A">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房号</w:t>
            </w:r>
          </w:p>
        </w:tc>
        <w:tc>
          <w:tcPr>
            <w:tcW w:w="1386" w:type="dxa"/>
            <w:gridSpan w:val="2"/>
            <w:tcBorders>
              <w:top w:val="single" w:color="auto" w:sz="4" w:space="0"/>
              <w:left w:val="single" w:color="auto" w:sz="4" w:space="0"/>
              <w:right w:val="single" w:color="auto" w:sz="4" w:space="0"/>
            </w:tcBorders>
            <w:vAlign w:val="center"/>
          </w:tcPr>
          <w:p w14:paraId="69907EC3">
            <w:pPr>
              <w:spacing w:line="240" w:lineRule="exact"/>
              <w:jc w:val="center"/>
              <w:rPr>
                <w:rFonts w:ascii="Calibri" w:hAnsi="Calibri" w:eastAsia="宋体"/>
                <w:bCs/>
                <w:color w:val="auto"/>
                <w:sz w:val="18"/>
                <w:szCs w:val="18"/>
                <w:highlight w:val="none"/>
                <w:shd w:val="clear" w:color="auto" w:fill="FFFFFF"/>
              </w:rPr>
            </w:pPr>
          </w:p>
        </w:tc>
      </w:tr>
      <w:tr w14:paraId="16BD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574" w:type="dxa"/>
            <w:gridSpan w:val="22"/>
            <w:tcBorders>
              <w:top w:val="single" w:color="auto" w:sz="12" w:space="0"/>
              <w:left w:val="single" w:color="auto" w:sz="4" w:space="0"/>
              <w:right w:val="single" w:color="auto" w:sz="4" w:space="0"/>
            </w:tcBorders>
            <w:vAlign w:val="center"/>
          </w:tcPr>
          <w:p w14:paraId="0BA2528E">
            <w:pPr>
              <w:spacing w:line="240" w:lineRule="exact"/>
              <w:jc w:val="center"/>
              <w:rPr>
                <w:rFonts w:ascii="Calibri" w:hAnsi="Calibri" w:eastAsia="宋体"/>
                <w:b/>
                <w:color w:val="auto"/>
                <w:sz w:val="18"/>
                <w:szCs w:val="18"/>
                <w:highlight w:val="none"/>
                <w:shd w:val="clear" w:color="auto" w:fill="FFFFFF"/>
              </w:rPr>
            </w:pPr>
            <w:r>
              <w:rPr>
                <w:rFonts w:hint="eastAsia" w:ascii="Calibri" w:hAnsi="Calibri" w:eastAsia="宋体"/>
                <w:b/>
                <w:color w:val="auto"/>
                <w:sz w:val="18"/>
                <w:szCs w:val="18"/>
                <w:highlight w:val="none"/>
                <w:shd w:val="clear" w:color="auto" w:fill="FFFFFF"/>
              </w:rPr>
              <w:t>土  建  装  修  工  程</w:t>
            </w:r>
          </w:p>
        </w:tc>
      </w:tr>
      <w:tr w14:paraId="4F4D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3" w:type="dxa"/>
            <w:tcBorders>
              <w:left w:val="single" w:color="auto" w:sz="4" w:space="0"/>
            </w:tcBorders>
            <w:vAlign w:val="center"/>
          </w:tcPr>
          <w:p w14:paraId="43F76FBF">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验收项目</w:t>
            </w:r>
          </w:p>
        </w:tc>
        <w:tc>
          <w:tcPr>
            <w:tcW w:w="2137" w:type="dxa"/>
            <w:gridSpan w:val="4"/>
            <w:vAlign w:val="center"/>
          </w:tcPr>
          <w:p w14:paraId="550D831E">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w:t>
            </w:r>
          </w:p>
        </w:tc>
        <w:tc>
          <w:tcPr>
            <w:tcW w:w="5181" w:type="dxa"/>
            <w:gridSpan w:val="16"/>
            <w:vAlign w:val="center"/>
          </w:tcPr>
          <w:p w14:paraId="350E5569">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 测 记 录</w:t>
            </w:r>
          </w:p>
        </w:tc>
        <w:tc>
          <w:tcPr>
            <w:tcW w:w="1283" w:type="dxa"/>
            <w:tcBorders>
              <w:right w:val="single" w:color="auto" w:sz="4" w:space="0"/>
            </w:tcBorders>
            <w:vAlign w:val="center"/>
          </w:tcPr>
          <w:p w14:paraId="0F7416B3">
            <w:pPr>
              <w:spacing w:line="240" w:lineRule="exact"/>
              <w:rPr>
                <w:rFonts w:ascii="Calibri" w:hAnsi="Calibri" w:eastAsia="宋体"/>
                <w:color w:val="auto"/>
                <w:spacing w:val="-20"/>
                <w:sz w:val="18"/>
                <w:szCs w:val="18"/>
                <w:highlight w:val="none"/>
                <w:shd w:val="clear" w:color="auto" w:fill="FFFFFF"/>
              </w:rPr>
            </w:pPr>
            <w:r>
              <w:rPr>
                <w:rFonts w:hint="eastAsia" w:ascii="Calibri" w:hAnsi="Calibri" w:eastAsia="宋体"/>
                <w:color w:val="auto"/>
                <w:spacing w:val="-20"/>
                <w:sz w:val="18"/>
                <w:szCs w:val="18"/>
                <w:highlight w:val="none"/>
                <w:shd w:val="clear" w:color="auto" w:fill="FFFFFF"/>
              </w:rPr>
              <w:t>是否符合要求</w:t>
            </w:r>
          </w:p>
        </w:tc>
      </w:tr>
      <w:tr w14:paraId="3CAF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restart"/>
            <w:tcBorders>
              <w:left w:val="single" w:color="auto" w:sz="4" w:space="0"/>
            </w:tcBorders>
            <w:vAlign w:val="center"/>
          </w:tcPr>
          <w:p w14:paraId="069603C2">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1、建筑地面、墙面及顶棚</w:t>
            </w:r>
          </w:p>
        </w:tc>
        <w:tc>
          <w:tcPr>
            <w:tcW w:w="2137" w:type="dxa"/>
            <w:gridSpan w:val="4"/>
            <w:vAlign w:val="center"/>
          </w:tcPr>
          <w:p w14:paraId="631DD63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地面平整度</w:t>
            </w:r>
          </w:p>
        </w:tc>
        <w:tc>
          <w:tcPr>
            <w:tcW w:w="516" w:type="dxa"/>
          </w:tcPr>
          <w:p w14:paraId="4C308AFA">
            <w:pPr>
              <w:spacing w:line="240" w:lineRule="exact"/>
              <w:rPr>
                <w:rFonts w:ascii="Calibri" w:hAnsi="Calibri" w:eastAsia="宋体"/>
                <w:color w:val="auto"/>
                <w:sz w:val="18"/>
                <w:szCs w:val="18"/>
                <w:highlight w:val="none"/>
                <w:shd w:val="clear" w:color="auto" w:fill="FFFFFF"/>
              </w:rPr>
            </w:pPr>
          </w:p>
        </w:tc>
        <w:tc>
          <w:tcPr>
            <w:tcW w:w="516" w:type="dxa"/>
          </w:tcPr>
          <w:p w14:paraId="3A6CC124">
            <w:pPr>
              <w:spacing w:line="240" w:lineRule="exact"/>
              <w:rPr>
                <w:rFonts w:ascii="Calibri" w:hAnsi="Calibri" w:eastAsia="宋体"/>
                <w:color w:val="auto"/>
                <w:sz w:val="18"/>
                <w:szCs w:val="18"/>
                <w:highlight w:val="none"/>
                <w:shd w:val="clear" w:color="auto" w:fill="FFFFFF"/>
              </w:rPr>
            </w:pPr>
          </w:p>
        </w:tc>
        <w:tc>
          <w:tcPr>
            <w:tcW w:w="516" w:type="dxa"/>
          </w:tcPr>
          <w:p w14:paraId="0BD0E803">
            <w:pPr>
              <w:spacing w:line="240" w:lineRule="exact"/>
              <w:rPr>
                <w:rFonts w:ascii="Calibri" w:hAnsi="Calibri" w:eastAsia="宋体"/>
                <w:color w:val="auto"/>
                <w:sz w:val="18"/>
                <w:szCs w:val="18"/>
                <w:highlight w:val="none"/>
                <w:shd w:val="clear" w:color="auto" w:fill="FFFFFF"/>
              </w:rPr>
            </w:pPr>
          </w:p>
        </w:tc>
        <w:tc>
          <w:tcPr>
            <w:tcW w:w="516" w:type="dxa"/>
            <w:gridSpan w:val="2"/>
          </w:tcPr>
          <w:p w14:paraId="078C4C80">
            <w:pPr>
              <w:spacing w:line="240" w:lineRule="exact"/>
              <w:rPr>
                <w:rFonts w:ascii="Calibri" w:hAnsi="Calibri" w:eastAsia="宋体"/>
                <w:color w:val="auto"/>
                <w:sz w:val="18"/>
                <w:szCs w:val="18"/>
                <w:highlight w:val="none"/>
                <w:shd w:val="clear" w:color="auto" w:fill="FFFFFF"/>
              </w:rPr>
            </w:pPr>
          </w:p>
        </w:tc>
        <w:tc>
          <w:tcPr>
            <w:tcW w:w="516" w:type="dxa"/>
            <w:gridSpan w:val="2"/>
          </w:tcPr>
          <w:p w14:paraId="6EFFAAB6">
            <w:pPr>
              <w:spacing w:line="240" w:lineRule="exact"/>
              <w:rPr>
                <w:rFonts w:ascii="Calibri" w:hAnsi="Calibri" w:eastAsia="宋体"/>
                <w:color w:val="auto"/>
                <w:sz w:val="18"/>
                <w:szCs w:val="18"/>
                <w:highlight w:val="none"/>
                <w:shd w:val="clear" w:color="auto" w:fill="FFFFFF"/>
              </w:rPr>
            </w:pPr>
          </w:p>
        </w:tc>
        <w:tc>
          <w:tcPr>
            <w:tcW w:w="519" w:type="dxa"/>
          </w:tcPr>
          <w:p w14:paraId="33D32BAE">
            <w:pPr>
              <w:spacing w:line="240" w:lineRule="exact"/>
              <w:rPr>
                <w:rFonts w:ascii="Calibri" w:hAnsi="Calibri" w:eastAsia="宋体"/>
                <w:color w:val="auto"/>
                <w:sz w:val="18"/>
                <w:szCs w:val="18"/>
                <w:highlight w:val="none"/>
                <w:shd w:val="clear" w:color="auto" w:fill="FFFFFF"/>
              </w:rPr>
            </w:pPr>
          </w:p>
        </w:tc>
        <w:tc>
          <w:tcPr>
            <w:tcW w:w="522" w:type="dxa"/>
            <w:gridSpan w:val="2"/>
          </w:tcPr>
          <w:p w14:paraId="689C0B2D">
            <w:pPr>
              <w:spacing w:line="240" w:lineRule="exact"/>
              <w:rPr>
                <w:rFonts w:ascii="Calibri" w:hAnsi="Calibri" w:eastAsia="宋体"/>
                <w:color w:val="auto"/>
                <w:sz w:val="18"/>
                <w:szCs w:val="18"/>
                <w:highlight w:val="none"/>
                <w:shd w:val="clear" w:color="auto" w:fill="FFFFFF"/>
              </w:rPr>
            </w:pPr>
          </w:p>
        </w:tc>
        <w:tc>
          <w:tcPr>
            <w:tcW w:w="519" w:type="dxa"/>
            <w:gridSpan w:val="2"/>
          </w:tcPr>
          <w:p w14:paraId="154ED8B7">
            <w:pPr>
              <w:spacing w:line="240" w:lineRule="exact"/>
              <w:rPr>
                <w:rFonts w:ascii="Calibri" w:hAnsi="Calibri" w:eastAsia="宋体"/>
                <w:color w:val="auto"/>
                <w:sz w:val="18"/>
                <w:szCs w:val="18"/>
                <w:highlight w:val="none"/>
                <w:shd w:val="clear" w:color="auto" w:fill="FFFFFF"/>
              </w:rPr>
            </w:pPr>
          </w:p>
        </w:tc>
        <w:tc>
          <w:tcPr>
            <w:tcW w:w="519" w:type="dxa"/>
            <w:gridSpan w:val="2"/>
          </w:tcPr>
          <w:p w14:paraId="21F5528A">
            <w:pPr>
              <w:spacing w:line="240" w:lineRule="exact"/>
              <w:rPr>
                <w:rFonts w:ascii="Calibri" w:hAnsi="Calibri" w:eastAsia="宋体"/>
                <w:color w:val="auto"/>
                <w:sz w:val="18"/>
                <w:szCs w:val="18"/>
                <w:highlight w:val="none"/>
                <w:shd w:val="clear" w:color="auto" w:fill="FFFFFF"/>
              </w:rPr>
            </w:pPr>
          </w:p>
        </w:tc>
        <w:tc>
          <w:tcPr>
            <w:tcW w:w="522" w:type="dxa"/>
            <w:gridSpan w:val="2"/>
          </w:tcPr>
          <w:p w14:paraId="4A383B7E">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0424A4DC">
            <w:pPr>
              <w:spacing w:line="240" w:lineRule="exact"/>
              <w:rPr>
                <w:rFonts w:ascii="Calibri" w:hAnsi="Calibri" w:eastAsia="宋体"/>
                <w:color w:val="auto"/>
                <w:sz w:val="18"/>
                <w:szCs w:val="18"/>
                <w:highlight w:val="none"/>
                <w:shd w:val="clear" w:color="auto" w:fill="FFFFFF"/>
              </w:rPr>
            </w:pPr>
          </w:p>
        </w:tc>
      </w:tr>
      <w:tr w14:paraId="0654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6590313E">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14:paraId="7F89DA3A">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墙面平整度</w:t>
            </w:r>
          </w:p>
        </w:tc>
        <w:tc>
          <w:tcPr>
            <w:tcW w:w="516" w:type="dxa"/>
          </w:tcPr>
          <w:p w14:paraId="1F82072F">
            <w:pPr>
              <w:spacing w:line="240" w:lineRule="exact"/>
              <w:rPr>
                <w:rFonts w:ascii="Calibri" w:hAnsi="Calibri" w:eastAsia="宋体"/>
                <w:color w:val="auto"/>
                <w:sz w:val="18"/>
                <w:szCs w:val="18"/>
                <w:highlight w:val="none"/>
                <w:shd w:val="clear" w:color="auto" w:fill="FFFFFF"/>
              </w:rPr>
            </w:pPr>
          </w:p>
        </w:tc>
        <w:tc>
          <w:tcPr>
            <w:tcW w:w="516" w:type="dxa"/>
          </w:tcPr>
          <w:p w14:paraId="1650AC95">
            <w:pPr>
              <w:spacing w:line="240" w:lineRule="exact"/>
              <w:rPr>
                <w:rFonts w:ascii="Calibri" w:hAnsi="Calibri" w:eastAsia="宋体"/>
                <w:color w:val="auto"/>
                <w:sz w:val="18"/>
                <w:szCs w:val="18"/>
                <w:highlight w:val="none"/>
                <w:shd w:val="clear" w:color="auto" w:fill="FFFFFF"/>
              </w:rPr>
            </w:pPr>
          </w:p>
        </w:tc>
        <w:tc>
          <w:tcPr>
            <w:tcW w:w="516" w:type="dxa"/>
          </w:tcPr>
          <w:p w14:paraId="206ACF03">
            <w:pPr>
              <w:spacing w:line="240" w:lineRule="exact"/>
              <w:rPr>
                <w:rFonts w:ascii="Calibri" w:hAnsi="Calibri" w:eastAsia="宋体"/>
                <w:color w:val="auto"/>
                <w:sz w:val="18"/>
                <w:szCs w:val="18"/>
                <w:highlight w:val="none"/>
                <w:shd w:val="clear" w:color="auto" w:fill="FFFFFF"/>
              </w:rPr>
            </w:pPr>
          </w:p>
        </w:tc>
        <w:tc>
          <w:tcPr>
            <w:tcW w:w="516" w:type="dxa"/>
            <w:gridSpan w:val="2"/>
          </w:tcPr>
          <w:p w14:paraId="6CA6C362">
            <w:pPr>
              <w:spacing w:line="240" w:lineRule="exact"/>
              <w:rPr>
                <w:rFonts w:ascii="Calibri" w:hAnsi="Calibri" w:eastAsia="宋体"/>
                <w:color w:val="auto"/>
                <w:sz w:val="18"/>
                <w:szCs w:val="18"/>
                <w:highlight w:val="none"/>
                <w:shd w:val="clear" w:color="auto" w:fill="FFFFFF"/>
              </w:rPr>
            </w:pPr>
          </w:p>
        </w:tc>
        <w:tc>
          <w:tcPr>
            <w:tcW w:w="516" w:type="dxa"/>
            <w:gridSpan w:val="2"/>
          </w:tcPr>
          <w:p w14:paraId="422D5739">
            <w:pPr>
              <w:spacing w:line="240" w:lineRule="exact"/>
              <w:rPr>
                <w:rFonts w:ascii="Calibri" w:hAnsi="Calibri" w:eastAsia="宋体"/>
                <w:color w:val="auto"/>
                <w:sz w:val="18"/>
                <w:szCs w:val="18"/>
                <w:highlight w:val="none"/>
                <w:shd w:val="clear" w:color="auto" w:fill="FFFFFF"/>
              </w:rPr>
            </w:pPr>
          </w:p>
        </w:tc>
        <w:tc>
          <w:tcPr>
            <w:tcW w:w="519" w:type="dxa"/>
          </w:tcPr>
          <w:p w14:paraId="14064D11">
            <w:pPr>
              <w:spacing w:line="240" w:lineRule="exact"/>
              <w:rPr>
                <w:rFonts w:ascii="Calibri" w:hAnsi="Calibri" w:eastAsia="宋体"/>
                <w:color w:val="auto"/>
                <w:sz w:val="18"/>
                <w:szCs w:val="18"/>
                <w:highlight w:val="none"/>
                <w:shd w:val="clear" w:color="auto" w:fill="FFFFFF"/>
              </w:rPr>
            </w:pPr>
          </w:p>
        </w:tc>
        <w:tc>
          <w:tcPr>
            <w:tcW w:w="522" w:type="dxa"/>
            <w:gridSpan w:val="2"/>
          </w:tcPr>
          <w:p w14:paraId="36D6A82F">
            <w:pPr>
              <w:spacing w:line="240" w:lineRule="exact"/>
              <w:rPr>
                <w:rFonts w:ascii="Calibri" w:hAnsi="Calibri" w:eastAsia="宋体"/>
                <w:color w:val="auto"/>
                <w:sz w:val="18"/>
                <w:szCs w:val="18"/>
                <w:highlight w:val="none"/>
                <w:shd w:val="clear" w:color="auto" w:fill="FFFFFF"/>
              </w:rPr>
            </w:pPr>
          </w:p>
        </w:tc>
        <w:tc>
          <w:tcPr>
            <w:tcW w:w="519" w:type="dxa"/>
            <w:gridSpan w:val="2"/>
          </w:tcPr>
          <w:p w14:paraId="140BF5AD">
            <w:pPr>
              <w:spacing w:line="240" w:lineRule="exact"/>
              <w:rPr>
                <w:rFonts w:ascii="Calibri" w:hAnsi="Calibri" w:eastAsia="宋体"/>
                <w:color w:val="auto"/>
                <w:sz w:val="18"/>
                <w:szCs w:val="18"/>
                <w:highlight w:val="none"/>
                <w:shd w:val="clear" w:color="auto" w:fill="FFFFFF"/>
              </w:rPr>
            </w:pPr>
          </w:p>
        </w:tc>
        <w:tc>
          <w:tcPr>
            <w:tcW w:w="519" w:type="dxa"/>
            <w:gridSpan w:val="2"/>
          </w:tcPr>
          <w:p w14:paraId="45112DE0">
            <w:pPr>
              <w:spacing w:line="240" w:lineRule="exact"/>
              <w:rPr>
                <w:rFonts w:ascii="Calibri" w:hAnsi="Calibri" w:eastAsia="宋体"/>
                <w:color w:val="auto"/>
                <w:sz w:val="18"/>
                <w:szCs w:val="18"/>
                <w:highlight w:val="none"/>
                <w:shd w:val="clear" w:color="auto" w:fill="FFFFFF"/>
              </w:rPr>
            </w:pPr>
          </w:p>
        </w:tc>
        <w:tc>
          <w:tcPr>
            <w:tcW w:w="522" w:type="dxa"/>
            <w:gridSpan w:val="2"/>
          </w:tcPr>
          <w:p w14:paraId="5CED4C4E">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2CB75D58">
            <w:pPr>
              <w:spacing w:line="240" w:lineRule="exact"/>
              <w:rPr>
                <w:rFonts w:ascii="Calibri" w:hAnsi="Calibri" w:eastAsia="宋体"/>
                <w:color w:val="auto"/>
                <w:sz w:val="18"/>
                <w:szCs w:val="18"/>
                <w:highlight w:val="none"/>
                <w:shd w:val="clear" w:color="auto" w:fill="FFFFFF"/>
              </w:rPr>
            </w:pPr>
          </w:p>
        </w:tc>
      </w:tr>
      <w:tr w14:paraId="03A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52A500BD">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14:paraId="58CFB20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墙面垂直度</w:t>
            </w:r>
          </w:p>
        </w:tc>
        <w:tc>
          <w:tcPr>
            <w:tcW w:w="516" w:type="dxa"/>
          </w:tcPr>
          <w:p w14:paraId="30C2663A">
            <w:pPr>
              <w:spacing w:line="240" w:lineRule="exact"/>
              <w:rPr>
                <w:rFonts w:ascii="Calibri" w:hAnsi="Calibri" w:eastAsia="宋体"/>
                <w:color w:val="auto"/>
                <w:sz w:val="18"/>
                <w:szCs w:val="18"/>
                <w:highlight w:val="none"/>
                <w:shd w:val="clear" w:color="auto" w:fill="FFFFFF"/>
              </w:rPr>
            </w:pPr>
          </w:p>
        </w:tc>
        <w:tc>
          <w:tcPr>
            <w:tcW w:w="516" w:type="dxa"/>
          </w:tcPr>
          <w:p w14:paraId="2DFDE44F">
            <w:pPr>
              <w:spacing w:line="240" w:lineRule="exact"/>
              <w:rPr>
                <w:rFonts w:ascii="Calibri" w:hAnsi="Calibri" w:eastAsia="宋体"/>
                <w:color w:val="auto"/>
                <w:sz w:val="18"/>
                <w:szCs w:val="18"/>
                <w:highlight w:val="none"/>
                <w:shd w:val="clear" w:color="auto" w:fill="FFFFFF"/>
              </w:rPr>
            </w:pPr>
          </w:p>
        </w:tc>
        <w:tc>
          <w:tcPr>
            <w:tcW w:w="516" w:type="dxa"/>
          </w:tcPr>
          <w:p w14:paraId="617A187F">
            <w:pPr>
              <w:spacing w:line="240" w:lineRule="exact"/>
              <w:rPr>
                <w:rFonts w:ascii="Calibri" w:hAnsi="Calibri" w:eastAsia="宋体"/>
                <w:color w:val="auto"/>
                <w:sz w:val="18"/>
                <w:szCs w:val="18"/>
                <w:highlight w:val="none"/>
                <w:shd w:val="clear" w:color="auto" w:fill="FFFFFF"/>
              </w:rPr>
            </w:pPr>
          </w:p>
        </w:tc>
        <w:tc>
          <w:tcPr>
            <w:tcW w:w="516" w:type="dxa"/>
            <w:gridSpan w:val="2"/>
          </w:tcPr>
          <w:p w14:paraId="21C44B8E">
            <w:pPr>
              <w:spacing w:line="240" w:lineRule="exact"/>
              <w:rPr>
                <w:rFonts w:ascii="Calibri" w:hAnsi="Calibri" w:eastAsia="宋体"/>
                <w:color w:val="auto"/>
                <w:sz w:val="18"/>
                <w:szCs w:val="18"/>
                <w:highlight w:val="none"/>
                <w:shd w:val="clear" w:color="auto" w:fill="FFFFFF"/>
              </w:rPr>
            </w:pPr>
          </w:p>
        </w:tc>
        <w:tc>
          <w:tcPr>
            <w:tcW w:w="516" w:type="dxa"/>
            <w:gridSpan w:val="2"/>
          </w:tcPr>
          <w:p w14:paraId="039F6B90">
            <w:pPr>
              <w:spacing w:line="240" w:lineRule="exact"/>
              <w:rPr>
                <w:rFonts w:ascii="Calibri" w:hAnsi="Calibri" w:eastAsia="宋体"/>
                <w:color w:val="auto"/>
                <w:sz w:val="18"/>
                <w:szCs w:val="18"/>
                <w:highlight w:val="none"/>
                <w:shd w:val="clear" w:color="auto" w:fill="FFFFFF"/>
              </w:rPr>
            </w:pPr>
          </w:p>
        </w:tc>
        <w:tc>
          <w:tcPr>
            <w:tcW w:w="519" w:type="dxa"/>
          </w:tcPr>
          <w:p w14:paraId="0E3BD7F8">
            <w:pPr>
              <w:spacing w:line="240" w:lineRule="exact"/>
              <w:rPr>
                <w:rFonts w:ascii="Calibri" w:hAnsi="Calibri" w:eastAsia="宋体"/>
                <w:color w:val="auto"/>
                <w:sz w:val="18"/>
                <w:szCs w:val="18"/>
                <w:highlight w:val="none"/>
                <w:shd w:val="clear" w:color="auto" w:fill="FFFFFF"/>
              </w:rPr>
            </w:pPr>
          </w:p>
        </w:tc>
        <w:tc>
          <w:tcPr>
            <w:tcW w:w="522" w:type="dxa"/>
            <w:gridSpan w:val="2"/>
          </w:tcPr>
          <w:p w14:paraId="67BA6B37">
            <w:pPr>
              <w:spacing w:line="240" w:lineRule="exact"/>
              <w:rPr>
                <w:rFonts w:ascii="Calibri" w:hAnsi="Calibri" w:eastAsia="宋体"/>
                <w:color w:val="auto"/>
                <w:sz w:val="18"/>
                <w:szCs w:val="18"/>
                <w:highlight w:val="none"/>
                <w:shd w:val="clear" w:color="auto" w:fill="FFFFFF"/>
              </w:rPr>
            </w:pPr>
          </w:p>
        </w:tc>
        <w:tc>
          <w:tcPr>
            <w:tcW w:w="519" w:type="dxa"/>
            <w:gridSpan w:val="2"/>
          </w:tcPr>
          <w:p w14:paraId="799E77C7">
            <w:pPr>
              <w:spacing w:line="240" w:lineRule="exact"/>
              <w:rPr>
                <w:rFonts w:ascii="Calibri" w:hAnsi="Calibri" w:eastAsia="宋体"/>
                <w:color w:val="auto"/>
                <w:sz w:val="18"/>
                <w:szCs w:val="18"/>
                <w:highlight w:val="none"/>
                <w:shd w:val="clear" w:color="auto" w:fill="FFFFFF"/>
              </w:rPr>
            </w:pPr>
          </w:p>
        </w:tc>
        <w:tc>
          <w:tcPr>
            <w:tcW w:w="519" w:type="dxa"/>
            <w:gridSpan w:val="2"/>
          </w:tcPr>
          <w:p w14:paraId="3C005702">
            <w:pPr>
              <w:spacing w:line="240" w:lineRule="exact"/>
              <w:rPr>
                <w:rFonts w:ascii="Calibri" w:hAnsi="Calibri" w:eastAsia="宋体"/>
                <w:color w:val="auto"/>
                <w:sz w:val="18"/>
                <w:szCs w:val="18"/>
                <w:highlight w:val="none"/>
                <w:shd w:val="clear" w:color="auto" w:fill="FFFFFF"/>
              </w:rPr>
            </w:pPr>
          </w:p>
        </w:tc>
        <w:tc>
          <w:tcPr>
            <w:tcW w:w="522" w:type="dxa"/>
            <w:gridSpan w:val="2"/>
          </w:tcPr>
          <w:p w14:paraId="41B65D50">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0A506264">
            <w:pPr>
              <w:spacing w:line="240" w:lineRule="exact"/>
              <w:rPr>
                <w:rFonts w:ascii="Calibri" w:hAnsi="Calibri" w:eastAsia="宋体"/>
                <w:color w:val="auto"/>
                <w:sz w:val="18"/>
                <w:szCs w:val="18"/>
                <w:highlight w:val="none"/>
                <w:shd w:val="clear" w:color="auto" w:fill="FFFFFF"/>
              </w:rPr>
            </w:pPr>
          </w:p>
        </w:tc>
      </w:tr>
      <w:tr w14:paraId="09B6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433D0833">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14:paraId="0348D440">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墙面阴阳角方正</w:t>
            </w:r>
          </w:p>
        </w:tc>
        <w:tc>
          <w:tcPr>
            <w:tcW w:w="516" w:type="dxa"/>
          </w:tcPr>
          <w:p w14:paraId="3958C3E6">
            <w:pPr>
              <w:spacing w:line="240" w:lineRule="exact"/>
              <w:rPr>
                <w:rFonts w:ascii="Calibri" w:hAnsi="Calibri" w:eastAsia="宋体"/>
                <w:color w:val="auto"/>
                <w:sz w:val="18"/>
                <w:szCs w:val="18"/>
                <w:highlight w:val="none"/>
                <w:shd w:val="clear" w:color="auto" w:fill="FFFFFF"/>
              </w:rPr>
            </w:pPr>
          </w:p>
        </w:tc>
        <w:tc>
          <w:tcPr>
            <w:tcW w:w="516" w:type="dxa"/>
          </w:tcPr>
          <w:p w14:paraId="727DF8F1">
            <w:pPr>
              <w:spacing w:line="240" w:lineRule="exact"/>
              <w:rPr>
                <w:rFonts w:ascii="Calibri" w:hAnsi="Calibri" w:eastAsia="宋体"/>
                <w:color w:val="auto"/>
                <w:sz w:val="18"/>
                <w:szCs w:val="18"/>
                <w:highlight w:val="none"/>
                <w:shd w:val="clear" w:color="auto" w:fill="FFFFFF"/>
              </w:rPr>
            </w:pPr>
          </w:p>
        </w:tc>
        <w:tc>
          <w:tcPr>
            <w:tcW w:w="516" w:type="dxa"/>
          </w:tcPr>
          <w:p w14:paraId="3D3597AC">
            <w:pPr>
              <w:spacing w:line="240" w:lineRule="exact"/>
              <w:rPr>
                <w:rFonts w:ascii="Calibri" w:hAnsi="Calibri" w:eastAsia="宋体"/>
                <w:color w:val="auto"/>
                <w:sz w:val="18"/>
                <w:szCs w:val="18"/>
                <w:highlight w:val="none"/>
                <w:shd w:val="clear" w:color="auto" w:fill="FFFFFF"/>
              </w:rPr>
            </w:pPr>
          </w:p>
        </w:tc>
        <w:tc>
          <w:tcPr>
            <w:tcW w:w="516" w:type="dxa"/>
            <w:gridSpan w:val="2"/>
          </w:tcPr>
          <w:p w14:paraId="1A97E8A6">
            <w:pPr>
              <w:spacing w:line="240" w:lineRule="exact"/>
              <w:rPr>
                <w:rFonts w:ascii="Calibri" w:hAnsi="Calibri" w:eastAsia="宋体"/>
                <w:color w:val="auto"/>
                <w:sz w:val="18"/>
                <w:szCs w:val="18"/>
                <w:highlight w:val="none"/>
                <w:shd w:val="clear" w:color="auto" w:fill="FFFFFF"/>
              </w:rPr>
            </w:pPr>
          </w:p>
        </w:tc>
        <w:tc>
          <w:tcPr>
            <w:tcW w:w="516" w:type="dxa"/>
            <w:gridSpan w:val="2"/>
          </w:tcPr>
          <w:p w14:paraId="23C71C8A">
            <w:pPr>
              <w:spacing w:line="240" w:lineRule="exact"/>
              <w:rPr>
                <w:rFonts w:ascii="Calibri" w:hAnsi="Calibri" w:eastAsia="宋体"/>
                <w:color w:val="auto"/>
                <w:sz w:val="18"/>
                <w:szCs w:val="18"/>
                <w:highlight w:val="none"/>
                <w:shd w:val="clear" w:color="auto" w:fill="FFFFFF"/>
              </w:rPr>
            </w:pPr>
          </w:p>
        </w:tc>
        <w:tc>
          <w:tcPr>
            <w:tcW w:w="519" w:type="dxa"/>
          </w:tcPr>
          <w:p w14:paraId="0A2B2B26">
            <w:pPr>
              <w:spacing w:line="240" w:lineRule="exact"/>
              <w:rPr>
                <w:rFonts w:ascii="Calibri" w:hAnsi="Calibri" w:eastAsia="宋体"/>
                <w:color w:val="auto"/>
                <w:sz w:val="18"/>
                <w:szCs w:val="18"/>
                <w:highlight w:val="none"/>
                <w:shd w:val="clear" w:color="auto" w:fill="FFFFFF"/>
              </w:rPr>
            </w:pPr>
          </w:p>
        </w:tc>
        <w:tc>
          <w:tcPr>
            <w:tcW w:w="522" w:type="dxa"/>
            <w:gridSpan w:val="2"/>
          </w:tcPr>
          <w:p w14:paraId="6DB1F613">
            <w:pPr>
              <w:spacing w:line="240" w:lineRule="exact"/>
              <w:rPr>
                <w:rFonts w:ascii="Calibri" w:hAnsi="Calibri" w:eastAsia="宋体"/>
                <w:color w:val="auto"/>
                <w:sz w:val="18"/>
                <w:szCs w:val="18"/>
                <w:highlight w:val="none"/>
                <w:shd w:val="clear" w:color="auto" w:fill="FFFFFF"/>
              </w:rPr>
            </w:pPr>
          </w:p>
        </w:tc>
        <w:tc>
          <w:tcPr>
            <w:tcW w:w="519" w:type="dxa"/>
            <w:gridSpan w:val="2"/>
          </w:tcPr>
          <w:p w14:paraId="402C1B5D">
            <w:pPr>
              <w:spacing w:line="240" w:lineRule="exact"/>
              <w:rPr>
                <w:rFonts w:ascii="Calibri" w:hAnsi="Calibri" w:eastAsia="宋体"/>
                <w:color w:val="auto"/>
                <w:sz w:val="18"/>
                <w:szCs w:val="18"/>
                <w:highlight w:val="none"/>
                <w:shd w:val="clear" w:color="auto" w:fill="FFFFFF"/>
              </w:rPr>
            </w:pPr>
          </w:p>
        </w:tc>
        <w:tc>
          <w:tcPr>
            <w:tcW w:w="519" w:type="dxa"/>
            <w:gridSpan w:val="2"/>
          </w:tcPr>
          <w:p w14:paraId="79EEF134">
            <w:pPr>
              <w:spacing w:line="240" w:lineRule="exact"/>
              <w:rPr>
                <w:rFonts w:ascii="Calibri" w:hAnsi="Calibri" w:eastAsia="宋体"/>
                <w:color w:val="auto"/>
                <w:sz w:val="18"/>
                <w:szCs w:val="18"/>
                <w:highlight w:val="none"/>
                <w:shd w:val="clear" w:color="auto" w:fill="FFFFFF"/>
              </w:rPr>
            </w:pPr>
          </w:p>
        </w:tc>
        <w:tc>
          <w:tcPr>
            <w:tcW w:w="522" w:type="dxa"/>
            <w:gridSpan w:val="2"/>
          </w:tcPr>
          <w:p w14:paraId="5628218F">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323386E7">
            <w:pPr>
              <w:spacing w:line="240" w:lineRule="exact"/>
              <w:rPr>
                <w:rFonts w:ascii="Calibri" w:hAnsi="Calibri" w:eastAsia="宋体"/>
                <w:color w:val="auto"/>
                <w:sz w:val="18"/>
                <w:szCs w:val="18"/>
                <w:highlight w:val="none"/>
                <w:shd w:val="clear" w:color="auto" w:fill="FFFFFF"/>
              </w:rPr>
            </w:pPr>
          </w:p>
        </w:tc>
      </w:tr>
      <w:tr w14:paraId="1F55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restart"/>
            <w:tcBorders>
              <w:left w:val="single" w:color="auto" w:sz="4" w:space="0"/>
            </w:tcBorders>
          </w:tcPr>
          <w:p w14:paraId="71323BAA">
            <w:pPr>
              <w:spacing w:line="240" w:lineRule="exact"/>
              <w:jc w:val="center"/>
              <w:rPr>
                <w:rFonts w:ascii="Calibri" w:hAnsi="Calibri" w:eastAsia="宋体"/>
                <w:color w:val="auto"/>
                <w:sz w:val="18"/>
                <w:szCs w:val="18"/>
                <w:highlight w:val="none"/>
                <w:shd w:val="clear" w:color="auto" w:fill="FFFFFF"/>
              </w:rPr>
            </w:pPr>
          </w:p>
          <w:p w14:paraId="44D9B3B8">
            <w:pPr>
              <w:spacing w:line="240" w:lineRule="exact"/>
              <w:jc w:val="center"/>
              <w:rPr>
                <w:rFonts w:ascii="Calibri" w:hAnsi="Calibri" w:eastAsia="宋体"/>
                <w:color w:val="auto"/>
                <w:sz w:val="18"/>
                <w:szCs w:val="18"/>
                <w:highlight w:val="none"/>
                <w:shd w:val="clear" w:color="auto" w:fill="FFFFFF"/>
              </w:rPr>
            </w:pPr>
          </w:p>
          <w:p w14:paraId="6B7D166C">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2、栏杆、护栏、</w:t>
            </w:r>
          </w:p>
          <w:p w14:paraId="47ED90D7">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玻璃</w:t>
            </w:r>
          </w:p>
        </w:tc>
        <w:tc>
          <w:tcPr>
            <w:tcW w:w="1420" w:type="dxa"/>
            <w:gridSpan w:val="2"/>
            <w:vMerge w:val="restart"/>
            <w:vAlign w:val="center"/>
          </w:tcPr>
          <w:p w14:paraId="5B6BC868">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栏杆、护栏高度</w:t>
            </w:r>
          </w:p>
          <w:p w14:paraId="32235CDC">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w:t>
            </w:r>
          </w:p>
        </w:tc>
        <w:tc>
          <w:tcPr>
            <w:tcW w:w="717" w:type="dxa"/>
            <w:gridSpan w:val="2"/>
            <w:vAlign w:val="center"/>
          </w:tcPr>
          <w:p w14:paraId="7832F1B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w:t>
            </w:r>
          </w:p>
        </w:tc>
        <w:tc>
          <w:tcPr>
            <w:tcW w:w="516" w:type="dxa"/>
            <w:tcBorders>
              <w:bottom w:val="single" w:color="auto" w:sz="6" w:space="0"/>
            </w:tcBorders>
          </w:tcPr>
          <w:p w14:paraId="09B59EB9">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41BAA38D">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0640A014">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3059C7A5">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5370DF9D">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14:paraId="33C9108F">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14:paraId="11F4CD5E">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7FB6AEDC">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35C0C71D">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14:paraId="6AB55D56">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4D1D8B4D">
            <w:pPr>
              <w:spacing w:line="240" w:lineRule="exact"/>
              <w:rPr>
                <w:rFonts w:ascii="Calibri" w:hAnsi="Calibri" w:eastAsia="宋体"/>
                <w:color w:val="auto"/>
                <w:sz w:val="18"/>
                <w:szCs w:val="18"/>
                <w:highlight w:val="none"/>
                <w:shd w:val="clear" w:color="auto" w:fill="FFFFFF"/>
              </w:rPr>
            </w:pPr>
          </w:p>
        </w:tc>
      </w:tr>
      <w:tr w14:paraId="3DE7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0E45CE13">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14:paraId="719CE6BB">
            <w:pPr>
              <w:spacing w:line="240" w:lineRule="exact"/>
              <w:jc w:val="center"/>
              <w:rPr>
                <w:rFonts w:ascii="Calibri" w:hAnsi="Calibri" w:eastAsia="宋体"/>
                <w:color w:val="auto"/>
                <w:sz w:val="18"/>
                <w:szCs w:val="18"/>
                <w:highlight w:val="none"/>
                <w:shd w:val="clear" w:color="auto" w:fill="FFFFFF"/>
              </w:rPr>
            </w:pPr>
          </w:p>
        </w:tc>
        <w:tc>
          <w:tcPr>
            <w:tcW w:w="717" w:type="dxa"/>
            <w:gridSpan w:val="2"/>
            <w:tcBorders>
              <w:top w:val="single" w:color="auto" w:sz="4" w:space="0"/>
            </w:tcBorders>
            <w:vAlign w:val="center"/>
          </w:tcPr>
          <w:p w14:paraId="09650096">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护栏</w:t>
            </w:r>
          </w:p>
        </w:tc>
        <w:tc>
          <w:tcPr>
            <w:tcW w:w="516" w:type="dxa"/>
            <w:tcBorders>
              <w:top w:val="single" w:color="auto" w:sz="4" w:space="0"/>
            </w:tcBorders>
          </w:tcPr>
          <w:p w14:paraId="7D69F5C2">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084FC945">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63D5EA26">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01FF0A28">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0753E434">
            <w:pPr>
              <w:spacing w:line="240" w:lineRule="exact"/>
              <w:jc w:val="center"/>
              <w:rPr>
                <w:rFonts w:ascii="Calibri" w:hAnsi="Calibri" w:eastAsia="宋体"/>
                <w:color w:val="auto"/>
                <w:sz w:val="18"/>
                <w:szCs w:val="18"/>
                <w:highlight w:val="none"/>
                <w:shd w:val="clear" w:color="auto" w:fill="FFFFFF"/>
              </w:rPr>
            </w:pPr>
          </w:p>
        </w:tc>
        <w:tc>
          <w:tcPr>
            <w:tcW w:w="519" w:type="dxa"/>
            <w:tcBorders>
              <w:top w:val="single" w:color="auto" w:sz="6" w:space="0"/>
            </w:tcBorders>
          </w:tcPr>
          <w:p w14:paraId="71F9B4EE">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14:paraId="5E080062">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1C196C62">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6E6A7716">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14:paraId="5F4D25F2">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2D35A53A">
            <w:pPr>
              <w:spacing w:line="240" w:lineRule="exact"/>
              <w:rPr>
                <w:rFonts w:ascii="Calibri" w:hAnsi="Calibri" w:eastAsia="宋体"/>
                <w:color w:val="auto"/>
                <w:sz w:val="18"/>
                <w:szCs w:val="18"/>
                <w:highlight w:val="none"/>
                <w:shd w:val="clear" w:color="auto" w:fill="FFFFFF"/>
              </w:rPr>
            </w:pPr>
          </w:p>
        </w:tc>
      </w:tr>
      <w:tr w14:paraId="277E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3A86491D">
            <w:pPr>
              <w:spacing w:line="240" w:lineRule="exact"/>
              <w:rPr>
                <w:rFonts w:ascii="Calibri" w:hAnsi="Calibri" w:eastAsia="宋体"/>
                <w:color w:val="auto"/>
                <w:sz w:val="18"/>
                <w:szCs w:val="18"/>
                <w:highlight w:val="none"/>
                <w:shd w:val="clear" w:color="auto" w:fill="FFFFFF"/>
              </w:rPr>
            </w:pPr>
          </w:p>
        </w:tc>
        <w:tc>
          <w:tcPr>
            <w:tcW w:w="1420" w:type="dxa"/>
            <w:gridSpan w:val="2"/>
            <w:vMerge w:val="restart"/>
            <w:vAlign w:val="center"/>
          </w:tcPr>
          <w:p w14:paraId="3AFBF761">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竖杆净距</w:t>
            </w:r>
          </w:p>
          <w:p w14:paraId="654EDA85">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（mm）</w:t>
            </w:r>
          </w:p>
        </w:tc>
        <w:tc>
          <w:tcPr>
            <w:tcW w:w="717" w:type="dxa"/>
            <w:gridSpan w:val="2"/>
            <w:vAlign w:val="center"/>
          </w:tcPr>
          <w:p w14:paraId="0E35170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w:t>
            </w:r>
          </w:p>
        </w:tc>
        <w:tc>
          <w:tcPr>
            <w:tcW w:w="516" w:type="dxa"/>
            <w:tcBorders>
              <w:bottom w:val="single" w:color="auto" w:sz="6" w:space="0"/>
            </w:tcBorders>
          </w:tcPr>
          <w:p w14:paraId="527E8D89">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19B5CCD6">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75D6F189">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441A6864">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748B28F2">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14:paraId="760ACE40">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14:paraId="53AF9F16">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4141F3BC">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1587C857">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4" w:space="0"/>
            </w:tcBorders>
          </w:tcPr>
          <w:p w14:paraId="0B6AF10E">
            <w:pPr>
              <w:spacing w:line="240" w:lineRule="exact"/>
              <w:jc w:val="center"/>
              <w:rPr>
                <w:rFonts w:ascii="Calibri" w:hAnsi="Calibri" w:eastAsia="宋体"/>
                <w:color w:val="auto"/>
                <w:sz w:val="18"/>
                <w:szCs w:val="18"/>
                <w:highlight w:val="none"/>
                <w:shd w:val="clear" w:color="auto" w:fill="FFFFFF"/>
              </w:rPr>
            </w:pPr>
          </w:p>
        </w:tc>
        <w:tc>
          <w:tcPr>
            <w:tcW w:w="1283" w:type="dxa"/>
            <w:tcBorders>
              <w:bottom w:val="single" w:color="auto" w:sz="4" w:space="0"/>
              <w:right w:val="single" w:color="auto" w:sz="4" w:space="0"/>
            </w:tcBorders>
          </w:tcPr>
          <w:p w14:paraId="7CFEC343">
            <w:pPr>
              <w:spacing w:line="240" w:lineRule="exact"/>
              <w:rPr>
                <w:rFonts w:ascii="Calibri" w:hAnsi="Calibri" w:eastAsia="宋体"/>
                <w:color w:val="auto"/>
                <w:sz w:val="18"/>
                <w:szCs w:val="18"/>
                <w:highlight w:val="none"/>
                <w:shd w:val="clear" w:color="auto" w:fill="FFFFFF"/>
              </w:rPr>
            </w:pPr>
          </w:p>
        </w:tc>
      </w:tr>
      <w:tr w14:paraId="22B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7B08F2EF">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14:paraId="4C936A21">
            <w:pPr>
              <w:spacing w:line="240" w:lineRule="exact"/>
              <w:jc w:val="center"/>
              <w:rPr>
                <w:rFonts w:ascii="Calibri" w:hAnsi="Calibri" w:eastAsia="宋体"/>
                <w:color w:val="auto"/>
                <w:sz w:val="18"/>
                <w:szCs w:val="18"/>
                <w:highlight w:val="none"/>
                <w:shd w:val="clear" w:color="auto" w:fill="FFFFFF"/>
              </w:rPr>
            </w:pPr>
          </w:p>
        </w:tc>
        <w:tc>
          <w:tcPr>
            <w:tcW w:w="717" w:type="dxa"/>
            <w:gridSpan w:val="2"/>
            <w:tcBorders>
              <w:top w:val="single" w:color="auto" w:sz="4" w:space="0"/>
            </w:tcBorders>
            <w:vAlign w:val="center"/>
          </w:tcPr>
          <w:p w14:paraId="5A326F92">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护栏</w:t>
            </w:r>
          </w:p>
        </w:tc>
        <w:tc>
          <w:tcPr>
            <w:tcW w:w="516" w:type="dxa"/>
            <w:tcBorders>
              <w:top w:val="single" w:color="auto" w:sz="4" w:space="0"/>
            </w:tcBorders>
          </w:tcPr>
          <w:p w14:paraId="396F8D43">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42341F01">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04013DBB">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153C5F9E">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70E1267B">
            <w:pPr>
              <w:spacing w:line="240" w:lineRule="exact"/>
              <w:jc w:val="center"/>
              <w:rPr>
                <w:rFonts w:ascii="Calibri" w:hAnsi="Calibri" w:eastAsia="宋体"/>
                <w:color w:val="auto"/>
                <w:sz w:val="18"/>
                <w:szCs w:val="18"/>
                <w:highlight w:val="none"/>
                <w:shd w:val="clear" w:color="auto" w:fill="FFFFFF"/>
              </w:rPr>
            </w:pPr>
          </w:p>
        </w:tc>
        <w:tc>
          <w:tcPr>
            <w:tcW w:w="519" w:type="dxa"/>
            <w:tcBorders>
              <w:top w:val="single" w:color="auto" w:sz="6" w:space="0"/>
            </w:tcBorders>
          </w:tcPr>
          <w:p w14:paraId="4054A7BB">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14:paraId="26D5CE45">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5BF6532B">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0E273189">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4" w:space="0"/>
            </w:tcBorders>
          </w:tcPr>
          <w:p w14:paraId="5362571D">
            <w:pPr>
              <w:spacing w:line="240" w:lineRule="exact"/>
              <w:jc w:val="center"/>
              <w:rPr>
                <w:rFonts w:ascii="Calibri" w:hAnsi="Calibri" w:eastAsia="宋体"/>
                <w:color w:val="auto"/>
                <w:sz w:val="18"/>
                <w:szCs w:val="18"/>
                <w:highlight w:val="none"/>
                <w:shd w:val="clear" w:color="auto" w:fill="FFFFFF"/>
              </w:rPr>
            </w:pPr>
          </w:p>
        </w:tc>
        <w:tc>
          <w:tcPr>
            <w:tcW w:w="1283" w:type="dxa"/>
            <w:tcBorders>
              <w:top w:val="single" w:color="auto" w:sz="4" w:space="0"/>
              <w:right w:val="single" w:color="auto" w:sz="4" w:space="0"/>
            </w:tcBorders>
          </w:tcPr>
          <w:p w14:paraId="2ED71418">
            <w:pPr>
              <w:spacing w:line="240" w:lineRule="exact"/>
              <w:rPr>
                <w:rFonts w:ascii="Calibri" w:hAnsi="Calibri" w:eastAsia="宋体"/>
                <w:color w:val="auto"/>
                <w:sz w:val="18"/>
                <w:szCs w:val="18"/>
                <w:highlight w:val="none"/>
                <w:shd w:val="clear" w:color="auto" w:fill="FFFFFF"/>
              </w:rPr>
            </w:pPr>
          </w:p>
        </w:tc>
      </w:tr>
      <w:tr w14:paraId="35AD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2921EC64">
            <w:pPr>
              <w:spacing w:line="240" w:lineRule="exact"/>
              <w:rPr>
                <w:rFonts w:ascii="Calibri" w:hAnsi="Calibri" w:eastAsia="宋体"/>
                <w:color w:val="auto"/>
                <w:sz w:val="18"/>
                <w:szCs w:val="18"/>
                <w:highlight w:val="none"/>
                <w:shd w:val="clear" w:color="auto" w:fill="FFFFFF"/>
              </w:rPr>
            </w:pPr>
          </w:p>
        </w:tc>
        <w:tc>
          <w:tcPr>
            <w:tcW w:w="1420" w:type="dxa"/>
            <w:gridSpan w:val="2"/>
            <w:vMerge w:val="restart"/>
            <w:vAlign w:val="center"/>
          </w:tcPr>
          <w:p w14:paraId="29132925">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安全玻璃厚度</w:t>
            </w:r>
          </w:p>
          <w:p w14:paraId="00EDF46C">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（mm）</w:t>
            </w:r>
          </w:p>
        </w:tc>
        <w:tc>
          <w:tcPr>
            <w:tcW w:w="717" w:type="dxa"/>
            <w:gridSpan w:val="2"/>
            <w:vAlign w:val="center"/>
          </w:tcPr>
          <w:p w14:paraId="7A87DC57">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外窗</w:t>
            </w:r>
          </w:p>
        </w:tc>
        <w:tc>
          <w:tcPr>
            <w:tcW w:w="516" w:type="dxa"/>
            <w:tcBorders>
              <w:bottom w:val="single" w:color="auto" w:sz="6" w:space="0"/>
            </w:tcBorders>
          </w:tcPr>
          <w:p w14:paraId="7AFFDE05">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0892204F">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14:paraId="48EDCA93">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2757AEE4">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14:paraId="6943DABF">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14:paraId="2E964DA9">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14:paraId="6D80A0A1">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63FC0858">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14:paraId="30A9ED9B">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14:paraId="4F2C56AC">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0DA161A0">
            <w:pPr>
              <w:spacing w:line="240" w:lineRule="exact"/>
              <w:rPr>
                <w:rFonts w:ascii="Calibri" w:hAnsi="Calibri" w:eastAsia="宋体"/>
                <w:color w:val="auto"/>
                <w:sz w:val="18"/>
                <w:szCs w:val="18"/>
                <w:highlight w:val="none"/>
                <w:shd w:val="clear" w:color="auto" w:fill="FFFFFF"/>
              </w:rPr>
            </w:pPr>
          </w:p>
        </w:tc>
      </w:tr>
      <w:tr w14:paraId="7098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14:paraId="23E8B08B">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14:paraId="112DF8A4">
            <w:pPr>
              <w:spacing w:line="240" w:lineRule="exact"/>
              <w:jc w:val="center"/>
              <w:rPr>
                <w:rFonts w:ascii="Calibri" w:hAnsi="Calibri" w:eastAsia="宋体"/>
                <w:color w:val="auto"/>
                <w:sz w:val="18"/>
                <w:szCs w:val="18"/>
                <w:highlight w:val="none"/>
                <w:shd w:val="clear" w:color="auto" w:fill="FFFFFF"/>
              </w:rPr>
            </w:pPr>
          </w:p>
        </w:tc>
        <w:tc>
          <w:tcPr>
            <w:tcW w:w="717" w:type="dxa"/>
            <w:gridSpan w:val="2"/>
            <w:vAlign w:val="center"/>
          </w:tcPr>
          <w:p w14:paraId="40950408">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外门</w:t>
            </w:r>
          </w:p>
        </w:tc>
        <w:tc>
          <w:tcPr>
            <w:tcW w:w="516" w:type="dxa"/>
            <w:tcBorders>
              <w:top w:val="single" w:color="auto" w:sz="6" w:space="0"/>
            </w:tcBorders>
          </w:tcPr>
          <w:p w14:paraId="2BB0D3D9">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66CFCDD1">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14:paraId="6CE76CFE">
            <w:pPr>
              <w:spacing w:line="240" w:lineRule="exact"/>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6FC5F54A">
            <w:pPr>
              <w:spacing w:line="240" w:lineRule="exact"/>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14:paraId="207A5945">
            <w:pPr>
              <w:spacing w:line="240" w:lineRule="exact"/>
              <w:rPr>
                <w:rFonts w:ascii="Calibri" w:hAnsi="Calibri" w:eastAsia="宋体"/>
                <w:color w:val="auto"/>
                <w:sz w:val="18"/>
                <w:szCs w:val="18"/>
                <w:highlight w:val="none"/>
                <w:shd w:val="clear" w:color="auto" w:fill="FFFFFF"/>
              </w:rPr>
            </w:pPr>
          </w:p>
        </w:tc>
        <w:tc>
          <w:tcPr>
            <w:tcW w:w="519" w:type="dxa"/>
            <w:tcBorders>
              <w:top w:val="single" w:color="auto" w:sz="6" w:space="0"/>
            </w:tcBorders>
          </w:tcPr>
          <w:p w14:paraId="187356CA">
            <w:pPr>
              <w:spacing w:line="240" w:lineRule="exact"/>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14:paraId="7A2C2223">
            <w:pPr>
              <w:spacing w:line="240" w:lineRule="exact"/>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6972DFD5">
            <w:pPr>
              <w:spacing w:line="240" w:lineRule="exact"/>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14:paraId="4ABCF1CC">
            <w:pPr>
              <w:spacing w:line="240" w:lineRule="exact"/>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14:paraId="03758C1A">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14:paraId="3B9F2FE6">
            <w:pPr>
              <w:spacing w:line="240" w:lineRule="exact"/>
              <w:rPr>
                <w:rFonts w:ascii="Calibri" w:hAnsi="Calibri" w:eastAsia="宋体"/>
                <w:color w:val="auto"/>
                <w:sz w:val="18"/>
                <w:szCs w:val="18"/>
                <w:highlight w:val="none"/>
                <w:shd w:val="clear" w:color="auto" w:fill="FFFFFF"/>
              </w:rPr>
            </w:pPr>
          </w:p>
        </w:tc>
      </w:tr>
      <w:tr w14:paraId="01A3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574" w:type="dxa"/>
            <w:gridSpan w:val="22"/>
            <w:tcBorders>
              <w:left w:val="single" w:color="auto" w:sz="4" w:space="0"/>
              <w:right w:val="single" w:color="auto" w:sz="4" w:space="0"/>
            </w:tcBorders>
            <w:vAlign w:val="center"/>
          </w:tcPr>
          <w:p w14:paraId="50086A1A">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  筑  水  电  设  备 安  装 工  程</w:t>
            </w:r>
          </w:p>
        </w:tc>
      </w:tr>
      <w:tr w14:paraId="625F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3" w:type="dxa"/>
            <w:tcBorders>
              <w:left w:val="single" w:color="auto" w:sz="4" w:space="0"/>
            </w:tcBorders>
            <w:vAlign w:val="center"/>
          </w:tcPr>
          <w:p w14:paraId="76970B0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验收项目</w:t>
            </w:r>
          </w:p>
        </w:tc>
        <w:tc>
          <w:tcPr>
            <w:tcW w:w="2137" w:type="dxa"/>
            <w:gridSpan w:val="4"/>
            <w:tcBorders>
              <w:right w:val="single" w:color="auto" w:sz="2" w:space="0"/>
            </w:tcBorders>
            <w:vAlign w:val="center"/>
          </w:tcPr>
          <w:p w14:paraId="5BD636BB">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w:t>
            </w:r>
          </w:p>
        </w:tc>
        <w:tc>
          <w:tcPr>
            <w:tcW w:w="5181" w:type="dxa"/>
            <w:gridSpan w:val="16"/>
            <w:tcBorders>
              <w:left w:val="single" w:color="auto" w:sz="2" w:space="0"/>
              <w:right w:val="single" w:color="auto" w:sz="2" w:space="0"/>
            </w:tcBorders>
            <w:vAlign w:val="center"/>
          </w:tcPr>
          <w:p w14:paraId="7B704E01">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 测 记 录</w:t>
            </w:r>
          </w:p>
        </w:tc>
        <w:tc>
          <w:tcPr>
            <w:tcW w:w="1283" w:type="dxa"/>
            <w:tcBorders>
              <w:left w:val="single" w:color="auto" w:sz="2" w:space="0"/>
              <w:right w:val="single" w:color="auto" w:sz="4" w:space="0"/>
            </w:tcBorders>
            <w:vAlign w:val="center"/>
          </w:tcPr>
          <w:p w14:paraId="7BB81C6C">
            <w:pPr>
              <w:spacing w:line="240" w:lineRule="exact"/>
              <w:jc w:val="center"/>
              <w:rPr>
                <w:rFonts w:ascii="Calibri" w:hAnsi="Calibri" w:eastAsia="宋体"/>
                <w:color w:val="auto"/>
                <w:spacing w:val="-20"/>
                <w:sz w:val="18"/>
                <w:szCs w:val="18"/>
                <w:highlight w:val="none"/>
                <w:shd w:val="clear" w:color="auto" w:fill="FFFFFF"/>
              </w:rPr>
            </w:pPr>
            <w:r>
              <w:rPr>
                <w:rFonts w:hint="eastAsia" w:ascii="Calibri" w:hAnsi="Calibri" w:eastAsia="宋体"/>
                <w:color w:val="auto"/>
                <w:spacing w:val="-20"/>
                <w:sz w:val="18"/>
                <w:szCs w:val="18"/>
                <w:highlight w:val="none"/>
                <w:shd w:val="clear" w:color="auto" w:fill="FFFFFF"/>
              </w:rPr>
              <w:t>是否符合要求</w:t>
            </w:r>
          </w:p>
        </w:tc>
      </w:tr>
      <w:tr w14:paraId="2E1B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restart"/>
            <w:tcBorders>
              <w:left w:val="single" w:color="auto" w:sz="4" w:space="0"/>
            </w:tcBorders>
            <w:vAlign w:val="center"/>
          </w:tcPr>
          <w:p w14:paraId="6B2855DE">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1.给排水系统安装</w:t>
            </w:r>
          </w:p>
        </w:tc>
        <w:tc>
          <w:tcPr>
            <w:tcW w:w="2137" w:type="dxa"/>
            <w:gridSpan w:val="4"/>
            <w:tcBorders>
              <w:right w:val="single" w:color="auto" w:sz="2" w:space="0"/>
            </w:tcBorders>
            <w:vAlign w:val="center"/>
          </w:tcPr>
          <w:p w14:paraId="14B14EB5">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分户给水压力（MPa）</w:t>
            </w:r>
          </w:p>
        </w:tc>
        <w:tc>
          <w:tcPr>
            <w:tcW w:w="5181" w:type="dxa"/>
            <w:gridSpan w:val="16"/>
            <w:tcBorders>
              <w:left w:val="single" w:color="auto" w:sz="2" w:space="0"/>
              <w:right w:val="single" w:color="auto" w:sz="2" w:space="0"/>
            </w:tcBorders>
            <w:vAlign w:val="center"/>
          </w:tcPr>
          <w:p w14:paraId="786C4EF0">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2DBC434C">
            <w:pPr>
              <w:spacing w:line="240" w:lineRule="exact"/>
              <w:rPr>
                <w:rFonts w:ascii="Calibri" w:hAnsi="Calibri" w:eastAsia="宋体"/>
                <w:color w:val="auto"/>
                <w:sz w:val="18"/>
                <w:szCs w:val="18"/>
                <w:highlight w:val="none"/>
                <w:shd w:val="clear" w:color="auto" w:fill="FFFFFF"/>
              </w:rPr>
            </w:pPr>
          </w:p>
        </w:tc>
      </w:tr>
      <w:tr w14:paraId="3D8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73" w:type="dxa"/>
            <w:vMerge w:val="continue"/>
            <w:tcBorders>
              <w:left w:val="single" w:color="auto" w:sz="4" w:space="0"/>
            </w:tcBorders>
            <w:vAlign w:val="center"/>
          </w:tcPr>
          <w:p w14:paraId="4CC082FC">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14:paraId="78611D03">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存水弯水封高度（㎜）</w:t>
            </w:r>
          </w:p>
        </w:tc>
        <w:tc>
          <w:tcPr>
            <w:tcW w:w="516" w:type="dxa"/>
            <w:tcBorders>
              <w:left w:val="single" w:color="auto" w:sz="2" w:space="0"/>
              <w:right w:val="single" w:color="auto" w:sz="4" w:space="0"/>
            </w:tcBorders>
            <w:vAlign w:val="center"/>
          </w:tcPr>
          <w:p w14:paraId="0EB3512B">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2A9AB9E3">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50C57781">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3C1ECDE6">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0F5A45B8">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14:paraId="7240D096">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552152B4">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3D0B9EA1">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79D22C92">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415DD21C">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553C88C6">
            <w:pPr>
              <w:spacing w:line="240" w:lineRule="exact"/>
              <w:rPr>
                <w:rFonts w:ascii="Calibri" w:hAnsi="Calibri" w:eastAsia="宋体"/>
                <w:color w:val="auto"/>
                <w:sz w:val="18"/>
                <w:szCs w:val="18"/>
                <w:highlight w:val="none"/>
                <w:shd w:val="clear" w:color="auto" w:fill="FFFFFF"/>
              </w:rPr>
            </w:pPr>
          </w:p>
        </w:tc>
      </w:tr>
      <w:tr w14:paraId="7D2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3" w:type="dxa"/>
            <w:vMerge w:val="restart"/>
            <w:tcBorders>
              <w:left w:val="single" w:color="auto" w:sz="4" w:space="0"/>
            </w:tcBorders>
            <w:vAlign w:val="center"/>
          </w:tcPr>
          <w:p w14:paraId="064ABCA9">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2.建筑电气安装</w:t>
            </w:r>
          </w:p>
        </w:tc>
        <w:tc>
          <w:tcPr>
            <w:tcW w:w="1122" w:type="dxa"/>
            <w:vMerge w:val="restart"/>
            <w:tcBorders>
              <w:right w:val="single" w:color="auto" w:sz="2" w:space="0"/>
            </w:tcBorders>
            <w:vAlign w:val="center"/>
          </w:tcPr>
          <w:p w14:paraId="662455BD">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导线型号</w:t>
            </w:r>
          </w:p>
          <w:p w14:paraId="09FAA67C">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规格（㎜</w:t>
            </w:r>
            <w:r>
              <w:rPr>
                <w:rFonts w:hint="eastAsia" w:ascii="Calibri" w:hAnsi="Calibri" w:eastAsia="宋体"/>
                <w:color w:val="auto"/>
                <w:spacing w:val="-12"/>
                <w:sz w:val="18"/>
                <w:szCs w:val="18"/>
                <w:highlight w:val="none"/>
                <w:shd w:val="clear" w:color="auto" w:fill="FFFFFF"/>
                <w:vertAlign w:val="superscript"/>
              </w:rPr>
              <w:t>2</w:t>
            </w:r>
            <w:r>
              <w:rPr>
                <w:rFonts w:hint="eastAsia" w:ascii="Calibri" w:hAnsi="Calibri" w:eastAsia="宋体"/>
                <w:color w:val="auto"/>
                <w:spacing w:val="-12"/>
                <w:sz w:val="18"/>
                <w:szCs w:val="18"/>
                <w:highlight w:val="none"/>
                <w:shd w:val="clear" w:color="auto" w:fill="FFFFFF"/>
              </w:rPr>
              <w:t>）</w:t>
            </w:r>
          </w:p>
        </w:tc>
        <w:tc>
          <w:tcPr>
            <w:tcW w:w="1015" w:type="dxa"/>
            <w:gridSpan w:val="3"/>
            <w:tcBorders>
              <w:right w:val="single" w:color="auto" w:sz="2" w:space="0"/>
            </w:tcBorders>
            <w:vAlign w:val="center"/>
          </w:tcPr>
          <w:p w14:paraId="73D4D295">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进户线</w:t>
            </w:r>
          </w:p>
        </w:tc>
        <w:tc>
          <w:tcPr>
            <w:tcW w:w="5181" w:type="dxa"/>
            <w:gridSpan w:val="16"/>
            <w:tcBorders>
              <w:left w:val="single" w:color="auto" w:sz="2" w:space="0"/>
              <w:right w:val="single" w:color="auto" w:sz="2" w:space="0"/>
            </w:tcBorders>
            <w:vAlign w:val="center"/>
          </w:tcPr>
          <w:p w14:paraId="5FCF382F">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4B994ADE">
            <w:pPr>
              <w:spacing w:line="240" w:lineRule="exact"/>
              <w:rPr>
                <w:rFonts w:ascii="Calibri" w:hAnsi="Calibri" w:eastAsia="宋体"/>
                <w:color w:val="auto"/>
                <w:sz w:val="18"/>
                <w:szCs w:val="18"/>
                <w:highlight w:val="none"/>
                <w:shd w:val="clear" w:color="auto" w:fill="FFFFFF"/>
              </w:rPr>
            </w:pPr>
          </w:p>
        </w:tc>
      </w:tr>
      <w:tr w14:paraId="1B71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 w:type="dxa"/>
            <w:vMerge w:val="continue"/>
            <w:tcBorders>
              <w:left w:val="single" w:color="auto" w:sz="4" w:space="0"/>
            </w:tcBorders>
            <w:vAlign w:val="center"/>
          </w:tcPr>
          <w:p w14:paraId="284F566D">
            <w:pPr>
              <w:spacing w:line="240" w:lineRule="exact"/>
              <w:jc w:val="center"/>
              <w:rPr>
                <w:rFonts w:ascii="Calibri" w:hAnsi="Calibri" w:eastAsia="宋体"/>
                <w:color w:val="auto"/>
                <w:sz w:val="18"/>
                <w:szCs w:val="18"/>
                <w:highlight w:val="none"/>
                <w:shd w:val="clear" w:color="auto" w:fill="FFFFFF"/>
              </w:rPr>
            </w:pPr>
          </w:p>
        </w:tc>
        <w:tc>
          <w:tcPr>
            <w:tcW w:w="1122" w:type="dxa"/>
            <w:vMerge w:val="continue"/>
            <w:tcBorders>
              <w:right w:val="single" w:color="auto" w:sz="2" w:space="0"/>
            </w:tcBorders>
            <w:vAlign w:val="center"/>
          </w:tcPr>
          <w:p w14:paraId="0F4125E9">
            <w:pPr>
              <w:spacing w:line="240" w:lineRule="exact"/>
              <w:rPr>
                <w:rFonts w:ascii="Calibri" w:hAnsi="Calibri" w:eastAsia="宋体"/>
                <w:color w:val="auto"/>
                <w:sz w:val="18"/>
                <w:szCs w:val="18"/>
                <w:highlight w:val="none"/>
                <w:shd w:val="clear" w:color="auto" w:fill="FFFFFF"/>
              </w:rPr>
            </w:pPr>
          </w:p>
        </w:tc>
        <w:tc>
          <w:tcPr>
            <w:tcW w:w="1015" w:type="dxa"/>
            <w:gridSpan w:val="3"/>
            <w:tcBorders>
              <w:right w:val="single" w:color="auto" w:sz="2" w:space="0"/>
            </w:tcBorders>
            <w:vAlign w:val="center"/>
          </w:tcPr>
          <w:p w14:paraId="52009C1F">
            <w:pPr>
              <w:spacing w:line="240" w:lineRule="exact"/>
              <w:jc w:val="center"/>
              <w:rPr>
                <w:rFonts w:ascii="Calibri" w:hAnsi="Calibri" w:eastAsia="宋体"/>
                <w:color w:val="auto"/>
                <w:spacing w:val="-18"/>
                <w:sz w:val="18"/>
                <w:szCs w:val="18"/>
                <w:highlight w:val="none"/>
                <w:shd w:val="clear" w:color="auto" w:fill="FFFFFF"/>
              </w:rPr>
            </w:pPr>
            <w:r>
              <w:rPr>
                <w:rFonts w:hint="eastAsia" w:ascii="Calibri" w:hAnsi="Calibri" w:eastAsia="宋体"/>
                <w:color w:val="auto"/>
                <w:spacing w:val="-18"/>
                <w:sz w:val="18"/>
                <w:szCs w:val="18"/>
                <w:highlight w:val="none"/>
                <w:shd w:val="clear" w:color="auto" w:fill="FFFFFF"/>
              </w:rPr>
              <w:t>配线</w:t>
            </w:r>
          </w:p>
        </w:tc>
        <w:tc>
          <w:tcPr>
            <w:tcW w:w="516" w:type="dxa"/>
            <w:tcBorders>
              <w:left w:val="single" w:color="auto" w:sz="2" w:space="0"/>
              <w:right w:val="single" w:color="auto" w:sz="4" w:space="0"/>
            </w:tcBorders>
            <w:vAlign w:val="center"/>
          </w:tcPr>
          <w:p w14:paraId="0B842AE0">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4A9A4D18">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5FBB9DE3">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00210B0A">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0E3795EC">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14:paraId="39530898">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63D5462D">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47C90902">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25689D66">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026ABA31">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4D4E14FA">
            <w:pPr>
              <w:spacing w:line="240" w:lineRule="exact"/>
              <w:rPr>
                <w:rFonts w:ascii="Calibri" w:hAnsi="Calibri" w:eastAsia="宋体"/>
                <w:color w:val="auto"/>
                <w:sz w:val="18"/>
                <w:szCs w:val="18"/>
                <w:highlight w:val="none"/>
                <w:shd w:val="clear" w:color="auto" w:fill="FFFFFF"/>
              </w:rPr>
            </w:pPr>
          </w:p>
        </w:tc>
      </w:tr>
      <w:tr w14:paraId="0DB4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3" w:type="dxa"/>
            <w:vMerge w:val="continue"/>
            <w:tcBorders>
              <w:left w:val="single" w:color="auto" w:sz="4" w:space="0"/>
            </w:tcBorders>
            <w:vAlign w:val="center"/>
          </w:tcPr>
          <w:p w14:paraId="0C0678ED">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14:paraId="72928C0D">
            <w:pPr>
              <w:spacing w:line="240" w:lineRule="exact"/>
              <w:ind w:firstLine="180" w:firstLineChars="10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插座的接线是否正确</w:t>
            </w:r>
          </w:p>
        </w:tc>
        <w:tc>
          <w:tcPr>
            <w:tcW w:w="516" w:type="dxa"/>
            <w:tcBorders>
              <w:left w:val="single" w:color="auto" w:sz="2" w:space="0"/>
              <w:right w:val="single" w:color="auto" w:sz="4" w:space="0"/>
            </w:tcBorders>
            <w:vAlign w:val="center"/>
          </w:tcPr>
          <w:p w14:paraId="3BAAC5C3">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43C847BB">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1BF8EFA4">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7736565C">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5B959C93">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14:paraId="2BC12D5D">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13A84135">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5A977077">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22CE7BCE">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27491101">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02359CEA">
            <w:pPr>
              <w:spacing w:line="240" w:lineRule="exact"/>
              <w:rPr>
                <w:rFonts w:ascii="Calibri" w:hAnsi="Calibri" w:eastAsia="宋体"/>
                <w:color w:val="auto"/>
                <w:sz w:val="18"/>
                <w:szCs w:val="18"/>
                <w:highlight w:val="none"/>
                <w:shd w:val="clear" w:color="auto" w:fill="FFFFFF"/>
              </w:rPr>
            </w:pPr>
          </w:p>
        </w:tc>
      </w:tr>
      <w:tr w14:paraId="1D35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continue"/>
            <w:tcBorders>
              <w:left w:val="single" w:color="auto" w:sz="4" w:space="0"/>
            </w:tcBorders>
            <w:vAlign w:val="center"/>
          </w:tcPr>
          <w:p w14:paraId="78A68D03">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14:paraId="7411427E">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漏电动作是否正常</w:t>
            </w:r>
          </w:p>
        </w:tc>
        <w:tc>
          <w:tcPr>
            <w:tcW w:w="516" w:type="dxa"/>
            <w:tcBorders>
              <w:left w:val="single" w:color="auto" w:sz="2" w:space="0"/>
              <w:right w:val="single" w:color="auto" w:sz="4" w:space="0"/>
            </w:tcBorders>
            <w:vAlign w:val="center"/>
          </w:tcPr>
          <w:p w14:paraId="0DF8A0FB">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160D7FC7">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748EF262">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47FADDEC">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35EAB5B3">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14:paraId="7BA99B77">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4D6E6293">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2FB98713">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6C8554D9">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184C2C92">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6288B123">
            <w:pPr>
              <w:spacing w:line="240" w:lineRule="exact"/>
              <w:rPr>
                <w:rFonts w:ascii="Calibri" w:hAnsi="Calibri" w:eastAsia="宋体"/>
                <w:color w:val="auto"/>
                <w:sz w:val="18"/>
                <w:szCs w:val="18"/>
                <w:highlight w:val="none"/>
                <w:shd w:val="clear" w:color="auto" w:fill="FFFFFF"/>
              </w:rPr>
            </w:pPr>
          </w:p>
        </w:tc>
      </w:tr>
      <w:tr w14:paraId="2CFF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continue"/>
            <w:tcBorders>
              <w:left w:val="single" w:color="auto" w:sz="4" w:space="0"/>
            </w:tcBorders>
            <w:vAlign w:val="center"/>
          </w:tcPr>
          <w:p w14:paraId="49C6A1EF">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14:paraId="20DE650D">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灯具开关是否正常</w:t>
            </w:r>
          </w:p>
        </w:tc>
        <w:tc>
          <w:tcPr>
            <w:tcW w:w="516" w:type="dxa"/>
            <w:tcBorders>
              <w:left w:val="single" w:color="auto" w:sz="2" w:space="0"/>
              <w:right w:val="single" w:color="auto" w:sz="4" w:space="0"/>
            </w:tcBorders>
            <w:vAlign w:val="center"/>
          </w:tcPr>
          <w:p w14:paraId="3798A0D6">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766F3EFE">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14:paraId="0A30B93E">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3C06D1CA">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14:paraId="5B287E61">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14:paraId="0D9BA606">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23D2DD8D">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6098B55F">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14:paraId="09AD51DC">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14:paraId="249733B9">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14:paraId="775AF289">
            <w:pPr>
              <w:spacing w:line="240" w:lineRule="exact"/>
              <w:rPr>
                <w:rFonts w:ascii="Calibri" w:hAnsi="Calibri" w:eastAsia="宋体"/>
                <w:color w:val="auto"/>
                <w:sz w:val="18"/>
                <w:szCs w:val="18"/>
                <w:highlight w:val="none"/>
                <w:shd w:val="clear" w:color="auto" w:fill="FFFFFF"/>
              </w:rPr>
            </w:pPr>
          </w:p>
        </w:tc>
      </w:tr>
      <w:tr w14:paraId="2FC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3" w:type="dxa"/>
            <w:vMerge w:val="restart"/>
            <w:tcBorders>
              <w:left w:val="single" w:color="auto" w:sz="4" w:space="0"/>
            </w:tcBorders>
            <w:vAlign w:val="center"/>
          </w:tcPr>
          <w:p w14:paraId="20F54095">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3.排气装置安装</w:t>
            </w:r>
          </w:p>
        </w:tc>
        <w:tc>
          <w:tcPr>
            <w:tcW w:w="2137" w:type="dxa"/>
            <w:gridSpan w:val="4"/>
            <w:tcBorders>
              <w:right w:val="single" w:color="auto" w:sz="2" w:space="0"/>
            </w:tcBorders>
            <w:vAlign w:val="center"/>
          </w:tcPr>
          <w:p w14:paraId="0CB0AC45">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厨房抽油烟机</w:t>
            </w:r>
          </w:p>
        </w:tc>
        <w:tc>
          <w:tcPr>
            <w:tcW w:w="5181" w:type="dxa"/>
            <w:gridSpan w:val="16"/>
            <w:tcBorders>
              <w:left w:val="single" w:color="auto" w:sz="2" w:space="0"/>
              <w:right w:val="single" w:color="auto" w:sz="2" w:space="0"/>
            </w:tcBorders>
            <w:vAlign w:val="center"/>
          </w:tcPr>
          <w:p w14:paraId="43FCA367">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□防串烟、防倒灌性能□排气是否正常、顺畅</w:t>
            </w:r>
          </w:p>
        </w:tc>
        <w:tc>
          <w:tcPr>
            <w:tcW w:w="1283" w:type="dxa"/>
            <w:tcBorders>
              <w:left w:val="single" w:color="auto" w:sz="2" w:space="0"/>
              <w:right w:val="single" w:color="auto" w:sz="4" w:space="0"/>
            </w:tcBorders>
            <w:vAlign w:val="center"/>
          </w:tcPr>
          <w:p w14:paraId="2B208AB9">
            <w:pPr>
              <w:spacing w:line="240" w:lineRule="exact"/>
              <w:rPr>
                <w:rFonts w:ascii="Calibri" w:hAnsi="Calibri" w:eastAsia="宋体"/>
                <w:color w:val="auto"/>
                <w:sz w:val="18"/>
                <w:szCs w:val="18"/>
                <w:highlight w:val="none"/>
                <w:shd w:val="clear" w:color="auto" w:fill="FFFFFF"/>
              </w:rPr>
            </w:pPr>
          </w:p>
        </w:tc>
      </w:tr>
      <w:tr w14:paraId="4F58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3" w:type="dxa"/>
            <w:vMerge w:val="continue"/>
            <w:tcBorders>
              <w:left w:val="single" w:color="auto" w:sz="4" w:space="0"/>
            </w:tcBorders>
            <w:vAlign w:val="center"/>
          </w:tcPr>
          <w:p w14:paraId="4F2B5BED">
            <w:pPr>
              <w:spacing w:line="240" w:lineRule="exact"/>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14:paraId="08F41E05">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卫生间排气扇</w:t>
            </w:r>
          </w:p>
        </w:tc>
        <w:tc>
          <w:tcPr>
            <w:tcW w:w="5181" w:type="dxa"/>
            <w:gridSpan w:val="16"/>
            <w:tcBorders>
              <w:left w:val="single" w:color="auto" w:sz="2" w:space="0"/>
              <w:right w:val="single" w:color="auto" w:sz="2" w:space="0"/>
            </w:tcBorders>
            <w:vAlign w:val="center"/>
          </w:tcPr>
          <w:p w14:paraId="2B50C9D2">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□防串烟、防倒灌性能□排气是否正常、顺畅</w:t>
            </w:r>
          </w:p>
        </w:tc>
        <w:tc>
          <w:tcPr>
            <w:tcW w:w="1283" w:type="dxa"/>
            <w:tcBorders>
              <w:left w:val="single" w:color="auto" w:sz="2" w:space="0"/>
              <w:right w:val="single" w:color="auto" w:sz="4" w:space="0"/>
            </w:tcBorders>
            <w:vAlign w:val="center"/>
          </w:tcPr>
          <w:p w14:paraId="690C8F92">
            <w:pPr>
              <w:spacing w:line="240" w:lineRule="exact"/>
              <w:rPr>
                <w:rFonts w:ascii="Calibri" w:hAnsi="Calibri" w:eastAsia="宋体"/>
                <w:color w:val="auto"/>
                <w:sz w:val="18"/>
                <w:szCs w:val="18"/>
                <w:highlight w:val="none"/>
                <w:shd w:val="clear" w:color="auto" w:fill="FFFFFF"/>
              </w:rPr>
            </w:pPr>
          </w:p>
        </w:tc>
      </w:tr>
      <w:tr w14:paraId="41B3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5B8D81DD">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建 设 单 位</w:t>
            </w:r>
          </w:p>
          <w:p w14:paraId="6568515A">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393" w:type="dxa"/>
            <w:gridSpan w:val="6"/>
            <w:tcBorders>
              <w:top w:val="single" w:color="auto" w:sz="4" w:space="0"/>
              <w:left w:val="single" w:color="auto" w:sz="4" w:space="0"/>
              <w:bottom w:val="single" w:color="auto" w:sz="4" w:space="0"/>
              <w:right w:val="single" w:color="auto" w:sz="4" w:space="0"/>
            </w:tcBorders>
            <w:vAlign w:val="center"/>
          </w:tcPr>
          <w:p w14:paraId="5C2DBCDE">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监 理 单 位</w:t>
            </w:r>
          </w:p>
          <w:p w14:paraId="7BF6B49E">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393" w:type="dxa"/>
            <w:gridSpan w:val="7"/>
            <w:tcBorders>
              <w:top w:val="single" w:color="auto" w:sz="4" w:space="0"/>
              <w:left w:val="single" w:color="auto" w:sz="4" w:space="0"/>
              <w:bottom w:val="single" w:color="auto" w:sz="4" w:space="0"/>
              <w:right w:val="single" w:color="auto" w:sz="4" w:space="0"/>
            </w:tcBorders>
            <w:vAlign w:val="center"/>
          </w:tcPr>
          <w:p w14:paraId="4D973001">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施 工 单 位</w:t>
            </w:r>
          </w:p>
          <w:p w14:paraId="62E32BED">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c>
          <w:tcPr>
            <w:tcW w:w="2395" w:type="dxa"/>
            <w:gridSpan w:val="6"/>
            <w:tcBorders>
              <w:top w:val="single" w:color="auto" w:sz="4" w:space="0"/>
              <w:left w:val="single" w:color="auto" w:sz="4" w:space="0"/>
              <w:bottom w:val="single" w:color="auto" w:sz="4" w:space="0"/>
              <w:right w:val="single" w:color="auto" w:sz="4" w:space="0"/>
            </w:tcBorders>
            <w:vAlign w:val="center"/>
          </w:tcPr>
          <w:p w14:paraId="3B79B40F">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专业分包单位</w:t>
            </w:r>
          </w:p>
          <w:p w14:paraId="7797C512">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r>
      <w:tr w14:paraId="7931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tcPr>
          <w:p w14:paraId="7CA02FF7">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14:paraId="0B5E76B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39A6E27">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9C3588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BB0954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53D4459">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AFB84EC">
            <w:pPr>
              <w:widowControl/>
              <w:spacing w:beforeAutospacing="0" w:afterAutospacing="0" w:line="240" w:lineRule="exact"/>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393" w:type="dxa"/>
            <w:gridSpan w:val="6"/>
            <w:tcBorders>
              <w:top w:val="single" w:color="auto" w:sz="4" w:space="0"/>
              <w:left w:val="single" w:color="auto" w:sz="4" w:space="0"/>
              <w:bottom w:val="single" w:color="auto" w:sz="4" w:space="0"/>
              <w:right w:val="single" w:color="auto" w:sz="4" w:space="0"/>
            </w:tcBorders>
          </w:tcPr>
          <w:p w14:paraId="74BA1B9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14:paraId="3B3A9ABB">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9B1AC0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BE0F94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19091B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DAB6AD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8C06A5A">
            <w:pPr>
              <w:spacing w:line="240" w:lineRule="exact"/>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393" w:type="dxa"/>
            <w:gridSpan w:val="7"/>
            <w:tcBorders>
              <w:top w:val="single" w:color="auto" w:sz="4" w:space="0"/>
              <w:left w:val="single" w:color="auto" w:sz="4" w:space="0"/>
              <w:bottom w:val="single" w:color="auto" w:sz="4" w:space="0"/>
              <w:right w:val="single" w:color="auto" w:sz="4" w:space="0"/>
            </w:tcBorders>
          </w:tcPr>
          <w:p w14:paraId="483B5B3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06D1976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2D0223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3FD3A0C">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531441C">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436EEA0D">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A665012">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395" w:type="dxa"/>
            <w:gridSpan w:val="6"/>
            <w:tcBorders>
              <w:top w:val="single" w:color="auto" w:sz="4" w:space="0"/>
              <w:left w:val="single" w:color="auto" w:sz="4" w:space="0"/>
              <w:bottom w:val="single" w:color="auto" w:sz="4" w:space="0"/>
              <w:right w:val="single" w:color="auto" w:sz="4" w:space="0"/>
            </w:tcBorders>
          </w:tcPr>
          <w:p w14:paraId="56840E8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4185D53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FD18B7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09F19D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A58C669">
            <w:pPr>
              <w:widowControl/>
              <w:spacing w:beforeAutospacing="0" w:afterAutospacing="0" w:line="240" w:lineRule="exact"/>
              <w:jc w:val="left"/>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2A3695B7">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C894737">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14:paraId="449ED081">
      <w:pPr>
        <w:keepNext/>
        <w:keepLines/>
        <w:jc w:val="center"/>
        <w:outlineLvl w:val="1"/>
        <w:rPr>
          <w:rFonts w:hint="eastAsia" w:ascii="Times New Roman" w:hAnsi="Times New Roman" w:eastAsia="宋体"/>
          <w:b/>
          <w:bCs/>
          <w:color w:val="auto"/>
          <w:kern w:val="0"/>
          <w:szCs w:val="21"/>
          <w:highlight w:val="none"/>
          <w:lang w:val="en-US" w:eastAsia="zh-CN"/>
        </w:rPr>
      </w:pPr>
      <w:bookmarkStart w:id="402" w:name="_Toc11062"/>
      <w:bookmarkStart w:id="403" w:name="_Toc120261747"/>
      <w:bookmarkStart w:id="404" w:name="_Toc3133"/>
      <w:bookmarkStart w:id="405" w:name="_Toc14660"/>
      <w:bookmarkStart w:id="406" w:name="_Toc30512"/>
      <w:bookmarkStart w:id="407" w:name="_Toc3732"/>
      <w:bookmarkStart w:id="408" w:name="_Toc31950"/>
      <w:r>
        <w:rPr>
          <w:rFonts w:hint="eastAsia" w:ascii="Times New Roman" w:hAnsi="Times New Roman" w:eastAsia="宋体"/>
          <w:b/>
          <w:bCs/>
          <w:color w:val="auto"/>
          <w:kern w:val="0"/>
          <w:szCs w:val="21"/>
          <w:highlight w:val="none"/>
          <w:lang w:val="en-US" w:eastAsia="zh-CN"/>
        </w:rPr>
        <w:t>附录D 住宅工程质量分户验收记录表（三）</w:t>
      </w:r>
      <w:bookmarkEnd w:id="402"/>
      <w:bookmarkEnd w:id="403"/>
      <w:bookmarkEnd w:id="404"/>
      <w:bookmarkEnd w:id="405"/>
      <w:bookmarkEnd w:id="406"/>
      <w:bookmarkEnd w:id="407"/>
      <w:bookmarkEnd w:id="408"/>
    </w:p>
    <w:p w14:paraId="3A7731F9">
      <w:pPr>
        <w:widowControl/>
        <w:shd w:val="clear" w:color="auto" w:fill="FFFFFF"/>
        <w:spacing w:beforeAutospacing="0" w:afterAutospacing="0"/>
        <w:jc w:val="right"/>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---观感质量检查验收表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189"/>
        <w:gridCol w:w="578"/>
        <w:gridCol w:w="2218"/>
        <w:gridCol w:w="720"/>
        <w:gridCol w:w="839"/>
        <w:gridCol w:w="623"/>
        <w:gridCol w:w="35"/>
        <w:gridCol w:w="353"/>
        <w:gridCol w:w="686"/>
        <w:gridCol w:w="371"/>
        <w:gridCol w:w="797"/>
      </w:tblGrid>
      <w:tr w14:paraId="1B8D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6" w:type="dxa"/>
            <w:gridSpan w:val="2"/>
            <w:tcBorders>
              <w:top w:val="single" w:color="auto" w:sz="4" w:space="0"/>
              <w:left w:val="single" w:color="auto" w:sz="4" w:space="0"/>
            </w:tcBorders>
            <w:vAlign w:val="center"/>
          </w:tcPr>
          <w:p w14:paraId="01D6EC9C">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b w:val="0"/>
                <w:bCs/>
                <w:color w:val="auto"/>
                <w:sz w:val="21"/>
                <w:szCs w:val="21"/>
                <w:highlight w:val="none"/>
                <w:shd w:val="clear" w:color="auto" w:fill="FFFFFF"/>
                <w:lang w:val="en-US" w:eastAsia="zh-CN"/>
              </w:rPr>
              <w:t>单</w:t>
            </w:r>
            <w:r>
              <w:rPr>
                <w:rFonts w:hint="eastAsia" w:ascii="Calibri" w:hAnsi="Calibri" w:eastAsia="宋体"/>
                <w:bCs/>
                <w:color w:val="auto"/>
                <w:szCs w:val="21"/>
                <w:highlight w:val="none"/>
                <w:shd w:val="clear" w:color="auto" w:fill="FFFFFF"/>
              </w:rPr>
              <w:t>位（子单位）工程名称</w:t>
            </w:r>
          </w:p>
        </w:tc>
        <w:tc>
          <w:tcPr>
            <w:tcW w:w="3816" w:type="dxa"/>
            <w:gridSpan w:val="3"/>
            <w:tcBorders>
              <w:top w:val="single" w:color="auto" w:sz="4" w:space="0"/>
            </w:tcBorders>
            <w:vAlign w:val="center"/>
          </w:tcPr>
          <w:p w14:paraId="2074B91A">
            <w:pPr>
              <w:spacing w:line="240" w:lineRule="exact"/>
              <w:jc w:val="center"/>
              <w:rPr>
                <w:rFonts w:ascii="Calibri" w:hAnsi="Calibri" w:eastAsia="宋体"/>
                <w:color w:val="auto"/>
                <w:szCs w:val="21"/>
                <w:highlight w:val="none"/>
                <w:shd w:val="clear" w:color="auto" w:fill="FFFFFF"/>
              </w:rPr>
            </w:pPr>
          </w:p>
        </w:tc>
        <w:tc>
          <w:tcPr>
            <w:tcW w:w="865" w:type="dxa"/>
            <w:tcBorders>
              <w:top w:val="single" w:color="auto" w:sz="4" w:space="0"/>
            </w:tcBorders>
            <w:vAlign w:val="center"/>
          </w:tcPr>
          <w:p w14:paraId="23983BD8">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栋号</w:t>
            </w:r>
          </w:p>
        </w:tc>
        <w:tc>
          <w:tcPr>
            <w:tcW w:w="1095" w:type="dxa"/>
            <w:gridSpan w:val="3"/>
            <w:tcBorders>
              <w:top w:val="single" w:color="auto" w:sz="4" w:space="0"/>
              <w:right w:val="single" w:color="auto" w:sz="2" w:space="0"/>
            </w:tcBorders>
            <w:vAlign w:val="center"/>
          </w:tcPr>
          <w:p w14:paraId="61E0C4D4">
            <w:pPr>
              <w:spacing w:line="240" w:lineRule="exact"/>
              <w:jc w:val="center"/>
              <w:rPr>
                <w:rFonts w:ascii="Calibri" w:hAnsi="Calibri" w:eastAsia="宋体"/>
                <w:color w:val="auto"/>
                <w:szCs w:val="21"/>
                <w:highlight w:val="none"/>
                <w:shd w:val="clear" w:color="auto" w:fill="FFFFFF"/>
              </w:rPr>
            </w:pPr>
          </w:p>
        </w:tc>
        <w:tc>
          <w:tcPr>
            <w:tcW w:w="720" w:type="dxa"/>
            <w:tcBorders>
              <w:top w:val="single" w:color="auto" w:sz="4" w:space="0"/>
              <w:left w:val="single" w:color="auto" w:sz="2" w:space="0"/>
              <w:right w:val="single" w:color="auto" w:sz="2" w:space="0"/>
            </w:tcBorders>
            <w:vAlign w:val="center"/>
          </w:tcPr>
          <w:p w14:paraId="15AF4D87">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房号</w:t>
            </w:r>
          </w:p>
        </w:tc>
        <w:tc>
          <w:tcPr>
            <w:tcW w:w="1262" w:type="dxa"/>
            <w:gridSpan w:val="2"/>
            <w:tcBorders>
              <w:top w:val="single" w:color="auto" w:sz="4" w:space="0"/>
              <w:left w:val="single" w:color="auto" w:sz="2" w:space="0"/>
              <w:right w:val="single" w:color="auto" w:sz="4" w:space="0"/>
            </w:tcBorders>
            <w:vAlign w:val="center"/>
          </w:tcPr>
          <w:p w14:paraId="52670AA6">
            <w:pPr>
              <w:spacing w:line="240" w:lineRule="exact"/>
              <w:jc w:val="center"/>
              <w:rPr>
                <w:rFonts w:ascii="Calibri" w:hAnsi="Calibri" w:eastAsia="宋体"/>
                <w:color w:val="auto"/>
                <w:szCs w:val="21"/>
                <w:highlight w:val="none"/>
                <w:shd w:val="clear" w:color="auto" w:fill="FFFFFF"/>
              </w:rPr>
            </w:pPr>
          </w:p>
        </w:tc>
      </w:tr>
      <w:tr w14:paraId="3BA9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0F5A00E3">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序号</w:t>
            </w:r>
          </w:p>
        </w:tc>
        <w:tc>
          <w:tcPr>
            <w:tcW w:w="1260" w:type="dxa"/>
            <w:vAlign w:val="center"/>
          </w:tcPr>
          <w:p w14:paraId="7A851128">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验收内容</w:t>
            </w:r>
          </w:p>
        </w:tc>
        <w:tc>
          <w:tcPr>
            <w:tcW w:w="5350" w:type="dxa"/>
            <w:gridSpan w:val="5"/>
            <w:vAlign w:val="center"/>
          </w:tcPr>
          <w:p w14:paraId="423AEEE2">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验 收 情 况</w:t>
            </w:r>
          </w:p>
        </w:tc>
        <w:tc>
          <w:tcPr>
            <w:tcW w:w="1564" w:type="dxa"/>
            <w:gridSpan w:val="4"/>
            <w:vAlign w:val="center"/>
          </w:tcPr>
          <w:p w14:paraId="0205137C">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存在问题记录</w:t>
            </w:r>
          </w:p>
        </w:tc>
        <w:tc>
          <w:tcPr>
            <w:tcW w:w="844" w:type="dxa"/>
            <w:tcBorders>
              <w:right w:val="single" w:color="auto" w:sz="4" w:space="0"/>
            </w:tcBorders>
            <w:vAlign w:val="center"/>
          </w:tcPr>
          <w:p w14:paraId="20CF3FF8">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整 改 </w:t>
            </w:r>
          </w:p>
          <w:p w14:paraId="69AD9289">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情 况</w:t>
            </w:r>
          </w:p>
        </w:tc>
      </w:tr>
      <w:tr w14:paraId="2C10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27E6B3D2">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1</w:t>
            </w:r>
          </w:p>
        </w:tc>
        <w:tc>
          <w:tcPr>
            <w:tcW w:w="1260" w:type="dxa"/>
            <w:vAlign w:val="center"/>
          </w:tcPr>
          <w:p w14:paraId="0CB3E250">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建筑地面、墙面和顶棚</w:t>
            </w:r>
          </w:p>
        </w:tc>
        <w:tc>
          <w:tcPr>
            <w:tcW w:w="5350" w:type="dxa"/>
            <w:gridSpan w:val="5"/>
            <w:vAlign w:val="center"/>
          </w:tcPr>
          <w:p w14:paraId="6A8B425F">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□地面无空鼓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□地面无裂缝 </w:t>
            </w:r>
          </w:p>
          <w:p w14:paraId="63ADEAE9">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□墙面线角顺直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□墙面阴阳角方正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□墙面无裂缝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□墙面无空鼓 □墙面无脱层、爆灰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□墙面无渗漏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□顶棚无脱层、爆灰   □顶棚无裂缝   □顶棚无渗漏</w:t>
            </w:r>
          </w:p>
        </w:tc>
        <w:tc>
          <w:tcPr>
            <w:tcW w:w="1564" w:type="dxa"/>
            <w:gridSpan w:val="4"/>
          </w:tcPr>
          <w:p w14:paraId="58B8CCBC">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60723BE7">
            <w:pPr>
              <w:spacing w:line="240" w:lineRule="exact"/>
              <w:rPr>
                <w:rFonts w:ascii="Calibri" w:hAnsi="Calibri" w:eastAsia="宋体"/>
                <w:color w:val="auto"/>
                <w:szCs w:val="21"/>
                <w:highlight w:val="none"/>
                <w:shd w:val="clear" w:color="auto" w:fill="FFFFFF"/>
              </w:rPr>
            </w:pPr>
          </w:p>
        </w:tc>
      </w:tr>
      <w:tr w14:paraId="5336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06C67122">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2</w:t>
            </w:r>
          </w:p>
        </w:tc>
        <w:tc>
          <w:tcPr>
            <w:tcW w:w="1260" w:type="dxa"/>
            <w:vAlign w:val="center"/>
          </w:tcPr>
          <w:p w14:paraId="327C54FA">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门窗安装质量</w:t>
            </w:r>
          </w:p>
        </w:tc>
        <w:tc>
          <w:tcPr>
            <w:tcW w:w="5350" w:type="dxa"/>
            <w:gridSpan w:val="5"/>
            <w:vAlign w:val="center"/>
          </w:tcPr>
          <w:p w14:paraId="6DF9B541">
            <w:pPr>
              <w:spacing w:line="240" w:lineRule="exact"/>
              <w:jc w:val="lef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□安装牢固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□开启灵活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□关闭严密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□门窗洞周边无裂缝   □外门窗框无渗漏            □推拉门窗扇有防脱落措施 □防水胶嵌缝 </w:t>
            </w:r>
          </w:p>
          <w:p w14:paraId="386512DE">
            <w:pPr>
              <w:spacing w:line="240" w:lineRule="exact"/>
              <w:jc w:val="lef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□厨房、卫生间的门的下方应设进风固定百叶或留进风缝隙</w:t>
            </w:r>
          </w:p>
        </w:tc>
        <w:tc>
          <w:tcPr>
            <w:tcW w:w="1564" w:type="dxa"/>
            <w:gridSpan w:val="4"/>
          </w:tcPr>
          <w:p w14:paraId="6C010283">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5F378094">
            <w:pPr>
              <w:spacing w:line="240" w:lineRule="exact"/>
              <w:rPr>
                <w:rFonts w:ascii="Calibri" w:hAnsi="Calibri" w:eastAsia="宋体"/>
                <w:color w:val="auto"/>
                <w:szCs w:val="21"/>
                <w:highlight w:val="none"/>
                <w:shd w:val="clear" w:color="auto" w:fill="FFFFFF"/>
              </w:rPr>
            </w:pPr>
          </w:p>
        </w:tc>
      </w:tr>
      <w:tr w14:paraId="465F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56" w:type="dxa"/>
            <w:tcBorders>
              <w:left w:val="single" w:color="auto" w:sz="4" w:space="0"/>
            </w:tcBorders>
            <w:vAlign w:val="center"/>
          </w:tcPr>
          <w:p w14:paraId="4DD06A21">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3</w:t>
            </w:r>
          </w:p>
        </w:tc>
        <w:tc>
          <w:tcPr>
            <w:tcW w:w="1260" w:type="dxa"/>
            <w:vAlign w:val="center"/>
          </w:tcPr>
          <w:p w14:paraId="54526331">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建筑外门窗节能</w:t>
            </w:r>
          </w:p>
        </w:tc>
        <w:tc>
          <w:tcPr>
            <w:tcW w:w="5350" w:type="dxa"/>
            <w:gridSpan w:val="5"/>
            <w:vAlign w:val="center"/>
          </w:tcPr>
          <w:p w14:paraId="1E287D6A">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□节能措施与设计相符</w:t>
            </w:r>
            <w:r>
              <w:rPr>
                <w:rFonts w:ascii="Calibri" w:hAnsi="Calibri" w:eastAsia="宋体"/>
                <w:color w:val="auto"/>
                <w:szCs w:val="21"/>
                <w:highlight w:val="none"/>
                <w:shd w:val="clear" w:color="auto" w:fill="FFFFFF"/>
              </w:rPr>
              <w:t xml:space="preserve">  </w:t>
            </w:r>
            <w:r>
              <w:rPr>
                <w:rFonts w:hint="default" w:ascii="宋体" w:hAnsi="宋体" w:eastAsia="宋体" w:cs="宋体"/>
                <w:color w:val="auto"/>
                <w:sz w:val="20"/>
                <w:szCs w:val="21"/>
                <w:highlight w:val="none"/>
                <w:u w:val="none"/>
                <w:shd w:val="clear" w:color="auto" w:fill="FFFFFF"/>
                <w:lang w:bidi="ar"/>
              </w:rPr>
              <w:t xml:space="preserve"> </w:t>
            </w:r>
          </w:p>
        </w:tc>
        <w:tc>
          <w:tcPr>
            <w:tcW w:w="1564" w:type="dxa"/>
            <w:gridSpan w:val="4"/>
          </w:tcPr>
          <w:p w14:paraId="0F7FDB5B">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0DEED028">
            <w:pPr>
              <w:spacing w:line="240" w:lineRule="exact"/>
              <w:rPr>
                <w:rFonts w:ascii="Calibri" w:hAnsi="Calibri" w:eastAsia="宋体"/>
                <w:color w:val="auto"/>
                <w:szCs w:val="21"/>
                <w:highlight w:val="none"/>
                <w:shd w:val="clear" w:color="auto" w:fill="FFFFFF"/>
              </w:rPr>
            </w:pPr>
          </w:p>
        </w:tc>
      </w:tr>
      <w:tr w14:paraId="2C87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01E756B6">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4</w:t>
            </w:r>
          </w:p>
        </w:tc>
        <w:tc>
          <w:tcPr>
            <w:tcW w:w="1260" w:type="dxa"/>
            <w:vAlign w:val="center"/>
          </w:tcPr>
          <w:p w14:paraId="45DDCBF0">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阳台、露台、厨卫间、窗台等渗漏情况</w:t>
            </w:r>
          </w:p>
        </w:tc>
        <w:tc>
          <w:tcPr>
            <w:tcW w:w="5350" w:type="dxa"/>
            <w:gridSpan w:val="5"/>
            <w:vAlign w:val="center"/>
          </w:tcPr>
          <w:p w14:paraId="54BFB1EF">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□阳台无渗漏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□露台无渗漏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□厨房无渗漏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w:t>
            </w:r>
          </w:p>
          <w:p w14:paraId="5B0CB27F">
            <w:pPr>
              <w:spacing w:line="240" w:lineRule="exact"/>
              <w:rPr>
                <w:rFonts w:ascii="Calibri" w:hAnsi="Calibri" w:eastAsia="宋体"/>
                <w:color w:val="auto"/>
                <w:szCs w:val="21"/>
                <w:highlight w:val="none"/>
                <w:shd w:val="clear" w:color="auto" w:fill="FFFFFF"/>
              </w:rPr>
            </w:pPr>
          </w:p>
          <w:p w14:paraId="73A8B1B1">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□厕浴间无渗漏 □ 窗台无渗漏</w:t>
            </w:r>
          </w:p>
        </w:tc>
        <w:tc>
          <w:tcPr>
            <w:tcW w:w="1564" w:type="dxa"/>
            <w:gridSpan w:val="4"/>
          </w:tcPr>
          <w:p w14:paraId="5EF47E82">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424DDF13">
            <w:pPr>
              <w:spacing w:line="240" w:lineRule="exact"/>
              <w:rPr>
                <w:rFonts w:ascii="Calibri" w:hAnsi="Calibri" w:eastAsia="宋体"/>
                <w:color w:val="auto"/>
                <w:szCs w:val="21"/>
                <w:highlight w:val="none"/>
                <w:shd w:val="clear" w:color="auto" w:fill="FFFFFF"/>
              </w:rPr>
            </w:pPr>
          </w:p>
        </w:tc>
      </w:tr>
      <w:tr w14:paraId="1CC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53479970">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5</w:t>
            </w:r>
          </w:p>
        </w:tc>
        <w:tc>
          <w:tcPr>
            <w:tcW w:w="1260" w:type="dxa"/>
            <w:vAlign w:val="center"/>
          </w:tcPr>
          <w:p w14:paraId="2F2FA5E3">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栏杆、护栏及安全玻璃</w:t>
            </w:r>
          </w:p>
        </w:tc>
        <w:tc>
          <w:tcPr>
            <w:tcW w:w="5350" w:type="dxa"/>
            <w:gridSpan w:val="5"/>
            <w:vAlign w:val="center"/>
          </w:tcPr>
          <w:p w14:paraId="374AA31F">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□栏杆、护栏的形式  □安全玻璃符合要求且有标识  □ 栏杆、护栏安装牢固   □栏杆的整体安全性能</w:t>
            </w:r>
          </w:p>
        </w:tc>
        <w:tc>
          <w:tcPr>
            <w:tcW w:w="1564" w:type="dxa"/>
            <w:gridSpan w:val="4"/>
          </w:tcPr>
          <w:p w14:paraId="0444A9A8">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38D5B5BB">
            <w:pPr>
              <w:spacing w:line="240" w:lineRule="exact"/>
              <w:rPr>
                <w:rFonts w:ascii="Calibri" w:hAnsi="Calibri" w:eastAsia="宋体"/>
                <w:color w:val="auto"/>
                <w:szCs w:val="21"/>
                <w:highlight w:val="none"/>
                <w:shd w:val="clear" w:color="auto" w:fill="FFFFFF"/>
              </w:rPr>
            </w:pPr>
          </w:p>
        </w:tc>
      </w:tr>
      <w:tr w14:paraId="676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361D6C6F">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6</w:t>
            </w:r>
          </w:p>
        </w:tc>
        <w:tc>
          <w:tcPr>
            <w:tcW w:w="1260" w:type="dxa"/>
            <w:vAlign w:val="center"/>
          </w:tcPr>
          <w:p w14:paraId="0AF9999C">
            <w:pPr>
              <w:spacing w:line="240" w:lineRule="exact"/>
              <w:jc w:val="center"/>
              <w:rPr>
                <w:rFonts w:ascii="Calibri" w:hAnsi="Calibri" w:eastAsia="宋体"/>
                <w:color w:val="auto"/>
                <w:szCs w:val="21"/>
                <w:highlight w:val="none"/>
                <w:shd w:val="clear" w:color="auto" w:fill="FFFFFF"/>
              </w:rPr>
            </w:pPr>
            <w:bookmarkStart w:id="409" w:name="_Hlk104626546"/>
            <w:r>
              <w:rPr>
                <w:rFonts w:hint="eastAsia" w:ascii="Calibri" w:hAnsi="Calibri" w:eastAsia="宋体"/>
                <w:color w:val="auto"/>
                <w:szCs w:val="21"/>
                <w:highlight w:val="none"/>
                <w:shd w:val="clear" w:color="auto" w:fill="FFFFFF"/>
              </w:rPr>
              <w:t>给排水系统安装质量</w:t>
            </w:r>
            <w:bookmarkEnd w:id="409"/>
          </w:p>
        </w:tc>
        <w:tc>
          <w:tcPr>
            <w:tcW w:w="5350" w:type="dxa"/>
            <w:gridSpan w:val="5"/>
          </w:tcPr>
          <w:p w14:paraId="04CAC561">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□阀门安装  □地漏标高及水封高度  □检查口伸缩节    口洁具及给排水配件安装     口给排水管道安装质量□ 给水系统的通水情况       □排水系统的排水效果</w:t>
            </w:r>
          </w:p>
        </w:tc>
        <w:tc>
          <w:tcPr>
            <w:tcW w:w="1564" w:type="dxa"/>
            <w:gridSpan w:val="4"/>
          </w:tcPr>
          <w:p w14:paraId="21823E14">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323C5D31">
            <w:pPr>
              <w:spacing w:line="240" w:lineRule="exact"/>
              <w:rPr>
                <w:rFonts w:ascii="Calibri" w:hAnsi="Calibri" w:eastAsia="宋体"/>
                <w:color w:val="auto"/>
                <w:szCs w:val="21"/>
                <w:highlight w:val="none"/>
                <w:shd w:val="clear" w:color="auto" w:fill="FFFFFF"/>
              </w:rPr>
            </w:pPr>
          </w:p>
        </w:tc>
      </w:tr>
      <w:tr w14:paraId="7B2E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Borders>
              <w:left w:val="single" w:color="auto" w:sz="4" w:space="0"/>
            </w:tcBorders>
            <w:vAlign w:val="center"/>
          </w:tcPr>
          <w:p w14:paraId="2FD83FC4">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7</w:t>
            </w:r>
          </w:p>
        </w:tc>
        <w:tc>
          <w:tcPr>
            <w:tcW w:w="1260" w:type="dxa"/>
            <w:vAlign w:val="center"/>
          </w:tcPr>
          <w:p w14:paraId="65A1680D">
            <w:pPr>
              <w:spacing w:line="240" w:lineRule="exact"/>
              <w:jc w:val="center"/>
              <w:rPr>
                <w:rFonts w:ascii="Calibri" w:hAnsi="Calibri" w:eastAsia="宋体"/>
                <w:color w:val="auto"/>
                <w:szCs w:val="21"/>
                <w:highlight w:val="none"/>
                <w:shd w:val="clear" w:color="auto" w:fill="FFFFFF"/>
              </w:rPr>
            </w:pPr>
            <w:bookmarkStart w:id="410" w:name="_Hlk104626588"/>
            <w:r>
              <w:rPr>
                <w:rFonts w:hint="eastAsia" w:ascii="Calibri" w:hAnsi="Calibri" w:eastAsia="宋体"/>
                <w:color w:val="auto"/>
                <w:szCs w:val="21"/>
                <w:highlight w:val="none"/>
                <w:shd w:val="clear" w:color="auto" w:fill="FFFFFF"/>
              </w:rPr>
              <w:t>建筑电气</w:t>
            </w:r>
          </w:p>
          <w:p w14:paraId="39B9C932">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安装质量</w:t>
            </w:r>
            <w:bookmarkEnd w:id="410"/>
          </w:p>
        </w:tc>
        <w:tc>
          <w:tcPr>
            <w:tcW w:w="5350" w:type="dxa"/>
            <w:gridSpan w:val="5"/>
          </w:tcPr>
          <w:p w14:paraId="23F7C850">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□分户配电箱   □导线分色</w:t>
            </w:r>
          </w:p>
          <w:p w14:paraId="359F9113">
            <w:pPr>
              <w:spacing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□开关插座灯具 □局部等电位  □厨、卫间插座的防潮</w:t>
            </w:r>
          </w:p>
          <w:p w14:paraId="6EC2AF1D">
            <w:pPr>
              <w:widowControl w:val="0"/>
              <w:spacing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w:t>
            </w:r>
            <w:r>
              <w:rPr>
                <w:rFonts w:ascii="Calibri" w:hAnsi="Calibri" w:eastAsia="宋体" w:cs="Times New Roman"/>
                <w:color w:val="auto"/>
                <w:kern w:val="2"/>
                <w:sz w:val="21"/>
                <w:szCs w:val="21"/>
                <w:highlight w:val="none"/>
                <w:shd w:val="clear" w:color="auto" w:fill="FFFFFF"/>
                <w:lang w:val="en-US" w:eastAsia="zh-CN" w:bidi="ar-SA"/>
              </w:rPr>
              <w:t>PE</w:t>
            </w:r>
            <w:r>
              <w:rPr>
                <w:rFonts w:hint="eastAsia" w:ascii="Calibri" w:hAnsi="Calibri" w:eastAsia="宋体" w:cs="Times New Roman"/>
                <w:color w:val="auto"/>
                <w:kern w:val="2"/>
                <w:sz w:val="21"/>
                <w:szCs w:val="21"/>
                <w:highlight w:val="none"/>
                <w:shd w:val="clear" w:color="auto" w:fill="FFFFFF"/>
                <w:lang w:val="en-US" w:eastAsia="zh-CN" w:bidi="ar-SA"/>
              </w:rPr>
              <w:t xml:space="preserve">（或PEN）线在插座间不串联连接 </w:t>
            </w:r>
          </w:p>
          <w:p w14:paraId="327DFCC5">
            <w:pPr>
              <w:widowControl w:val="0"/>
              <w:spacing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□相线与中性导体（N）不应利用插座本体的接线端子转接供电</w:t>
            </w:r>
          </w:p>
        </w:tc>
        <w:tc>
          <w:tcPr>
            <w:tcW w:w="1564" w:type="dxa"/>
            <w:gridSpan w:val="4"/>
          </w:tcPr>
          <w:p w14:paraId="099295F4">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170E3C60">
            <w:pPr>
              <w:spacing w:line="240" w:lineRule="exact"/>
              <w:rPr>
                <w:rFonts w:ascii="Calibri" w:hAnsi="Calibri" w:eastAsia="宋体"/>
                <w:color w:val="auto"/>
                <w:szCs w:val="21"/>
                <w:highlight w:val="none"/>
                <w:shd w:val="clear" w:color="auto" w:fill="FFFFFF"/>
              </w:rPr>
            </w:pPr>
          </w:p>
        </w:tc>
      </w:tr>
      <w:tr w14:paraId="55E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6" w:type="dxa"/>
            <w:tcBorders>
              <w:left w:val="single" w:color="auto" w:sz="4" w:space="0"/>
            </w:tcBorders>
            <w:vAlign w:val="center"/>
          </w:tcPr>
          <w:p w14:paraId="374EC1A6">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8</w:t>
            </w:r>
          </w:p>
        </w:tc>
        <w:tc>
          <w:tcPr>
            <w:tcW w:w="1260" w:type="dxa"/>
            <w:vAlign w:val="center"/>
          </w:tcPr>
          <w:p w14:paraId="51DE30E2">
            <w:pPr>
              <w:spacing w:line="240" w:lineRule="exact"/>
              <w:jc w:val="center"/>
              <w:rPr>
                <w:rFonts w:ascii="Calibri" w:hAnsi="Calibri" w:eastAsia="宋体"/>
                <w:color w:val="auto"/>
                <w:szCs w:val="21"/>
                <w:highlight w:val="none"/>
                <w:shd w:val="clear" w:color="auto" w:fill="FFFFFF"/>
              </w:rPr>
            </w:pPr>
            <w:bookmarkStart w:id="411" w:name="_Hlk104626620"/>
            <w:r>
              <w:rPr>
                <w:rFonts w:hint="eastAsia" w:ascii="Calibri" w:hAnsi="Calibri" w:eastAsia="宋体"/>
                <w:color w:val="auto"/>
                <w:szCs w:val="21"/>
                <w:highlight w:val="none"/>
                <w:shd w:val="clear" w:color="auto" w:fill="FFFFFF"/>
              </w:rPr>
              <w:t>智能</w:t>
            </w:r>
            <w:r>
              <w:rPr>
                <w:rFonts w:hint="eastAsia" w:ascii="Calibri" w:hAnsi="Calibri" w:eastAsia="宋体"/>
                <w:color w:val="auto"/>
                <w:szCs w:val="21"/>
                <w:highlight w:val="none"/>
                <w:shd w:val="clear" w:color="auto" w:fill="FFFFFF"/>
                <w:lang w:val="en-US" w:eastAsia="zh-CN"/>
              </w:rPr>
              <w:t>系统</w:t>
            </w:r>
            <w:bookmarkEnd w:id="411"/>
          </w:p>
        </w:tc>
        <w:tc>
          <w:tcPr>
            <w:tcW w:w="5350" w:type="dxa"/>
            <w:gridSpan w:val="5"/>
          </w:tcPr>
          <w:p w14:paraId="5E04FD23">
            <w:pPr>
              <w:widowControl w:val="0"/>
              <w:spacing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 xml:space="preserve">□家居综合布线箱配置（含电源配置） </w:t>
            </w:r>
          </w:p>
          <w:p w14:paraId="7208611F">
            <w:pPr>
              <w:widowControl w:val="0"/>
              <w:spacing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□对讲系统室内机的功能和性能工作正常</w:t>
            </w:r>
          </w:p>
        </w:tc>
        <w:tc>
          <w:tcPr>
            <w:tcW w:w="1564" w:type="dxa"/>
            <w:gridSpan w:val="4"/>
          </w:tcPr>
          <w:p w14:paraId="1D1DBB17">
            <w:pPr>
              <w:spacing w:line="240" w:lineRule="exact"/>
              <w:rPr>
                <w:rFonts w:ascii="Calibri" w:hAnsi="Calibri" w:eastAsia="宋体"/>
                <w:color w:val="auto"/>
                <w:szCs w:val="21"/>
                <w:highlight w:val="none"/>
                <w:shd w:val="clear" w:color="auto" w:fill="FFFFFF"/>
              </w:rPr>
            </w:pPr>
          </w:p>
        </w:tc>
        <w:tc>
          <w:tcPr>
            <w:tcW w:w="844" w:type="dxa"/>
            <w:tcBorders>
              <w:right w:val="single" w:color="auto" w:sz="4" w:space="0"/>
            </w:tcBorders>
          </w:tcPr>
          <w:p w14:paraId="68F940BB">
            <w:pPr>
              <w:spacing w:line="240" w:lineRule="exact"/>
              <w:rPr>
                <w:rFonts w:ascii="Calibri" w:hAnsi="Calibri" w:eastAsia="宋体"/>
                <w:color w:val="auto"/>
                <w:szCs w:val="21"/>
                <w:highlight w:val="none"/>
                <w:shd w:val="clear" w:color="auto" w:fill="FFFFFF"/>
              </w:rPr>
            </w:pPr>
          </w:p>
        </w:tc>
      </w:tr>
      <w:tr w14:paraId="125E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6" w:type="dxa"/>
            <w:gridSpan w:val="2"/>
            <w:tcBorders>
              <w:left w:val="single" w:color="auto" w:sz="4" w:space="0"/>
            </w:tcBorders>
            <w:vAlign w:val="center"/>
          </w:tcPr>
          <w:p w14:paraId="0F8DB1C5">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验收结论</w:t>
            </w:r>
          </w:p>
        </w:tc>
        <w:tc>
          <w:tcPr>
            <w:tcW w:w="7758" w:type="dxa"/>
            <w:gridSpan w:val="10"/>
            <w:tcBorders>
              <w:right w:val="single" w:color="auto" w:sz="4" w:space="0"/>
            </w:tcBorders>
            <w:vAlign w:val="center"/>
          </w:tcPr>
          <w:p w14:paraId="7BFB1C55">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□一次验收合格                 □  经整改后验收合格</w:t>
            </w:r>
          </w:p>
        </w:tc>
      </w:tr>
      <w:tr w14:paraId="6DA3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368" w:type="dxa"/>
            <w:gridSpan w:val="3"/>
            <w:tcBorders>
              <w:top w:val="single" w:color="auto" w:sz="4" w:space="0"/>
              <w:left w:val="single" w:color="auto" w:sz="4" w:space="0"/>
              <w:bottom w:val="single" w:color="auto" w:sz="4" w:space="0"/>
              <w:right w:val="single" w:color="auto" w:sz="4" w:space="0"/>
            </w:tcBorders>
            <w:vAlign w:val="center"/>
          </w:tcPr>
          <w:p w14:paraId="06808247">
            <w:pPr>
              <w:spacing w:line="240" w:lineRule="exact"/>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建</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设</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5999EB28">
            <w:pPr>
              <w:spacing w:line="240" w:lineRule="exact"/>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p>
        </w:tc>
        <w:tc>
          <w:tcPr>
            <w:tcW w:w="2368" w:type="dxa"/>
            <w:tcBorders>
              <w:top w:val="single" w:color="auto" w:sz="4" w:space="0"/>
              <w:left w:val="single" w:color="auto" w:sz="4" w:space="0"/>
              <w:bottom w:val="single" w:color="auto" w:sz="4" w:space="0"/>
              <w:right w:val="single" w:color="auto" w:sz="4" w:space="0"/>
            </w:tcBorders>
            <w:vAlign w:val="center"/>
          </w:tcPr>
          <w:p w14:paraId="065E8780">
            <w:pPr>
              <w:spacing w:line="240" w:lineRule="exact"/>
              <w:ind w:firstLine="420" w:firstLineChars="20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监</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理</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1778FBF2">
            <w:pPr>
              <w:spacing w:line="240" w:lineRule="exact"/>
              <w:ind w:firstLine="420" w:firstLineChars="20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p>
        </w:tc>
        <w:tc>
          <w:tcPr>
            <w:tcW w:w="2368" w:type="dxa"/>
            <w:gridSpan w:val="4"/>
            <w:tcBorders>
              <w:top w:val="single" w:color="auto" w:sz="4" w:space="0"/>
              <w:left w:val="single" w:color="auto" w:sz="4" w:space="0"/>
              <w:bottom w:val="single" w:color="auto" w:sz="4" w:space="0"/>
              <w:right w:val="single" w:color="auto" w:sz="4" w:space="0"/>
            </w:tcBorders>
            <w:vAlign w:val="center"/>
          </w:tcPr>
          <w:p w14:paraId="4D441415">
            <w:pPr>
              <w:spacing w:line="240" w:lineRule="exact"/>
              <w:ind w:firstLine="420" w:firstLineChars="20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施</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工</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5A4F44BB">
            <w:pPr>
              <w:spacing w:line="240" w:lineRule="exact"/>
              <w:ind w:firstLine="420" w:firstLineChars="20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c>
          <w:tcPr>
            <w:tcW w:w="2370" w:type="dxa"/>
            <w:gridSpan w:val="4"/>
            <w:tcBorders>
              <w:top w:val="single" w:color="auto" w:sz="4" w:space="0"/>
              <w:left w:val="single" w:color="auto" w:sz="4" w:space="0"/>
              <w:bottom w:val="single" w:color="auto" w:sz="4" w:space="0"/>
              <w:right w:val="single" w:color="auto" w:sz="4" w:space="0"/>
            </w:tcBorders>
            <w:vAlign w:val="center"/>
          </w:tcPr>
          <w:p w14:paraId="53D790CE">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专业分包单位</w:t>
            </w:r>
          </w:p>
          <w:p w14:paraId="7789A4D4">
            <w:pPr>
              <w:spacing w:line="240" w:lineRule="exact"/>
              <w:ind w:firstLine="0" w:firstLineChars="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r>
      <w:tr w14:paraId="5B67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68" w:type="dxa"/>
            <w:gridSpan w:val="3"/>
            <w:tcBorders>
              <w:top w:val="single" w:color="auto" w:sz="4" w:space="0"/>
              <w:left w:val="single" w:color="auto" w:sz="4" w:space="0"/>
              <w:bottom w:val="single" w:color="auto" w:sz="4" w:space="0"/>
              <w:right w:val="single" w:color="auto" w:sz="4" w:space="0"/>
            </w:tcBorders>
          </w:tcPr>
          <w:p w14:paraId="1F4727D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14:paraId="6641DA3B">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4369D7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E8535D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ACF694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24C2465">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AFCFC6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AB58612">
            <w:pPr>
              <w:widowControl/>
              <w:spacing w:beforeAutospacing="0" w:afterAutospacing="0" w:line="240" w:lineRule="exact"/>
              <w:jc w:val="right"/>
              <w:rPr>
                <w:rFonts w:hint="default" w:ascii="宋体" w:hAnsi="宋体" w:eastAsia="宋体" w:cs="Times New Roman"/>
                <w:color w:val="auto"/>
                <w:kern w:val="0"/>
                <w:sz w:val="24"/>
                <w:szCs w:val="24"/>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368" w:type="dxa"/>
            <w:tcBorders>
              <w:top w:val="single" w:color="auto" w:sz="4" w:space="0"/>
              <w:left w:val="single" w:color="auto" w:sz="4" w:space="0"/>
              <w:bottom w:val="single" w:color="auto" w:sz="4" w:space="0"/>
              <w:right w:val="single" w:color="auto" w:sz="4" w:space="0"/>
            </w:tcBorders>
          </w:tcPr>
          <w:p w14:paraId="7388571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14:paraId="49EFB5F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74EBA7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B176245">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B49B1D1">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A84F66D">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3C5922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3B65935C">
            <w:pPr>
              <w:spacing w:line="240" w:lineRule="exact"/>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368" w:type="dxa"/>
            <w:gridSpan w:val="4"/>
            <w:tcBorders>
              <w:top w:val="single" w:color="auto" w:sz="4" w:space="0"/>
              <w:left w:val="single" w:color="auto" w:sz="4" w:space="0"/>
              <w:bottom w:val="single" w:color="auto" w:sz="4" w:space="0"/>
              <w:right w:val="single" w:color="auto" w:sz="4" w:space="0"/>
            </w:tcBorders>
          </w:tcPr>
          <w:p w14:paraId="3CC3D92C">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38A6EC5C">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04D7D3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B2A7AAD">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C371F3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65BED2C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5AB334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9ABCB2F">
            <w:pPr>
              <w:spacing w:line="240" w:lineRule="exact"/>
              <w:ind w:firstLine="420" w:firstLineChars="200"/>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370" w:type="dxa"/>
            <w:gridSpan w:val="4"/>
            <w:tcBorders>
              <w:top w:val="single" w:color="auto" w:sz="4" w:space="0"/>
              <w:left w:val="single" w:color="auto" w:sz="4" w:space="0"/>
              <w:bottom w:val="single" w:color="auto" w:sz="4" w:space="0"/>
              <w:right w:val="single" w:color="auto" w:sz="4" w:space="0"/>
            </w:tcBorders>
          </w:tcPr>
          <w:p w14:paraId="543820A9">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500E02D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0AF865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3A2F8E0">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50134D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5C001C6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E0CB5F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1DD7222">
            <w:pPr>
              <w:spacing w:line="240" w:lineRule="exact"/>
              <w:ind w:firstLine="420" w:firstLineChars="200"/>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14:paraId="45B2FFFB">
      <w:pPr>
        <w:rPr>
          <w:rFonts w:ascii="Calibri" w:hAnsi="Calibri" w:eastAsia="宋体"/>
          <w:color w:val="auto"/>
          <w:szCs w:val="24"/>
          <w:highlight w:val="none"/>
          <w:shd w:val="clear" w:color="auto" w:fill="FFFFFF"/>
        </w:rPr>
      </w:pPr>
    </w:p>
    <w:p w14:paraId="5BD40FA2">
      <w:pPr>
        <w:widowControl/>
        <w:jc w:val="left"/>
        <w:rPr>
          <w:rFonts w:ascii="Calibri" w:hAnsi="Calibri" w:eastAsia="宋体"/>
          <w:color w:val="auto"/>
          <w:szCs w:val="24"/>
          <w:highlight w:val="none"/>
          <w:shd w:val="clear" w:color="auto" w:fill="FFFFFF"/>
        </w:rPr>
      </w:pPr>
      <w:r>
        <w:rPr>
          <w:rFonts w:ascii="Calibri" w:hAnsi="Calibri" w:eastAsia="宋体"/>
          <w:color w:val="auto"/>
          <w:szCs w:val="24"/>
          <w:highlight w:val="none"/>
          <w:shd w:val="clear" w:color="auto" w:fill="FFFFFF"/>
        </w:rPr>
        <w:br w:type="page"/>
      </w:r>
    </w:p>
    <w:p w14:paraId="19F2A410">
      <w:pPr>
        <w:rPr>
          <w:rFonts w:ascii="Calibri" w:hAnsi="Calibri" w:eastAsia="宋体"/>
          <w:color w:val="auto"/>
          <w:szCs w:val="24"/>
          <w:highlight w:val="none"/>
          <w:shd w:val="clear" w:color="auto" w:fill="FFFFFF"/>
        </w:rPr>
      </w:pPr>
    </w:p>
    <w:p w14:paraId="4BE3C256">
      <w:pPr>
        <w:tabs>
          <w:tab w:val="center" w:pos="4677"/>
          <w:tab w:val="right" w:pos="9354"/>
        </w:tabs>
        <w:jc w:val="center"/>
        <w:rPr>
          <w:rFonts w:ascii="Calibri" w:hAnsi="Calibri" w:eastAsia="宋体"/>
          <w:b/>
          <w:color w:val="auto"/>
          <w:sz w:val="32"/>
          <w:szCs w:val="32"/>
          <w:highlight w:val="none"/>
          <w:shd w:val="clear" w:color="auto" w:fill="FFFFFF"/>
        </w:rPr>
      </w:pPr>
      <w:r>
        <w:rPr>
          <w:rFonts w:hint="eastAsia" w:ascii="Calibri" w:hAnsi="Calibri" w:eastAsia="宋体"/>
          <w:b/>
          <w:color w:val="auto"/>
          <w:sz w:val="32"/>
          <w:szCs w:val="32"/>
          <w:highlight w:val="none"/>
          <w:shd w:val="clear" w:color="auto" w:fill="FFFFFF"/>
        </w:rPr>
        <w:t>住宅工程</w:t>
      </w:r>
      <w:r>
        <w:rPr>
          <w:rFonts w:hint="eastAsia" w:ascii="Calibri" w:hAnsi="Calibri" w:eastAsia="宋体"/>
          <w:b/>
          <w:color w:val="auto"/>
          <w:sz w:val="32"/>
          <w:szCs w:val="32"/>
          <w:highlight w:val="none"/>
          <w:shd w:val="clear" w:color="auto" w:fill="FFFFFF"/>
          <w:lang w:val="en-US" w:eastAsia="zh-CN"/>
        </w:rPr>
        <w:t>质量</w:t>
      </w:r>
      <w:r>
        <w:rPr>
          <w:rFonts w:hint="eastAsia" w:ascii="Calibri" w:hAnsi="Calibri" w:eastAsia="宋体"/>
          <w:b/>
          <w:color w:val="auto"/>
          <w:sz w:val="32"/>
          <w:szCs w:val="32"/>
          <w:highlight w:val="none"/>
          <w:shd w:val="clear" w:color="auto" w:fill="FFFFFF"/>
        </w:rPr>
        <w:t>分户验收观感质量检查验收表填写说明</w:t>
      </w:r>
    </w:p>
    <w:p w14:paraId="137F309C">
      <w:pPr>
        <w:pStyle w:val="9"/>
        <w:keepNext w:val="0"/>
        <w:keepLines w:val="0"/>
        <w:pageBreakBefore w:val="0"/>
        <w:widowControl w:val="0"/>
        <w:kinsoku/>
        <w:wordWrap/>
        <w:overflowPunct/>
        <w:topLinePunct w:val="0"/>
        <w:autoSpaceDE/>
        <w:autoSpaceDN/>
        <w:bidi w:val="0"/>
        <w:adjustRightInd/>
        <w:snapToGrid/>
        <w:spacing w:before="35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1.</w:t>
      </w:r>
      <w:r>
        <w:rPr>
          <w:rFonts w:hint="eastAsia" w:cs="宋体"/>
          <w:color w:val="auto"/>
          <w:sz w:val="24"/>
          <w:szCs w:val="24"/>
          <w:highlight w:val="none"/>
          <w:lang w:eastAsia="zh-CN"/>
        </w:rPr>
        <w:t>本检查表为分户验收观感质量检查的原始记录，应按现场的实际如实填写并妥善保管；</w:t>
      </w:r>
    </w:p>
    <w:p w14:paraId="5476BEF5">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2.</w:t>
      </w:r>
      <w:r>
        <w:rPr>
          <w:rFonts w:hint="eastAsia" w:cs="宋体"/>
          <w:color w:val="auto"/>
          <w:sz w:val="24"/>
          <w:szCs w:val="24"/>
          <w:highlight w:val="none"/>
          <w:lang w:eastAsia="zh-CN"/>
        </w:rPr>
        <w:t>序号1中，应检查地面、墙面和顶棚施工质量水平情况，有无空鼓、开裂、爆灰、脱层、渗漏等质量缺陷并记录有关情况，当出现超过标准允许的空鼓、裂缝等应加以注明；</w:t>
      </w:r>
    </w:p>
    <w:p w14:paraId="4BCC415C">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3.</w:t>
      </w:r>
      <w:r>
        <w:rPr>
          <w:rFonts w:hint="eastAsia" w:cs="宋体"/>
          <w:color w:val="auto"/>
          <w:sz w:val="24"/>
          <w:szCs w:val="24"/>
          <w:highlight w:val="none"/>
          <w:lang w:eastAsia="zh-CN"/>
        </w:rPr>
        <w:t>序号2中，应检查并记录门窗安装是否牢固、开启是否灵活、推拉门窗扇是否有防坠落装置，外门窗淋水试验后检查有无渗水现象；</w:t>
      </w:r>
    </w:p>
    <w:p w14:paraId="315220C9">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4.</w:t>
      </w:r>
      <w:r>
        <w:rPr>
          <w:rFonts w:hint="eastAsia" w:cs="宋体"/>
          <w:color w:val="auto"/>
          <w:sz w:val="24"/>
          <w:szCs w:val="24"/>
          <w:highlight w:val="none"/>
          <w:lang w:eastAsia="zh-CN"/>
        </w:rPr>
        <w:t>序号3中，应检查并记录建筑外门窗是否按设计文件要求采取保温隔热措施，所用的玻璃是否采用了中空或夹胶玻璃等具有节能效果的材料；</w:t>
      </w:r>
    </w:p>
    <w:p w14:paraId="77929DC1">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5.</w:t>
      </w:r>
      <w:r>
        <w:rPr>
          <w:rFonts w:hint="eastAsia" w:cs="宋体"/>
          <w:color w:val="auto"/>
          <w:sz w:val="24"/>
          <w:szCs w:val="24"/>
          <w:highlight w:val="none"/>
          <w:lang w:eastAsia="zh-CN"/>
        </w:rPr>
        <w:t>序号4中，通过预先进行的淋水、蓄水试验，检查并记录阳台、厨房、厕浴间、窗台等有无渗漏情况；</w:t>
      </w:r>
    </w:p>
    <w:p w14:paraId="10AD181F">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6.</w:t>
      </w:r>
      <w:r>
        <w:rPr>
          <w:rFonts w:hint="eastAsia" w:cs="宋体"/>
          <w:color w:val="auto"/>
          <w:sz w:val="24"/>
          <w:szCs w:val="24"/>
          <w:highlight w:val="none"/>
          <w:lang w:eastAsia="zh-CN"/>
        </w:rPr>
        <w:t>序号5中，检查并记录栏杆、护栏的整体安全性能情况，对有潜在使用安全隐患的应据实记录；</w:t>
      </w:r>
    </w:p>
    <w:p w14:paraId="0C76ED4F">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7.</w:t>
      </w:r>
      <w:r>
        <w:rPr>
          <w:rFonts w:hint="eastAsia" w:cs="宋体"/>
          <w:color w:val="auto"/>
          <w:sz w:val="24"/>
          <w:szCs w:val="24"/>
          <w:highlight w:val="none"/>
          <w:lang w:eastAsia="zh-CN"/>
        </w:rPr>
        <w:t>序号6中，检查并记录给排水系统安装质量情况，对有潜在使用安全隐患的应据实记录；</w:t>
      </w:r>
    </w:p>
    <w:p w14:paraId="17C301BF">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8.</w:t>
      </w:r>
      <w:r>
        <w:rPr>
          <w:rFonts w:hint="eastAsia" w:cs="宋体"/>
          <w:color w:val="auto"/>
          <w:sz w:val="24"/>
          <w:szCs w:val="24"/>
          <w:highlight w:val="none"/>
          <w:lang w:eastAsia="zh-CN"/>
        </w:rPr>
        <w:t>序号7中，检查并记录建筑电气安装质量情况，对有潜在使用安全隐患的应据实记录；</w:t>
      </w:r>
    </w:p>
    <w:p w14:paraId="542D5D53">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9.</w:t>
      </w:r>
      <w:r>
        <w:rPr>
          <w:rFonts w:hint="eastAsia" w:cs="宋体"/>
          <w:color w:val="auto"/>
          <w:sz w:val="24"/>
          <w:szCs w:val="24"/>
          <w:highlight w:val="none"/>
          <w:lang w:eastAsia="zh-CN"/>
        </w:rPr>
        <w:t>序号8中，检查并记录智能建筑安装质量情况，对有潜在使用安全隐患的应据实记录；</w:t>
      </w:r>
    </w:p>
    <w:p w14:paraId="77414FCF">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10.</w:t>
      </w:r>
      <w:r>
        <w:rPr>
          <w:rFonts w:hint="eastAsia" w:cs="宋体"/>
          <w:color w:val="auto"/>
          <w:sz w:val="24"/>
          <w:szCs w:val="24"/>
          <w:highlight w:val="none"/>
          <w:lang w:eastAsia="zh-CN"/>
        </w:rPr>
        <w:t>按照工程实际情况，分户验收涉及的内容，在表中方框内填“√”，否则留空。</w:t>
      </w:r>
    </w:p>
    <w:p w14:paraId="428720A9">
      <w:pPr>
        <w:widowControl/>
        <w:jc w:val="left"/>
        <w:rPr>
          <w:rFonts w:ascii="Calibri" w:hAnsi="Calibri" w:eastAsia="宋体"/>
          <w:color w:val="auto"/>
          <w:sz w:val="16"/>
          <w:szCs w:val="16"/>
          <w:highlight w:val="none"/>
          <w:shd w:val="clear" w:color="auto" w:fill="FFFFFF"/>
        </w:rPr>
      </w:pPr>
      <w:r>
        <w:rPr>
          <w:rFonts w:ascii="Calibri" w:hAnsi="Calibri" w:eastAsia="宋体"/>
          <w:color w:val="auto"/>
          <w:sz w:val="16"/>
          <w:szCs w:val="16"/>
          <w:highlight w:val="none"/>
          <w:shd w:val="clear" w:color="auto" w:fill="FFFFFF"/>
        </w:rPr>
        <w:br w:type="page"/>
      </w:r>
    </w:p>
    <w:p w14:paraId="3992E235">
      <w:pPr>
        <w:keepNext/>
        <w:keepLines/>
        <w:jc w:val="center"/>
        <w:outlineLvl w:val="1"/>
        <w:rPr>
          <w:rFonts w:hint="default" w:ascii="Times New Roman" w:hAnsi="Times New Roman" w:eastAsia="宋体"/>
          <w:b/>
          <w:bCs/>
          <w:color w:val="auto"/>
          <w:kern w:val="0"/>
          <w:szCs w:val="21"/>
          <w:highlight w:val="none"/>
          <w:lang w:val="en-US" w:eastAsia="zh-CN"/>
        </w:rPr>
      </w:pPr>
      <w:bookmarkStart w:id="412" w:name="_Toc4939"/>
      <w:bookmarkStart w:id="413" w:name="_Toc4682"/>
      <w:bookmarkStart w:id="414" w:name="_Toc2733"/>
      <w:bookmarkStart w:id="415" w:name="_Toc8835"/>
      <w:bookmarkStart w:id="416" w:name="_Toc24051"/>
      <w:bookmarkStart w:id="417" w:name="_Toc13554"/>
      <w:r>
        <w:rPr>
          <w:rFonts w:hint="eastAsia" w:ascii="Times New Roman" w:hAnsi="Times New Roman" w:eastAsia="宋体"/>
          <w:b/>
          <w:bCs/>
          <w:color w:val="auto"/>
          <w:kern w:val="0"/>
          <w:szCs w:val="21"/>
          <w:highlight w:val="none"/>
          <w:lang w:val="en-US" w:eastAsia="zh-CN"/>
        </w:rPr>
        <w:t>附录E 住宅工程质量分户验收记录表（四）</w:t>
      </w:r>
      <w:bookmarkEnd w:id="412"/>
      <w:bookmarkEnd w:id="413"/>
      <w:bookmarkEnd w:id="414"/>
      <w:bookmarkEnd w:id="415"/>
      <w:bookmarkEnd w:id="416"/>
      <w:bookmarkEnd w:id="417"/>
    </w:p>
    <w:p w14:paraId="4AA7E91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right"/>
        <w:textAlignment w:val="auto"/>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---公共部分</w:t>
      </w:r>
    </w:p>
    <w:tbl>
      <w:tblPr>
        <w:tblStyle w:val="27"/>
        <w:tblpPr w:leftFromText="180" w:rightFromText="180" w:vertAnchor="text" w:horzAnchor="page" w:tblpX="1432" w:tblpY="129"/>
        <w:tblOverlap w:val="never"/>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342"/>
        <w:gridCol w:w="2610"/>
        <w:gridCol w:w="288"/>
        <w:gridCol w:w="1134"/>
        <w:gridCol w:w="1188"/>
        <w:gridCol w:w="712"/>
        <w:gridCol w:w="1900"/>
      </w:tblGrid>
      <w:tr w14:paraId="718D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8" w:type="dxa"/>
            <w:gridSpan w:val="2"/>
            <w:noWrap w:val="0"/>
            <w:vAlign w:val="center"/>
          </w:tcPr>
          <w:p w14:paraId="02E5D976">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bCs/>
                <w:color w:val="auto"/>
                <w:szCs w:val="21"/>
                <w:highlight w:val="none"/>
                <w:shd w:val="clear" w:color="auto" w:fill="FFFFFF"/>
              </w:rPr>
            </w:pPr>
            <w:r>
              <w:rPr>
                <w:rFonts w:hint="eastAsia" w:ascii="Calibri" w:hAnsi="Calibri" w:eastAsia="宋体"/>
                <w:b w:val="0"/>
                <w:bCs/>
                <w:color w:val="auto"/>
                <w:sz w:val="21"/>
                <w:szCs w:val="21"/>
                <w:highlight w:val="none"/>
                <w:shd w:val="clear" w:color="auto" w:fill="FFFFFF"/>
                <w:lang w:val="en-US" w:eastAsia="zh-CN"/>
              </w:rPr>
              <w:t>单</w:t>
            </w:r>
            <w:r>
              <w:rPr>
                <w:rFonts w:hint="eastAsia" w:ascii="Calibri" w:hAnsi="Calibri" w:eastAsia="宋体"/>
                <w:bCs/>
                <w:color w:val="auto"/>
                <w:szCs w:val="21"/>
                <w:highlight w:val="none"/>
                <w:shd w:val="clear" w:color="auto" w:fill="FFFFFF"/>
              </w:rPr>
              <w:t>位（子单位）</w:t>
            </w:r>
          </w:p>
          <w:p w14:paraId="6813932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Calibri" w:hAnsi="Calibri" w:eastAsia="宋体"/>
                <w:bCs/>
                <w:color w:val="auto"/>
                <w:szCs w:val="21"/>
                <w:highlight w:val="none"/>
                <w:shd w:val="clear" w:color="auto" w:fill="FFFFFF"/>
              </w:rPr>
              <w:t>工程名称</w:t>
            </w:r>
          </w:p>
        </w:tc>
        <w:tc>
          <w:tcPr>
            <w:tcW w:w="8174" w:type="dxa"/>
            <w:gridSpan w:val="7"/>
            <w:noWrap w:val="0"/>
            <w:vAlign w:val="center"/>
          </w:tcPr>
          <w:p w14:paraId="4B01317C">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Cs w:val="24"/>
                <w:highlight w:val="none"/>
              </w:rPr>
            </w:pPr>
          </w:p>
        </w:tc>
      </w:tr>
      <w:tr w14:paraId="771D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8" w:type="dxa"/>
            <w:gridSpan w:val="2"/>
            <w:noWrap w:val="0"/>
            <w:vAlign w:val="center"/>
          </w:tcPr>
          <w:p w14:paraId="691C42D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建设单位</w:t>
            </w:r>
          </w:p>
        </w:tc>
        <w:tc>
          <w:tcPr>
            <w:tcW w:w="3240" w:type="dxa"/>
            <w:gridSpan w:val="3"/>
            <w:noWrap w:val="0"/>
            <w:vAlign w:val="center"/>
          </w:tcPr>
          <w:p w14:paraId="41C8013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134" w:type="dxa"/>
            <w:noWrap w:val="0"/>
            <w:vAlign w:val="center"/>
          </w:tcPr>
          <w:p w14:paraId="1AB7FD4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施工单位</w:t>
            </w:r>
          </w:p>
        </w:tc>
        <w:tc>
          <w:tcPr>
            <w:tcW w:w="3800" w:type="dxa"/>
            <w:gridSpan w:val="3"/>
            <w:noWrap w:val="0"/>
            <w:vAlign w:val="center"/>
          </w:tcPr>
          <w:p w14:paraId="07503F8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6B79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8" w:type="dxa"/>
            <w:gridSpan w:val="2"/>
            <w:noWrap w:val="0"/>
            <w:vAlign w:val="center"/>
          </w:tcPr>
          <w:p w14:paraId="5E95C828">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监理单位</w:t>
            </w:r>
          </w:p>
        </w:tc>
        <w:tc>
          <w:tcPr>
            <w:tcW w:w="3240" w:type="dxa"/>
            <w:gridSpan w:val="3"/>
            <w:noWrap w:val="0"/>
            <w:vAlign w:val="center"/>
          </w:tcPr>
          <w:p w14:paraId="6D218AA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134" w:type="dxa"/>
            <w:noWrap w:val="0"/>
            <w:vAlign w:val="center"/>
          </w:tcPr>
          <w:p w14:paraId="78DF6DF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olor w:val="auto"/>
                <w:szCs w:val="24"/>
                <w:highlight w:val="none"/>
                <w:lang w:val="en-US" w:eastAsia="zh-CN"/>
              </w:rPr>
            </w:pPr>
            <w:r>
              <w:rPr>
                <w:rFonts w:hint="eastAsia" w:ascii="宋体" w:hAnsi="宋体" w:eastAsia="宋体"/>
                <w:color w:val="auto"/>
                <w:szCs w:val="24"/>
                <w:highlight w:val="none"/>
                <w:lang w:val="en-US" w:eastAsia="zh-CN"/>
              </w:rPr>
              <w:t>设计单位</w:t>
            </w:r>
          </w:p>
        </w:tc>
        <w:tc>
          <w:tcPr>
            <w:tcW w:w="3800" w:type="dxa"/>
            <w:gridSpan w:val="3"/>
            <w:noWrap w:val="0"/>
            <w:vAlign w:val="center"/>
          </w:tcPr>
          <w:p w14:paraId="2E75935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5F62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48" w:type="dxa"/>
            <w:noWrap w:val="0"/>
            <w:vAlign w:val="center"/>
          </w:tcPr>
          <w:p w14:paraId="1B57E3D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序号</w:t>
            </w:r>
          </w:p>
        </w:tc>
        <w:tc>
          <w:tcPr>
            <w:tcW w:w="1620" w:type="dxa"/>
            <w:noWrap w:val="0"/>
            <w:vAlign w:val="center"/>
          </w:tcPr>
          <w:p w14:paraId="05004C5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验收内容</w:t>
            </w:r>
          </w:p>
        </w:tc>
        <w:tc>
          <w:tcPr>
            <w:tcW w:w="4374" w:type="dxa"/>
            <w:gridSpan w:val="4"/>
            <w:noWrap w:val="0"/>
            <w:vAlign w:val="center"/>
          </w:tcPr>
          <w:p w14:paraId="424A413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验收情况</w:t>
            </w:r>
          </w:p>
        </w:tc>
        <w:tc>
          <w:tcPr>
            <w:tcW w:w="1900" w:type="dxa"/>
            <w:gridSpan w:val="2"/>
            <w:noWrap w:val="0"/>
            <w:vAlign w:val="center"/>
          </w:tcPr>
          <w:p w14:paraId="75D422B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Calibri" w:hAnsi="Calibri" w:eastAsia="宋体"/>
                <w:color w:val="auto"/>
                <w:szCs w:val="21"/>
                <w:highlight w:val="none"/>
              </w:rPr>
              <w:t>存在问题记录</w:t>
            </w:r>
          </w:p>
        </w:tc>
        <w:tc>
          <w:tcPr>
            <w:tcW w:w="1900" w:type="dxa"/>
            <w:noWrap w:val="0"/>
            <w:vAlign w:val="center"/>
          </w:tcPr>
          <w:p w14:paraId="3461AB3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Calibri" w:hAnsi="Calibri" w:eastAsia="宋体"/>
                <w:color w:val="auto"/>
                <w:szCs w:val="21"/>
                <w:highlight w:val="none"/>
              </w:rPr>
              <w:t>整改情况</w:t>
            </w:r>
          </w:p>
        </w:tc>
      </w:tr>
      <w:tr w14:paraId="100B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48" w:type="dxa"/>
            <w:noWrap w:val="0"/>
            <w:vAlign w:val="center"/>
          </w:tcPr>
          <w:p w14:paraId="0AAC9E7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1</w:t>
            </w:r>
          </w:p>
        </w:tc>
        <w:tc>
          <w:tcPr>
            <w:tcW w:w="1620" w:type="dxa"/>
            <w:noWrap w:val="0"/>
            <w:vAlign w:val="center"/>
          </w:tcPr>
          <w:p w14:paraId="257555B9">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lang w:eastAsia="zh-CN"/>
              </w:rPr>
            </w:pPr>
            <w:r>
              <w:rPr>
                <w:rFonts w:hint="eastAsia" w:ascii="宋体" w:hAnsi="新宋体" w:eastAsia="宋体"/>
                <w:color w:val="auto"/>
                <w:szCs w:val="21"/>
                <w:highlight w:val="none"/>
                <w:lang w:val="en-US" w:eastAsia="zh-CN"/>
              </w:rPr>
              <w:t>楼梯</w:t>
            </w:r>
          </w:p>
        </w:tc>
        <w:tc>
          <w:tcPr>
            <w:tcW w:w="4374" w:type="dxa"/>
            <w:gridSpan w:val="4"/>
            <w:noWrap w:val="0"/>
            <w:vAlign w:val="center"/>
          </w:tcPr>
          <w:p w14:paraId="7A1530F8">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踏步高度、宽度及防滑措施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平台上部及下部过道处的净高</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梯段处净高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梯段净宽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平台净宽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梯间门及前室门的开启方向</w:t>
            </w:r>
          </w:p>
        </w:tc>
        <w:tc>
          <w:tcPr>
            <w:tcW w:w="1900" w:type="dxa"/>
            <w:gridSpan w:val="2"/>
            <w:noWrap w:val="0"/>
            <w:vAlign w:val="center"/>
          </w:tcPr>
          <w:p w14:paraId="3A9A40A3">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u w:val="single"/>
              </w:rPr>
            </w:pPr>
          </w:p>
        </w:tc>
        <w:tc>
          <w:tcPr>
            <w:tcW w:w="1900" w:type="dxa"/>
            <w:noWrap w:val="0"/>
            <w:vAlign w:val="center"/>
          </w:tcPr>
          <w:p w14:paraId="161180E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662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648" w:type="dxa"/>
            <w:noWrap w:val="0"/>
            <w:vAlign w:val="center"/>
          </w:tcPr>
          <w:p w14:paraId="697B6B58">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2</w:t>
            </w:r>
          </w:p>
        </w:tc>
        <w:tc>
          <w:tcPr>
            <w:tcW w:w="1620" w:type="dxa"/>
            <w:noWrap w:val="0"/>
            <w:vAlign w:val="center"/>
          </w:tcPr>
          <w:p w14:paraId="57267589">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lang w:eastAsia="zh-CN"/>
              </w:rPr>
            </w:pPr>
            <w:r>
              <w:rPr>
                <w:rFonts w:hint="eastAsia" w:ascii="宋体" w:hAnsi="宋体" w:eastAsia="宋体"/>
                <w:color w:val="auto"/>
                <w:szCs w:val="24"/>
                <w:highlight w:val="none"/>
                <w:lang w:val="en-US" w:eastAsia="zh-CN"/>
              </w:rPr>
              <w:t>电梯</w:t>
            </w:r>
          </w:p>
        </w:tc>
        <w:tc>
          <w:tcPr>
            <w:tcW w:w="4374" w:type="dxa"/>
            <w:gridSpan w:val="4"/>
            <w:noWrap w:val="0"/>
            <w:vAlign w:val="center"/>
          </w:tcPr>
          <w:p w14:paraId="1E20F1CD">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sz w:val="18"/>
                <w:szCs w:val="18"/>
                <w:highlight w:val="none"/>
                <w:lang w:eastAsia="zh-CN"/>
              </w:rPr>
              <w:t>候梯厅深度不得小于1.5m且不应小于电梯最大轿厢的深度</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消防电梯前室的短边不应小于2.4m</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担架电梯应满足担架通过</w:t>
            </w:r>
          </w:p>
          <w:p w14:paraId="541F1154">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至少一部电梯为无障碍电梯</w:t>
            </w:r>
            <w:r>
              <w:rPr>
                <w:rFonts w:hint="eastAsia" w:ascii="宋体" w:hAnsi="宋体" w:eastAsia="宋体"/>
                <w:color w:val="auto"/>
                <w:sz w:val="18"/>
                <w:szCs w:val="18"/>
                <w:highlight w:val="none"/>
              </w:rPr>
              <w:t xml:space="preserve">  </w:t>
            </w:r>
          </w:p>
          <w:p w14:paraId="6784999A">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无障碍电梯的轿厢应符合无障碍电梯设计要求</w:t>
            </w:r>
            <w:r>
              <w:rPr>
                <w:rFonts w:hint="eastAsia" w:ascii="宋体" w:hAnsi="宋体" w:eastAsia="宋体"/>
                <w:color w:val="auto"/>
                <w:sz w:val="18"/>
                <w:szCs w:val="18"/>
                <w:highlight w:val="none"/>
              </w:rPr>
              <w:t xml:space="preserve"> </w:t>
            </w:r>
          </w:p>
        </w:tc>
        <w:tc>
          <w:tcPr>
            <w:tcW w:w="1900" w:type="dxa"/>
            <w:gridSpan w:val="2"/>
            <w:noWrap w:val="0"/>
            <w:vAlign w:val="center"/>
          </w:tcPr>
          <w:p w14:paraId="73A435A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02934F5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3E51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648" w:type="dxa"/>
            <w:noWrap w:val="0"/>
            <w:vAlign w:val="center"/>
          </w:tcPr>
          <w:p w14:paraId="1277BCC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3</w:t>
            </w:r>
          </w:p>
        </w:tc>
        <w:tc>
          <w:tcPr>
            <w:tcW w:w="1620" w:type="dxa"/>
            <w:noWrap w:val="0"/>
            <w:vAlign w:val="center"/>
          </w:tcPr>
          <w:p w14:paraId="02F22629">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Calibri" w:hAnsi="Calibri" w:eastAsia="宋体"/>
                <w:color w:val="auto"/>
                <w:szCs w:val="24"/>
                <w:highlight w:val="none"/>
                <w:lang w:val="en-US" w:eastAsia="zh-CN"/>
              </w:rPr>
            </w:pPr>
            <w:r>
              <w:rPr>
                <w:rFonts w:hint="eastAsia" w:ascii="宋体" w:hAnsi="宋体" w:eastAsia="宋体"/>
                <w:color w:val="auto"/>
                <w:szCs w:val="24"/>
                <w:highlight w:val="none"/>
                <w:lang w:val="en-US" w:eastAsia="zh-CN"/>
              </w:rPr>
              <w:t>公用走道</w:t>
            </w:r>
          </w:p>
        </w:tc>
        <w:tc>
          <w:tcPr>
            <w:tcW w:w="4374" w:type="dxa"/>
            <w:gridSpan w:val="4"/>
            <w:noWrap w:val="0"/>
            <w:vAlign w:val="center"/>
          </w:tcPr>
          <w:p w14:paraId="2A563B52">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走廊和公共部位通道的净宽不小于1.2m</w:t>
            </w:r>
            <w:r>
              <w:rPr>
                <w:rFonts w:hint="eastAsia" w:ascii="宋体" w:hAnsi="宋体" w:eastAsia="宋体"/>
                <w:color w:val="auto"/>
                <w:sz w:val="18"/>
                <w:szCs w:val="18"/>
                <w:highlight w:val="none"/>
              </w:rPr>
              <w:t xml:space="preserve">  </w:t>
            </w:r>
          </w:p>
          <w:p w14:paraId="4FC2032E">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公用走道净高度不应低于2.10m</w:t>
            </w:r>
            <w:r>
              <w:rPr>
                <w:rFonts w:hint="eastAsia" w:ascii="宋体" w:hAnsi="宋体" w:eastAsia="宋体"/>
                <w:color w:val="auto"/>
                <w:sz w:val="18"/>
                <w:szCs w:val="18"/>
                <w:highlight w:val="none"/>
              </w:rPr>
              <w:t xml:space="preserve">  </w:t>
            </w:r>
          </w:p>
        </w:tc>
        <w:tc>
          <w:tcPr>
            <w:tcW w:w="1900" w:type="dxa"/>
            <w:gridSpan w:val="2"/>
            <w:noWrap w:val="0"/>
            <w:vAlign w:val="center"/>
          </w:tcPr>
          <w:p w14:paraId="10DBD8C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40AB2F7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7BF6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648" w:type="dxa"/>
            <w:noWrap w:val="0"/>
            <w:vAlign w:val="center"/>
          </w:tcPr>
          <w:p w14:paraId="0B492B36">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4</w:t>
            </w:r>
          </w:p>
        </w:tc>
        <w:tc>
          <w:tcPr>
            <w:tcW w:w="1620" w:type="dxa"/>
            <w:noWrap w:val="0"/>
            <w:vAlign w:val="center"/>
          </w:tcPr>
          <w:p w14:paraId="6636335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入口门厅及首层疏散外门</w:t>
            </w:r>
          </w:p>
        </w:tc>
        <w:tc>
          <w:tcPr>
            <w:tcW w:w="4374" w:type="dxa"/>
            <w:gridSpan w:val="4"/>
            <w:noWrap w:val="0"/>
            <w:vAlign w:val="center"/>
          </w:tcPr>
          <w:p w14:paraId="01C336BB">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净高</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防止物体坠落伤人的安全措施</w:t>
            </w:r>
            <w:r>
              <w:rPr>
                <w:rFonts w:hint="eastAsia" w:ascii="宋体" w:hAnsi="宋体" w:eastAsia="宋体" w:cs="Times New Roman"/>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标识</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安装有门禁系统的外门应保证火灾时不需使用钥匙等任何工具即能从内部易于打开，在显著位置</w:t>
            </w:r>
            <w:r>
              <w:rPr>
                <w:rFonts w:hint="eastAsia" w:ascii="宋体" w:hAnsi="宋体" w:eastAsia="宋体" w:cs="Times New Roman"/>
                <w:color w:val="auto"/>
                <w:sz w:val="18"/>
                <w:szCs w:val="18"/>
                <w:highlight w:val="none"/>
                <w:lang w:val="en-US" w:eastAsia="zh-CN"/>
              </w:rPr>
              <w:t>应</w:t>
            </w:r>
            <w:r>
              <w:rPr>
                <w:rFonts w:hint="eastAsia" w:ascii="宋体" w:hAnsi="宋体" w:eastAsia="宋体" w:cs="Times New Roman"/>
                <w:color w:val="auto"/>
                <w:sz w:val="18"/>
                <w:szCs w:val="18"/>
                <w:highlight w:val="none"/>
                <w:lang w:eastAsia="zh-CN"/>
              </w:rPr>
              <w:t>设置具有使用提示的标识</w:t>
            </w:r>
          </w:p>
          <w:p w14:paraId="60260DC6">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首层疏散门应外开，其净宽度不应小于1.10m</w:t>
            </w:r>
          </w:p>
        </w:tc>
        <w:tc>
          <w:tcPr>
            <w:tcW w:w="1900" w:type="dxa"/>
            <w:gridSpan w:val="2"/>
            <w:noWrap w:val="0"/>
            <w:vAlign w:val="center"/>
          </w:tcPr>
          <w:p w14:paraId="2A071E9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1D99914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0093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648" w:type="dxa"/>
            <w:noWrap w:val="0"/>
            <w:vAlign w:val="center"/>
          </w:tcPr>
          <w:p w14:paraId="786F5AD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5</w:t>
            </w:r>
          </w:p>
        </w:tc>
        <w:tc>
          <w:tcPr>
            <w:tcW w:w="1620" w:type="dxa"/>
            <w:noWrap w:val="0"/>
            <w:vAlign w:val="center"/>
          </w:tcPr>
          <w:p w14:paraId="60B98D2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地下室</w:t>
            </w:r>
          </w:p>
        </w:tc>
        <w:tc>
          <w:tcPr>
            <w:tcW w:w="4374" w:type="dxa"/>
            <w:gridSpan w:val="4"/>
            <w:noWrap w:val="0"/>
            <w:vAlign w:val="center"/>
          </w:tcPr>
          <w:p w14:paraId="6A359BCA">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eastAsia="zh-CN"/>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人行通道、自行车库和设备用房的净高度不小于2.10m</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机动车库车道及车位净高不应低于2.20m</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墙面无渗漏</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墙面无裂缝</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天棚无渗漏</w:t>
            </w:r>
            <w:r>
              <w:rPr>
                <w:rFonts w:hint="eastAsia" w:ascii="宋体" w:hAnsi="宋体" w:eastAsia="宋体" w:cs="Times New Roman"/>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天棚无裂缝</w:t>
            </w:r>
            <w:r>
              <w:rPr>
                <w:rFonts w:hint="eastAsia" w:ascii="宋体" w:hAnsi="宋体" w:eastAsia="宋体"/>
                <w:color w:val="auto"/>
                <w:sz w:val="18"/>
                <w:szCs w:val="18"/>
                <w:highlight w:val="none"/>
              </w:rPr>
              <w:t xml:space="preserve">    □排污泵</w:t>
            </w:r>
            <w:r>
              <w:rPr>
                <w:rFonts w:hint="eastAsia" w:ascii="宋体" w:hAnsi="宋体" w:eastAsia="宋体"/>
                <w:color w:val="auto"/>
                <w:sz w:val="18"/>
                <w:szCs w:val="18"/>
                <w:highlight w:val="none"/>
                <w:lang w:val="en-US" w:eastAsia="zh-CN"/>
              </w:rPr>
              <w:t>运行正常</w:t>
            </w:r>
          </w:p>
        </w:tc>
        <w:tc>
          <w:tcPr>
            <w:tcW w:w="1900" w:type="dxa"/>
            <w:gridSpan w:val="2"/>
            <w:noWrap w:val="0"/>
            <w:vAlign w:val="center"/>
          </w:tcPr>
          <w:p w14:paraId="3034D9D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5E155CE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5788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648" w:type="dxa"/>
            <w:noWrap w:val="0"/>
            <w:vAlign w:val="center"/>
          </w:tcPr>
          <w:p w14:paraId="0BE4EC5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6</w:t>
            </w:r>
          </w:p>
        </w:tc>
        <w:tc>
          <w:tcPr>
            <w:tcW w:w="1620" w:type="dxa"/>
            <w:noWrap w:val="0"/>
            <w:vAlign w:val="center"/>
          </w:tcPr>
          <w:p w14:paraId="0561B0F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屋面</w:t>
            </w:r>
          </w:p>
        </w:tc>
        <w:tc>
          <w:tcPr>
            <w:tcW w:w="4374" w:type="dxa"/>
            <w:gridSpan w:val="4"/>
            <w:noWrap w:val="0"/>
            <w:vAlign w:val="center"/>
          </w:tcPr>
          <w:p w14:paraId="3F2CB9B5">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排水</w:t>
            </w:r>
            <w:r>
              <w:rPr>
                <w:rFonts w:hint="eastAsia" w:ascii="宋体" w:hAnsi="宋体" w:eastAsia="宋体" w:cs="Times New Roman"/>
                <w:color w:val="auto"/>
                <w:sz w:val="18"/>
                <w:szCs w:val="18"/>
                <w:highlight w:val="none"/>
                <w:lang w:val="en-US" w:eastAsia="zh-CN"/>
              </w:rPr>
              <w:t xml:space="preserve">畅通  </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val="en-US" w:eastAsia="zh-CN"/>
              </w:rPr>
              <w:t>排水</w:t>
            </w:r>
            <w:r>
              <w:rPr>
                <w:rFonts w:hint="eastAsia" w:ascii="宋体" w:hAnsi="宋体" w:eastAsia="宋体" w:cs="Times New Roman"/>
                <w:color w:val="auto"/>
                <w:sz w:val="18"/>
                <w:szCs w:val="18"/>
                <w:highlight w:val="none"/>
                <w:lang w:eastAsia="zh-CN"/>
              </w:rPr>
              <w:t>坡度</w:t>
            </w:r>
            <w:r>
              <w:rPr>
                <w:rFonts w:hint="eastAsia" w:ascii="宋体" w:hAnsi="宋体" w:eastAsia="宋体" w:cs="Times New Roman"/>
                <w:color w:val="auto"/>
                <w:sz w:val="18"/>
                <w:szCs w:val="18"/>
                <w:highlight w:val="none"/>
                <w:lang w:val="en-US" w:eastAsia="zh-CN"/>
              </w:rPr>
              <w:t>满足要求</w:t>
            </w:r>
          </w:p>
          <w:p w14:paraId="488CBB2D">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上人屋面女儿墙及栏杆</w:t>
            </w:r>
            <w:r>
              <w:rPr>
                <w:rFonts w:hint="eastAsia" w:ascii="宋体" w:hAnsi="宋体" w:eastAsia="宋体" w:cs="Times New Roman"/>
                <w:color w:val="auto"/>
                <w:sz w:val="18"/>
                <w:szCs w:val="18"/>
                <w:highlight w:val="none"/>
                <w:lang w:val="en-US" w:eastAsia="zh-CN"/>
              </w:rPr>
              <w:t>净</w:t>
            </w:r>
            <w:r>
              <w:rPr>
                <w:rFonts w:hint="eastAsia" w:ascii="宋体" w:hAnsi="宋体" w:eastAsia="宋体" w:cs="Times New Roman"/>
                <w:color w:val="auto"/>
                <w:sz w:val="18"/>
                <w:szCs w:val="18"/>
                <w:highlight w:val="none"/>
                <w:lang w:eastAsia="zh-CN"/>
              </w:rPr>
              <w:t>高度</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≥1.2m</w:t>
            </w:r>
            <w:r>
              <w:rPr>
                <w:rFonts w:hint="eastAsia" w:ascii="宋体" w:hAnsi="宋体" w:eastAsia="宋体"/>
                <w:color w:val="auto"/>
                <w:sz w:val="18"/>
                <w:szCs w:val="18"/>
                <w:highlight w:val="none"/>
              </w:rPr>
              <w:t xml:space="preserve"> </w:t>
            </w:r>
          </w:p>
        </w:tc>
        <w:tc>
          <w:tcPr>
            <w:tcW w:w="1900" w:type="dxa"/>
            <w:gridSpan w:val="2"/>
            <w:noWrap w:val="0"/>
            <w:vAlign w:val="center"/>
          </w:tcPr>
          <w:p w14:paraId="2D3BD6A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25B5C60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6F13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8" w:type="dxa"/>
            <w:noWrap w:val="0"/>
            <w:vAlign w:val="center"/>
          </w:tcPr>
          <w:p w14:paraId="3296B6E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1"/>
                <w:highlight w:val="none"/>
                <w:shd w:val="clear" w:color="auto" w:fill="FFFFFF"/>
                <w:lang w:val="en-US" w:eastAsia="zh-CN"/>
              </w:rPr>
              <w:t>7</w:t>
            </w:r>
          </w:p>
        </w:tc>
        <w:tc>
          <w:tcPr>
            <w:tcW w:w="1620" w:type="dxa"/>
            <w:noWrap w:val="0"/>
            <w:vAlign w:val="center"/>
          </w:tcPr>
          <w:p w14:paraId="3F000A38">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Cs w:val="24"/>
                <w:highlight w:val="none"/>
              </w:rPr>
              <w:t>无障碍</w:t>
            </w:r>
          </w:p>
        </w:tc>
        <w:tc>
          <w:tcPr>
            <w:tcW w:w="4374" w:type="dxa"/>
            <w:gridSpan w:val="4"/>
            <w:noWrap w:val="0"/>
            <w:vAlign w:val="center"/>
          </w:tcPr>
          <w:p w14:paraId="261178B0">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无障碍坡道通行净宽</w:t>
            </w:r>
            <w:r>
              <w:rPr>
                <w:rFonts w:hint="eastAsia" w:ascii="宋体" w:hAnsi="宋体" w:eastAsia="宋体" w:cs="Times New Roman"/>
                <w:color w:val="auto"/>
                <w:sz w:val="18"/>
                <w:szCs w:val="18"/>
                <w:highlight w:val="none"/>
                <w:lang w:eastAsia="zh-CN"/>
              </w:rPr>
              <w:t>不小于1.2m</w:t>
            </w:r>
            <w:r>
              <w:rPr>
                <w:rFonts w:hint="eastAsia" w:ascii="宋体" w:hAnsi="宋体" w:eastAsia="宋体"/>
                <w:color w:val="auto"/>
                <w:sz w:val="18"/>
                <w:szCs w:val="18"/>
                <w:highlight w:val="none"/>
              </w:rPr>
              <w:t xml:space="preserve"> </w:t>
            </w:r>
          </w:p>
          <w:p w14:paraId="5EC2D259">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kern w:val="2"/>
                <w:sz w:val="18"/>
                <w:szCs w:val="18"/>
                <w:highlight w:val="none"/>
                <w:lang w:val="en-US" w:eastAsia="zh-CN"/>
              </w:rPr>
            </w:pPr>
            <w:r>
              <w:rPr>
                <w:rFonts w:hint="eastAsia" w:ascii="宋体" w:hAnsi="宋体" w:eastAsia="宋体"/>
                <w:color w:val="auto"/>
                <w:sz w:val="18"/>
                <w:szCs w:val="18"/>
                <w:highlight w:val="none"/>
              </w:rPr>
              <w:t>□</w:t>
            </w:r>
            <w:r>
              <w:rPr>
                <w:rFonts w:hint="eastAsia" w:ascii="宋体" w:hAnsi="宋体" w:eastAsia="宋体" w:cs="Times New Roman"/>
                <w:color w:val="auto"/>
                <w:kern w:val="2"/>
                <w:sz w:val="18"/>
                <w:szCs w:val="18"/>
                <w:highlight w:val="none"/>
              </w:rPr>
              <w:t>纵向坡度</w:t>
            </w:r>
            <w:r>
              <w:rPr>
                <w:rFonts w:hint="eastAsia" w:ascii="宋体" w:hAnsi="宋体" w:eastAsia="宋体" w:cs="Times New Roman"/>
                <w:color w:val="auto"/>
                <w:kern w:val="2"/>
                <w:sz w:val="18"/>
                <w:szCs w:val="18"/>
                <w:highlight w:val="none"/>
                <w:lang w:val="en-US" w:eastAsia="zh-CN"/>
              </w:rPr>
              <w:t>不大于1:12</w:t>
            </w:r>
          </w:p>
          <w:p w14:paraId="1803DF56">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kern w:val="2"/>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无障碍出入口平台的净深度</w:t>
            </w:r>
            <w:r>
              <w:rPr>
                <w:rFonts w:hint="eastAsia" w:ascii="宋体" w:hAnsi="宋体" w:eastAsia="宋体" w:cs="Times New Roman"/>
                <w:color w:val="auto"/>
                <w:sz w:val="18"/>
                <w:szCs w:val="18"/>
                <w:highlight w:val="none"/>
                <w:lang w:eastAsia="zh-CN"/>
              </w:rPr>
              <w:t>不应小于1.</w:t>
            </w:r>
            <w:r>
              <w:rPr>
                <w:rFonts w:hint="eastAsia" w:ascii="宋体" w:hAnsi="宋体" w:eastAsia="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lang w:eastAsia="zh-CN"/>
              </w:rPr>
              <w:t>m</w:t>
            </w:r>
          </w:p>
          <w:p w14:paraId="2107CDE2">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val="en-US"/>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无障碍入口</w:t>
            </w:r>
            <w:r>
              <w:rPr>
                <w:rFonts w:hint="eastAsia" w:ascii="宋体" w:hAnsi="宋体" w:eastAsia="宋体" w:cs="Times New Roman"/>
                <w:color w:val="auto"/>
                <w:kern w:val="2"/>
                <w:sz w:val="18"/>
                <w:szCs w:val="18"/>
                <w:highlight w:val="none"/>
                <w:lang w:val="en-US" w:eastAsia="zh-CN"/>
              </w:rPr>
              <w:t>设置符合要求</w:t>
            </w:r>
          </w:p>
        </w:tc>
        <w:tc>
          <w:tcPr>
            <w:tcW w:w="1900" w:type="dxa"/>
            <w:gridSpan w:val="2"/>
            <w:noWrap w:val="0"/>
            <w:vAlign w:val="center"/>
          </w:tcPr>
          <w:p w14:paraId="4D08A0D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4E7E4BB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3EBA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648" w:type="dxa"/>
            <w:noWrap w:val="0"/>
            <w:vAlign w:val="center"/>
          </w:tcPr>
          <w:p w14:paraId="331D1F2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8</w:t>
            </w:r>
          </w:p>
        </w:tc>
        <w:tc>
          <w:tcPr>
            <w:tcW w:w="1620" w:type="dxa"/>
            <w:noWrap w:val="0"/>
            <w:vAlign w:val="center"/>
          </w:tcPr>
          <w:p w14:paraId="58C0DF0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4"/>
                <w:highlight w:val="none"/>
              </w:rPr>
            </w:pPr>
            <w:r>
              <w:rPr>
                <w:rFonts w:hint="eastAsia" w:ascii="Calibri" w:hAnsi="Calibri" w:eastAsia="宋体"/>
                <w:color w:val="auto"/>
                <w:szCs w:val="24"/>
                <w:highlight w:val="none"/>
              </w:rPr>
              <w:t>公共部位</w:t>
            </w:r>
          </w:p>
          <w:p w14:paraId="4993016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shd w:val="clear" w:color="auto" w:fill="FFFFFF"/>
              </w:rPr>
            </w:pPr>
            <w:r>
              <w:rPr>
                <w:rFonts w:hint="eastAsia" w:ascii="Calibri" w:hAnsi="Calibri" w:eastAsia="宋体"/>
                <w:color w:val="auto"/>
                <w:szCs w:val="24"/>
                <w:highlight w:val="none"/>
              </w:rPr>
              <w:t>装饰装修</w:t>
            </w:r>
          </w:p>
        </w:tc>
        <w:tc>
          <w:tcPr>
            <w:tcW w:w="4374" w:type="dxa"/>
            <w:gridSpan w:val="4"/>
            <w:noWrap w:val="0"/>
            <w:vAlign w:val="center"/>
          </w:tcPr>
          <w:p w14:paraId="351D9BFC">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sz w:val="18"/>
                <w:szCs w:val="18"/>
                <w:highlight w:val="none"/>
                <w:lang w:eastAsia="zh-CN"/>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公共部位的外窗</w:t>
            </w:r>
            <w:r>
              <w:rPr>
                <w:rFonts w:hint="eastAsia" w:ascii="宋体" w:hAnsi="宋体" w:eastAsia="宋体" w:cs="Times New Roman"/>
                <w:color w:val="auto"/>
                <w:kern w:val="2"/>
                <w:sz w:val="18"/>
                <w:szCs w:val="18"/>
                <w:highlight w:val="none"/>
                <w:lang w:val="en-US" w:eastAsia="zh-CN"/>
              </w:rPr>
              <w:t>设置符合要求</w:t>
            </w:r>
          </w:p>
          <w:p w14:paraId="1BED4D6D">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val="en-US"/>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公共部分室内装饰装修，外墙装饰</w:t>
            </w:r>
            <w:r>
              <w:rPr>
                <w:rFonts w:hint="eastAsia" w:ascii="宋体" w:hAnsi="宋体" w:eastAsia="宋体" w:cs="Times New Roman"/>
                <w:color w:val="auto"/>
                <w:sz w:val="18"/>
                <w:szCs w:val="18"/>
                <w:highlight w:val="none"/>
                <w:lang w:val="en-US" w:eastAsia="zh-CN"/>
              </w:rPr>
              <w:t>完成</w:t>
            </w:r>
          </w:p>
        </w:tc>
        <w:tc>
          <w:tcPr>
            <w:tcW w:w="1900" w:type="dxa"/>
            <w:gridSpan w:val="2"/>
            <w:noWrap w:val="0"/>
            <w:vAlign w:val="center"/>
          </w:tcPr>
          <w:p w14:paraId="65DB237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14:paraId="74CA7A9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14:paraId="4B21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268" w:type="dxa"/>
            <w:gridSpan w:val="2"/>
            <w:noWrap w:val="0"/>
            <w:vAlign w:val="center"/>
          </w:tcPr>
          <w:p w14:paraId="6BFA18D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验收结论</w:t>
            </w:r>
          </w:p>
        </w:tc>
        <w:tc>
          <w:tcPr>
            <w:tcW w:w="8174" w:type="dxa"/>
            <w:gridSpan w:val="7"/>
            <w:noWrap w:val="0"/>
            <w:vAlign w:val="center"/>
          </w:tcPr>
          <w:p w14:paraId="0A04A124">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□验收合格              □</w:t>
            </w:r>
            <w:r>
              <w:rPr>
                <w:rFonts w:hint="eastAsia" w:ascii="Calibri" w:hAnsi="Calibri" w:eastAsia="宋体"/>
                <w:color w:val="auto"/>
                <w:szCs w:val="21"/>
                <w:highlight w:val="none"/>
              </w:rPr>
              <w:t>经</w:t>
            </w:r>
            <w:r>
              <w:rPr>
                <w:rFonts w:hint="eastAsia" w:ascii="Calibri" w:hAnsi="Calibri" w:eastAsia="宋体"/>
                <w:color w:val="auto"/>
                <w:szCs w:val="24"/>
                <w:highlight w:val="none"/>
              </w:rPr>
              <w:t>整改后验收合格</w:t>
            </w:r>
          </w:p>
        </w:tc>
      </w:tr>
      <w:tr w14:paraId="3DB2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610" w:type="dxa"/>
            <w:gridSpan w:val="3"/>
            <w:noWrap w:val="0"/>
            <w:vAlign w:val="center"/>
          </w:tcPr>
          <w:p w14:paraId="5E6B1C56">
            <w:pPr>
              <w:spacing w:line="240" w:lineRule="exact"/>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建</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设</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7E02CDE2">
            <w:pPr>
              <w:spacing w:line="240" w:lineRule="exact"/>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p>
        </w:tc>
        <w:tc>
          <w:tcPr>
            <w:tcW w:w="2610" w:type="dxa"/>
            <w:noWrap w:val="0"/>
            <w:vAlign w:val="center"/>
          </w:tcPr>
          <w:p w14:paraId="0B7BD15D">
            <w:pPr>
              <w:spacing w:line="240" w:lineRule="exact"/>
              <w:ind w:firstLine="420" w:firstLineChars="20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监</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理</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775FA747">
            <w:pPr>
              <w:spacing w:line="240" w:lineRule="exact"/>
              <w:ind w:firstLine="420" w:firstLineChars="20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p>
        </w:tc>
        <w:tc>
          <w:tcPr>
            <w:tcW w:w="2610" w:type="dxa"/>
            <w:gridSpan w:val="3"/>
            <w:noWrap w:val="0"/>
            <w:vAlign w:val="center"/>
          </w:tcPr>
          <w:p w14:paraId="2802CEC1">
            <w:pPr>
              <w:spacing w:line="240" w:lineRule="exact"/>
              <w:ind w:firstLine="420" w:firstLineChars="20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施</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工</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14:paraId="1AFFB8EE">
            <w:pPr>
              <w:spacing w:line="240" w:lineRule="exact"/>
              <w:ind w:firstLine="420" w:firstLineChars="20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c>
          <w:tcPr>
            <w:tcW w:w="2612" w:type="dxa"/>
            <w:gridSpan w:val="2"/>
            <w:noWrap w:val="0"/>
            <w:vAlign w:val="center"/>
          </w:tcPr>
          <w:p w14:paraId="3D7C3DB2">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专业分包单位</w:t>
            </w:r>
          </w:p>
          <w:p w14:paraId="339266C5">
            <w:pPr>
              <w:spacing w:line="240" w:lineRule="exact"/>
              <w:ind w:firstLine="0" w:firstLineChars="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r>
      <w:tr w14:paraId="44F3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610" w:type="dxa"/>
            <w:gridSpan w:val="3"/>
            <w:noWrap w:val="0"/>
            <w:vAlign w:val="top"/>
          </w:tcPr>
          <w:p w14:paraId="5E3B39F0">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14:paraId="4DC738A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BBBFC0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E207BF9">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5ABEE84">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61D731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CC825AE">
            <w:pPr>
              <w:widowControl/>
              <w:spacing w:beforeAutospacing="0" w:afterAutospacing="0" w:line="240" w:lineRule="exact"/>
              <w:jc w:val="right"/>
              <w:rPr>
                <w:rFonts w:hint="eastAsia" w:ascii="宋体" w:hAnsi="宋体" w:eastAsia="宋体" w:cs="Times New Roman"/>
                <w:color w:val="auto"/>
                <w:kern w:val="0"/>
                <w:sz w:val="24"/>
                <w:szCs w:val="24"/>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610" w:type="dxa"/>
            <w:noWrap w:val="0"/>
            <w:vAlign w:val="top"/>
          </w:tcPr>
          <w:p w14:paraId="0B04D93E">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14:paraId="7F3F0F4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61CB5D4B">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4329E9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312516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16BA12E1">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940249D">
            <w:pPr>
              <w:spacing w:line="240" w:lineRule="exact"/>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年   月   日</w:t>
            </w:r>
          </w:p>
        </w:tc>
        <w:tc>
          <w:tcPr>
            <w:tcW w:w="2610" w:type="dxa"/>
            <w:gridSpan w:val="3"/>
            <w:noWrap w:val="0"/>
            <w:vAlign w:val="top"/>
          </w:tcPr>
          <w:p w14:paraId="30BC90D9">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455A9FE1">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ADB7453">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ED0AE6A">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472FC297">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E796D78">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7FE98821">
            <w:pPr>
              <w:spacing w:line="240" w:lineRule="exact"/>
              <w:ind w:firstLine="420" w:firstLineChars="200"/>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612" w:type="dxa"/>
            <w:gridSpan w:val="2"/>
            <w:noWrap w:val="0"/>
            <w:vAlign w:val="top"/>
          </w:tcPr>
          <w:p w14:paraId="31D51B0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14:paraId="411FB30F">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5C7FFBF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28937956">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7B136212">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01A38DD0">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14:paraId="4C036BBF">
            <w:pPr>
              <w:spacing w:line="240" w:lineRule="exact"/>
              <w:ind w:firstLine="420" w:firstLineChars="200"/>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14:paraId="4850310F">
      <w:pPr>
        <w:spacing w:line="320" w:lineRule="exact"/>
        <w:jc w:val="both"/>
        <w:rPr>
          <w:rFonts w:hint="eastAsia" w:ascii="宋体" w:hAnsi="宋体" w:eastAsia="宋体"/>
          <w:color w:val="auto"/>
          <w:sz w:val="24"/>
          <w:szCs w:val="24"/>
          <w:highlight w:val="none"/>
        </w:rPr>
      </w:pPr>
    </w:p>
    <w:p w14:paraId="20CD916E">
      <w:pPr>
        <w:spacing w:line="320" w:lineRule="exact"/>
        <w:jc w:val="center"/>
        <w:rPr>
          <w:rFonts w:hint="eastAsia" w:ascii="宋体" w:hAnsi="宋体" w:eastAsia="宋体"/>
          <w:color w:val="auto"/>
          <w:sz w:val="24"/>
          <w:szCs w:val="24"/>
          <w:highlight w:val="none"/>
        </w:rPr>
      </w:pPr>
    </w:p>
    <w:p w14:paraId="2AAE53C4">
      <w:pPr>
        <w:tabs>
          <w:tab w:val="center" w:pos="4677"/>
          <w:tab w:val="right" w:pos="9354"/>
        </w:tabs>
        <w:jc w:val="center"/>
        <w:rPr>
          <w:rFonts w:ascii="Calibri" w:hAnsi="Calibri" w:eastAsia="宋体"/>
          <w:b/>
          <w:color w:val="auto"/>
          <w:sz w:val="32"/>
          <w:szCs w:val="32"/>
          <w:highlight w:val="none"/>
          <w:shd w:val="clear" w:color="auto" w:fill="FFFFFF"/>
        </w:rPr>
      </w:pPr>
      <w:r>
        <w:rPr>
          <w:rFonts w:hint="eastAsia" w:ascii="宋体" w:hAnsi="宋体" w:eastAsia="宋体"/>
          <w:color w:val="auto"/>
          <w:sz w:val="24"/>
          <w:szCs w:val="24"/>
          <w:highlight w:val="none"/>
        </w:rPr>
        <w:t xml:space="preserve"> </w:t>
      </w:r>
      <w:r>
        <w:rPr>
          <w:rFonts w:hint="eastAsia" w:ascii="Calibri" w:hAnsi="Calibri" w:eastAsia="宋体"/>
          <w:b/>
          <w:color w:val="auto"/>
          <w:sz w:val="32"/>
          <w:szCs w:val="32"/>
          <w:highlight w:val="none"/>
          <w:shd w:val="clear" w:color="auto" w:fill="FFFFFF"/>
        </w:rPr>
        <w:t>住宅工程</w:t>
      </w:r>
      <w:r>
        <w:rPr>
          <w:rFonts w:hint="eastAsia" w:ascii="Calibri" w:hAnsi="Calibri" w:eastAsia="宋体"/>
          <w:b/>
          <w:color w:val="auto"/>
          <w:sz w:val="32"/>
          <w:szCs w:val="32"/>
          <w:highlight w:val="none"/>
          <w:shd w:val="clear" w:color="auto" w:fill="FFFFFF"/>
          <w:lang w:val="en-US" w:eastAsia="zh-CN"/>
        </w:rPr>
        <w:t>质量</w:t>
      </w:r>
      <w:r>
        <w:rPr>
          <w:rFonts w:hint="eastAsia" w:ascii="Calibri" w:hAnsi="Calibri" w:eastAsia="宋体"/>
          <w:b/>
          <w:color w:val="auto"/>
          <w:sz w:val="32"/>
          <w:szCs w:val="32"/>
          <w:highlight w:val="none"/>
          <w:shd w:val="clear" w:color="auto" w:fill="FFFFFF"/>
        </w:rPr>
        <w:t>分户验收</w:t>
      </w:r>
      <w:r>
        <w:rPr>
          <w:rFonts w:hint="eastAsia" w:ascii="Calibri" w:hAnsi="Calibri" w:eastAsia="宋体"/>
          <w:b/>
          <w:color w:val="auto"/>
          <w:sz w:val="32"/>
          <w:szCs w:val="32"/>
          <w:highlight w:val="none"/>
          <w:shd w:val="clear" w:color="auto" w:fill="FFFFFF"/>
          <w:lang w:val="en-US" w:eastAsia="zh-CN"/>
        </w:rPr>
        <w:t>公共部分</w:t>
      </w:r>
      <w:r>
        <w:rPr>
          <w:rFonts w:hint="eastAsia" w:ascii="Calibri" w:hAnsi="Calibri" w:eastAsia="宋体"/>
          <w:b/>
          <w:color w:val="auto"/>
          <w:sz w:val="32"/>
          <w:szCs w:val="32"/>
          <w:highlight w:val="none"/>
          <w:shd w:val="clear" w:color="auto" w:fill="FFFFFF"/>
        </w:rPr>
        <w:t>检查验收表填写说明</w:t>
      </w:r>
    </w:p>
    <w:p w14:paraId="1F040797">
      <w:pPr>
        <w:rPr>
          <w:rFonts w:hint="eastAsia" w:ascii="仿宋_GB2312" w:hAnsi="宋体" w:eastAsia="仿宋_GB2312"/>
          <w:color w:val="auto"/>
          <w:sz w:val="24"/>
          <w:szCs w:val="24"/>
          <w:highlight w:val="none"/>
        </w:rPr>
      </w:pPr>
    </w:p>
    <w:p w14:paraId="15656235">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1.</w:t>
      </w:r>
      <w:r>
        <w:rPr>
          <w:rFonts w:hint="eastAsia" w:cs="宋体"/>
          <w:color w:val="auto"/>
          <w:sz w:val="24"/>
          <w:szCs w:val="24"/>
          <w:highlight w:val="none"/>
          <w:lang w:eastAsia="zh-CN"/>
        </w:rPr>
        <w:t>本表一式一份，一个单位工程公共部分验收填写一份表格。</w:t>
      </w:r>
    </w:p>
    <w:p w14:paraId="5FC7EF80">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2.</w:t>
      </w:r>
      <w:r>
        <w:rPr>
          <w:rFonts w:hint="eastAsia" w:cs="宋体"/>
          <w:color w:val="auto"/>
          <w:sz w:val="24"/>
          <w:szCs w:val="24"/>
          <w:highlight w:val="none"/>
          <w:lang w:eastAsia="zh-CN"/>
        </w:rPr>
        <w:t>本表由施工单位记录填写，监理单位对填写内容进行核实，相关单位参加验收人员签字。</w:t>
      </w:r>
    </w:p>
    <w:p w14:paraId="7BB26B55">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3.</w:t>
      </w:r>
      <w:r>
        <w:rPr>
          <w:rFonts w:hint="eastAsia" w:cs="宋体"/>
          <w:color w:val="auto"/>
          <w:sz w:val="24"/>
          <w:szCs w:val="24"/>
          <w:highlight w:val="none"/>
          <w:lang w:eastAsia="zh-CN"/>
        </w:rPr>
        <w:t>公共部分指门厅、楼梯间、通道、地下室、裙楼和屋面等。</w:t>
      </w:r>
    </w:p>
    <w:p w14:paraId="4F7C9827">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4.</w:t>
      </w:r>
      <w:r>
        <w:rPr>
          <w:rFonts w:hint="eastAsia" w:cs="宋体"/>
          <w:color w:val="auto"/>
          <w:sz w:val="24"/>
          <w:szCs w:val="24"/>
          <w:highlight w:val="none"/>
          <w:lang w:eastAsia="zh-CN"/>
        </w:rPr>
        <w:t>公共部分验收有关验收方法、要求和标准可参照住宅工程质量分户验收内容及要求进行。</w:t>
      </w:r>
    </w:p>
    <w:p w14:paraId="33330DE8">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5.</w:t>
      </w:r>
      <w:r>
        <w:rPr>
          <w:rFonts w:hint="eastAsia" w:cs="宋体"/>
          <w:color w:val="auto"/>
          <w:sz w:val="24"/>
          <w:szCs w:val="24"/>
          <w:highlight w:val="none"/>
          <w:lang w:eastAsia="zh-CN"/>
        </w:rPr>
        <w:t>“验收情况”栏中，施工单位应如实填写</w:t>
      </w:r>
      <w:r>
        <w:rPr>
          <w:rFonts w:hint="eastAsia" w:cs="宋体"/>
          <w:color w:val="auto"/>
          <w:sz w:val="24"/>
          <w:szCs w:val="24"/>
          <w:highlight w:val="none"/>
          <w:lang w:val="en-US" w:eastAsia="zh-CN"/>
        </w:rPr>
        <w:t>,</w:t>
      </w:r>
      <w:r>
        <w:rPr>
          <w:rFonts w:hint="eastAsia" w:cs="宋体"/>
          <w:color w:val="auto"/>
          <w:sz w:val="24"/>
          <w:szCs w:val="24"/>
          <w:highlight w:val="none"/>
          <w:lang w:eastAsia="zh-CN"/>
        </w:rPr>
        <w:t>经检查全部符合要求的项目在其前面方格中打“√”。存在不符合要求的打“×”，不符合要求项目的具体情况应在“存在问题记录”栏中注明清楚，以便于整改及复查。缺项的不作标记。</w:t>
      </w:r>
    </w:p>
    <w:p w14:paraId="43AFC754">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6.</w:t>
      </w:r>
      <w:r>
        <w:rPr>
          <w:rFonts w:hint="eastAsia" w:cs="宋体"/>
          <w:color w:val="auto"/>
          <w:sz w:val="24"/>
          <w:szCs w:val="24"/>
          <w:highlight w:val="none"/>
          <w:lang w:eastAsia="zh-CN"/>
        </w:rPr>
        <w:t>施工单位对存在问题整改完毕后，应通知监理单位进行复查，监理单位核实整改完毕后在“整改情况”栏加意见。</w:t>
      </w:r>
    </w:p>
    <w:p w14:paraId="6F4D9AEC">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7.</w:t>
      </w:r>
      <w:r>
        <w:rPr>
          <w:rFonts w:hint="eastAsia" w:cs="宋体"/>
          <w:color w:val="auto"/>
          <w:sz w:val="24"/>
          <w:szCs w:val="24"/>
          <w:highlight w:val="none"/>
          <w:lang w:eastAsia="zh-CN"/>
        </w:rPr>
        <w:t>分户验收合格后，相关单位责任人在“验收单位”栏签字确认并加盖单位公章。</w:t>
      </w:r>
    </w:p>
    <w:p w14:paraId="7637D581">
      <w:pPr>
        <w:spacing w:line="320" w:lineRule="exact"/>
        <w:jc w:val="center"/>
        <w:rPr>
          <w:rFonts w:hint="eastAsia" w:ascii="黑体" w:hAnsi="宋体" w:eastAsia="黑体"/>
          <w:color w:val="auto"/>
          <w:sz w:val="32"/>
          <w:szCs w:val="24"/>
          <w:highlight w:val="none"/>
        </w:rPr>
      </w:pPr>
    </w:p>
    <w:p w14:paraId="433C3102">
      <w:pPr>
        <w:spacing w:line="320" w:lineRule="exact"/>
        <w:jc w:val="center"/>
        <w:rPr>
          <w:rFonts w:hint="eastAsia" w:ascii="黑体" w:hAnsi="宋体" w:eastAsia="黑体"/>
          <w:color w:val="auto"/>
          <w:sz w:val="32"/>
          <w:szCs w:val="24"/>
          <w:highlight w:val="none"/>
        </w:rPr>
      </w:pPr>
    </w:p>
    <w:p w14:paraId="2B0FB9F5">
      <w:pPr>
        <w:spacing w:line="320" w:lineRule="exact"/>
        <w:jc w:val="center"/>
        <w:rPr>
          <w:rFonts w:hint="eastAsia" w:ascii="黑体" w:hAnsi="宋体" w:eastAsia="黑体"/>
          <w:color w:val="auto"/>
          <w:sz w:val="32"/>
          <w:szCs w:val="24"/>
          <w:highlight w:val="none"/>
        </w:rPr>
      </w:pPr>
    </w:p>
    <w:p w14:paraId="4D68E11A">
      <w:pPr>
        <w:spacing w:line="320" w:lineRule="exact"/>
        <w:jc w:val="center"/>
        <w:rPr>
          <w:rFonts w:hint="eastAsia" w:ascii="黑体" w:hAnsi="宋体" w:eastAsia="黑体"/>
          <w:color w:val="auto"/>
          <w:sz w:val="32"/>
          <w:szCs w:val="24"/>
          <w:highlight w:val="none"/>
        </w:rPr>
      </w:pPr>
    </w:p>
    <w:p w14:paraId="6109F981">
      <w:pPr>
        <w:widowControl/>
        <w:spacing w:beforeAutospacing="0" w:afterAutospacing="0"/>
        <w:ind w:left="-708" w:leftChars="-337" w:right="-624" w:rightChars="-297"/>
        <w:jc w:val="left"/>
        <w:rPr>
          <w:rFonts w:hint="default" w:ascii="宋体" w:hAnsi="宋体" w:eastAsia="宋体" w:cs="Arial"/>
          <w:color w:val="auto"/>
          <w:kern w:val="0"/>
          <w:sz w:val="21"/>
          <w:szCs w:val="21"/>
          <w:highlight w:val="none"/>
          <w:shd w:val="clear" w:color="auto" w:fill="FFFFFF"/>
          <w:lang w:val="en-US" w:eastAsia="zh-CN" w:bidi="ar-SA"/>
        </w:rPr>
      </w:pPr>
    </w:p>
    <w:p w14:paraId="06526285">
      <w:pPr>
        <w:widowControl/>
        <w:jc w:val="left"/>
        <w:rPr>
          <w:rFonts w:ascii="Calibri" w:hAnsi="Calibri" w:eastAsia="宋体"/>
          <w:color w:val="auto"/>
          <w:sz w:val="16"/>
          <w:szCs w:val="16"/>
          <w:highlight w:val="none"/>
          <w:shd w:val="clear" w:color="auto" w:fill="FFFFFF"/>
        </w:rPr>
      </w:pPr>
      <w:r>
        <w:rPr>
          <w:rFonts w:ascii="Calibri" w:hAnsi="Calibri" w:eastAsia="宋体"/>
          <w:color w:val="auto"/>
          <w:sz w:val="16"/>
          <w:szCs w:val="16"/>
          <w:highlight w:val="none"/>
          <w:shd w:val="clear" w:color="auto" w:fill="FFFFFF"/>
        </w:rPr>
        <w:br w:type="page"/>
      </w:r>
    </w:p>
    <w:p w14:paraId="2D57F9C1">
      <w:pPr>
        <w:keepNext/>
        <w:keepLines/>
        <w:jc w:val="center"/>
        <w:outlineLvl w:val="1"/>
        <w:rPr>
          <w:rFonts w:hint="eastAsia" w:ascii="Times New Roman" w:hAnsi="Times New Roman" w:eastAsia="宋体"/>
          <w:b/>
          <w:bCs/>
          <w:color w:val="auto"/>
          <w:kern w:val="0"/>
          <w:szCs w:val="21"/>
          <w:highlight w:val="none"/>
          <w:lang w:val="en-US" w:eastAsia="zh-CN"/>
        </w:rPr>
      </w:pPr>
      <w:bookmarkStart w:id="418" w:name="_Toc21545"/>
      <w:bookmarkStart w:id="419" w:name="_Toc26196"/>
      <w:bookmarkStart w:id="420" w:name="_Toc21268"/>
      <w:bookmarkStart w:id="421" w:name="_Toc120261750"/>
      <w:bookmarkStart w:id="422" w:name="_Toc713"/>
      <w:bookmarkStart w:id="423" w:name="_Toc7433"/>
      <w:bookmarkStart w:id="424" w:name="_Toc18021"/>
      <w:r>
        <w:rPr>
          <w:rFonts w:hint="eastAsia" w:ascii="Times New Roman" w:hAnsi="Times New Roman" w:eastAsia="宋体"/>
          <w:b/>
          <w:bCs/>
          <w:color w:val="auto"/>
          <w:kern w:val="0"/>
          <w:szCs w:val="21"/>
          <w:highlight w:val="none"/>
          <w:lang w:val="en-US" w:eastAsia="zh-CN"/>
        </w:rPr>
        <w:t>附录F 住宅工程质量分户验收汇总表</w:t>
      </w:r>
      <w:bookmarkEnd w:id="418"/>
      <w:bookmarkEnd w:id="419"/>
      <w:bookmarkEnd w:id="420"/>
      <w:bookmarkEnd w:id="421"/>
      <w:bookmarkEnd w:id="422"/>
      <w:bookmarkEnd w:id="423"/>
      <w:bookmarkEnd w:id="424"/>
    </w:p>
    <w:p w14:paraId="246BF4F3">
      <w:pPr>
        <w:shd w:val="clear" w:color="auto" w:fill="FFFFFF"/>
        <w:spacing w:beforeAutospacing="0" w:afterAutospacing="0"/>
        <w:jc w:val="right"/>
        <w:rPr>
          <w:rFonts w:hint="default" w:ascii="Calibri" w:hAnsi="Calibri" w:eastAsia="宋体" w:cs="Arial"/>
          <w:color w:val="auto"/>
          <w:sz w:val="21"/>
          <w:szCs w:val="21"/>
          <w:highlight w:val="none"/>
          <w:shd w:val="clear" w:color="auto" w:fill="FFFFFF"/>
        </w:rPr>
      </w:pPr>
      <w:r>
        <w:rPr>
          <w:rFonts w:ascii="Calibri" w:hAnsi="Calibri" w:eastAsia="宋体" w:cs="Arial"/>
          <w:color w:val="auto"/>
          <w:sz w:val="21"/>
          <w:szCs w:val="21"/>
          <w:highlight w:val="none"/>
          <w:shd w:val="clear" w:color="auto" w:fill="FFFFFF"/>
        </w:rPr>
        <w:t xml:space="preserve">共  页，第 </w:t>
      </w:r>
      <w:r>
        <w:rPr>
          <w:rFonts w:hint="eastAsia" w:ascii="Calibri" w:hAnsi="Calibri" w:eastAsia="宋体" w:cs="Arial"/>
          <w:color w:val="auto"/>
          <w:sz w:val="21"/>
          <w:szCs w:val="21"/>
          <w:highlight w:val="none"/>
          <w:shd w:val="clear" w:color="auto" w:fill="FFFFFF"/>
          <w:lang w:val="en-US" w:eastAsia="zh-CN"/>
        </w:rPr>
        <w:t xml:space="preserve"> </w:t>
      </w:r>
      <w:r>
        <w:rPr>
          <w:rFonts w:ascii="Calibri" w:hAnsi="Calibri" w:eastAsia="宋体" w:cs="Arial"/>
          <w:color w:val="auto"/>
          <w:sz w:val="21"/>
          <w:szCs w:val="21"/>
          <w:highlight w:val="none"/>
          <w:shd w:val="clear" w:color="auto" w:fill="FFFFFF"/>
        </w:rPr>
        <w:t>页</w:t>
      </w:r>
    </w:p>
    <w:tbl>
      <w:tblPr>
        <w:tblStyle w:val="2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0"/>
        <w:gridCol w:w="849"/>
        <w:gridCol w:w="503"/>
        <w:gridCol w:w="33"/>
        <w:gridCol w:w="744"/>
        <w:gridCol w:w="658"/>
        <w:gridCol w:w="10"/>
        <w:gridCol w:w="340"/>
        <w:gridCol w:w="624"/>
        <w:gridCol w:w="42"/>
        <w:gridCol w:w="307"/>
        <w:gridCol w:w="539"/>
        <w:gridCol w:w="979"/>
        <w:gridCol w:w="626"/>
        <w:gridCol w:w="497"/>
        <w:gridCol w:w="1954"/>
      </w:tblGrid>
      <w:tr w14:paraId="64CB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84" w:type="dxa"/>
            <w:gridSpan w:val="5"/>
            <w:tcBorders>
              <w:top w:val="single" w:color="auto" w:sz="4" w:space="0"/>
              <w:left w:val="single" w:color="auto" w:sz="4" w:space="0"/>
            </w:tcBorders>
            <w:vAlign w:val="center"/>
          </w:tcPr>
          <w:p w14:paraId="1CBB58F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单位（子单位）工程名称</w:t>
            </w:r>
          </w:p>
        </w:tc>
        <w:tc>
          <w:tcPr>
            <w:tcW w:w="7320" w:type="dxa"/>
            <w:gridSpan w:val="12"/>
            <w:tcBorders>
              <w:top w:val="single" w:color="auto" w:sz="4" w:space="0"/>
              <w:right w:val="single" w:color="auto" w:sz="4" w:space="0"/>
            </w:tcBorders>
            <w:vAlign w:val="center"/>
          </w:tcPr>
          <w:p w14:paraId="43F5D4E0">
            <w:pPr>
              <w:jc w:val="center"/>
              <w:rPr>
                <w:rFonts w:ascii="Calibri" w:hAnsi="Calibri" w:eastAsia="宋体"/>
                <w:color w:val="auto"/>
                <w:sz w:val="18"/>
                <w:szCs w:val="18"/>
                <w:highlight w:val="none"/>
                <w:shd w:val="clear" w:color="auto" w:fill="FFFFFF"/>
              </w:rPr>
            </w:pPr>
          </w:p>
        </w:tc>
      </w:tr>
      <w:tr w14:paraId="5E92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Merge w:val="restart"/>
            <w:tcBorders>
              <w:left w:val="single" w:color="auto" w:sz="4" w:space="0"/>
            </w:tcBorders>
            <w:vAlign w:val="center"/>
          </w:tcPr>
          <w:p w14:paraId="09F035C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工程概况</w:t>
            </w:r>
          </w:p>
        </w:tc>
        <w:tc>
          <w:tcPr>
            <w:tcW w:w="1239" w:type="dxa"/>
            <w:gridSpan w:val="2"/>
            <w:vAlign w:val="center"/>
          </w:tcPr>
          <w:p w14:paraId="20BDBEA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结构形式</w:t>
            </w:r>
          </w:p>
        </w:tc>
        <w:tc>
          <w:tcPr>
            <w:tcW w:w="1948" w:type="dxa"/>
            <w:gridSpan w:val="5"/>
            <w:vAlign w:val="center"/>
          </w:tcPr>
          <w:p w14:paraId="03C8AA50">
            <w:pPr>
              <w:jc w:val="center"/>
              <w:rPr>
                <w:rFonts w:ascii="Calibri" w:hAnsi="Calibri" w:eastAsia="宋体"/>
                <w:color w:val="auto"/>
                <w:sz w:val="18"/>
                <w:szCs w:val="18"/>
                <w:highlight w:val="none"/>
                <w:shd w:val="clear" w:color="auto" w:fill="FFFFFF"/>
              </w:rPr>
            </w:pPr>
          </w:p>
        </w:tc>
        <w:tc>
          <w:tcPr>
            <w:tcW w:w="964" w:type="dxa"/>
            <w:gridSpan w:val="2"/>
            <w:vAlign w:val="center"/>
          </w:tcPr>
          <w:p w14:paraId="3DF31D3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建筑</w:t>
            </w:r>
          </w:p>
          <w:p w14:paraId="2B3C312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面积</w:t>
            </w:r>
          </w:p>
        </w:tc>
        <w:tc>
          <w:tcPr>
            <w:tcW w:w="1867" w:type="dxa"/>
            <w:gridSpan w:val="4"/>
            <w:vAlign w:val="center"/>
          </w:tcPr>
          <w:p w14:paraId="36968905">
            <w:pPr>
              <w:jc w:val="center"/>
              <w:rPr>
                <w:rFonts w:ascii="Calibri" w:hAnsi="Calibri" w:eastAsia="宋体"/>
                <w:color w:val="auto"/>
                <w:sz w:val="18"/>
                <w:szCs w:val="18"/>
                <w:highlight w:val="none"/>
                <w:shd w:val="clear" w:color="auto" w:fill="FFFFFF"/>
              </w:rPr>
            </w:pPr>
          </w:p>
        </w:tc>
        <w:tc>
          <w:tcPr>
            <w:tcW w:w="1123" w:type="dxa"/>
            <w:gridSpan w:val="2"/>
            <w:vAlign w:val="center"/>
          </w:tcPr>
          <w:p w14:paraId="51ABDEA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层数</w:t>
            </w:r>
          </w:p>
        </w:tc>
        <w:tc>
          <w:tcPr>
            <w:tcW w:w="1954" w:type="dxa"/>
            <w:tcBorders>
              <w:right w:val="single" w:color="auto" w:sz="4" w:space="0"/>
            </w:tcBorders>
            <w:vAlign w:val="center"/>
          </w:tcPr>
          <w:p w14:paraId="1B610B89">
            <w:pPr>
              <w:jc w:val="center"/>
              <w:rPr>
                <w:rFonts w:ascii="Calibri" w:hAnsi="Calibri" w:eastAsia="宋体"/>
                <w:color w:val="auto"/>
                <w:sz w:val="18"/>
                <w:szCs w:val="18"/>
                <w:highlight w:val="none"/>
                <w:shd w:val="clear" w:color="auto" w:fill="FFFFFF"/>
              </w:rPr>
            </w:pPr>
          </w:p>
        </w:tc>
      </w:tr>
      <w:tr w14:paraId="61E3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Merge w:val="continue"/>
            <w:tcBorders>
              <w:left w:val="single" w:color="auto" w:sz="4" w:space="0"/>
            </w:tcBorders>
          </w:tcPr>
          <w:p w14:paraId="1F49C2E9">
            <w:pPr>
              <w:rPr>
                <w:rFonts w:ascii="Calibri" w:hAnsi="Calibri" w:eastAsia="宋体"/>
                <w:color w:val="auto"/>
                <w:sz w:val="18"/>
                <w:szCs w:val="18"/>
                <w:highlight w:val="none"/>
                <w:shd w:val="clear" w:color="auto" w:fill="FFFFFF"/>
              </w:rPr>
            </w:pPr>
          </w:p>
        </w:tc>
        <w:tc>
          <w:tcPr>
            <w:tcW w:w="1239" w:type="dxa"/>
            <w:gridSpan w:val="2"/>
            <w:vAlign w:val="center"/>
          </w:tcPr>
          <w:p w14:paraId="1E2010C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80" w:type="dxa"/>
            <w:gridSpan w:val="3"/>
            <w:vAlign w:val="center"/>
          </w:tcPr>
          <w:p w14:paraId="3B56E803">
            <w:pPr>
              <w:jc w:val="center"/>
              <w:rPr>
                <w:rFonts w:ascii="Calibri" w:hAnsi="Calibri" w:eastAsia="宋体"/>
                <w:color w:val="auto"/>
                <w:sz w:val="18"/>
                <w:szCs w:val="18"/>
                <w:highlight w:val="none"/>
                <w:shd w:val="clear" w:color="auto" w:fill="FFFFFF"/>
              </w:rPr>
            </w:pPr>
          </w:p>
        </w:tc>
        <w:tc>
          <w:tcPr>
            <w:tcW w:w="1008" w:type="dxa"/>
            <w:gridSpan w:val="3"/>
            <w:vAlign w:val="center"/>
          </w:tcPr>
          <w:p w14:paraId="5B97FF0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总户数</w:t>
            </w:r>
          </w:p>
        </w:tc>
        <w:tc>
          <w:tcPr>
            <w:tcW w:w="1512" w:type="dxa"/>
            <w:gridSpan w:val="4"/>
            <w:vAlign w:val="center"/>
          </w:tcPr>
          <w:p w14:paraId="16C70F4D">
            <w:pPr>
              <w:jc w:val="center"/>
              <w:rPr>
                <w:rFonts w:ascii="Calibri" w:hAnsi="Calibri" w:eastAsia="宋体"/>
                <w:color w:val="auto"/>
                <w:sz w:val="18"/>
                <w:szCs w:val="18"/>
                <w:highlight w:val="none"/>
                <w:shd w:val="clear" w:color="auto" w:fill="FFFFFF"/>
              </w:rPr>
            </w:pPr>
          </w:p>
        </w:tc>
        <w:tc>
          <w:tcPr>
            <w:tcW w:w="979" w:type="dxa"/>
            <w:vAlign w:val="center"/>
          </w:tcPr>
          <w:p w14:paraId="441A514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装修情况</w:t>
            </w:r>
          </w:p>
        </w:tc>
        <w:tc>
          <w:tcPr>
            <w:tcW w:w="3077" w:type="dxa"/>
            <w:gridSpan w:val="3"/>
            <w:tcBorders>
              <w:right w:val="single" w:color="auto" w:sz="4" w:space="0"/>
            </w:tcBorders>
            <w:vAlign w:val="center"/>
          </w:tcPr>
          <w:p w14:paraId="14615D7B">
            <w:pPr>
              <w:jc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已装修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 未装修</w:t>
            </w:r>
          </w:p>
        </w:tc>
      </w:tr>
      <w:tr w14:paraId="27F6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09" w:type="dxa"/>
            <w:vMerge w:val="continue"/>
            <w:tcBorders>
              <w:left w:val="single" w:color="auto" w:sz="4" w:space="0"/>
            </w:tcBorders>
            <w:vAlign w:val="center"/>
          </w:tcPr>
          <w:p w14:paraId="3A6F1D79">
            <w:pPr>
              <w:jc w:val="center"/>
              <w:rPr>
                <w:rFonts w:ascii="Calibri" w:hAnsi="Calibri" w:eastAsia="宋体"/>
                <w:color w:val="auto"/>
                <w:sz w:val="18"/>
                <w:szCs w:val="18"/>
                <w:highlight w:val="none"/>
                <w:shd w:val="clear" w:color="auto" w:fill="FFFFFF"/>
              </w:rPr>
            </w:pPr>
          </w:p>
        </w:tc>
        <w:tc>
          <w:tcPr>
            <w:tcW w:w="1239" w:type="dxa"/>
            <w:gridSpan w:val="2"/>
            <w:vAlign w:val="center"/>
          </w:tcPr>
          <w:p w14:paraId="4043D272">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给水管道 敷设</w:t>
            </w:r>
          </w:p>
        </w:tc>
        <w:tc>
          <w:tcPr>
            <w:tcW w:w="1948" w:type="dxa"/>
            <w:gridSpan w:val="5"/>
            <w:vAlign w:val="center"/>
          </w:tcPr>
          <w:p w14:paraId="30B788C4">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至入户(总阀)</w:t>
            </w:r>
            <w:r>
              <w:rPr>
                <w:rFonts w:hint="default" w:ascii="宋体" w:hAnsi="宋体" w:eastAsia="宋体" w:cs="宋体"/>
                <w:color w:val="auto"/>
                <w:sz w:val="20"/>
                <w:szCs w:val="20"/>
                <w:highlight w:val="none"/>
                <w:u w:val="none"/>
                <w:shd w:val="clear" w:color="auto" w:fill="FFFFFF"/>
                <w:lang w:bidi="ar"/>
              </w:rPr>
              <w:t xml:space="preserve">    □ 至配水点末端    □ 其他     </w:t>
            </w:r>
          </w:p>
        </w:tc>
        <w:tc>
          <w:tcPr>
            <w:tcW w:w="964" w:type="dxa"/>
            <w:gridSpan w:val="2"/>
            <w:vAlign w:val="center"/>
          </w:tcPr>
          <w:p w14:paraId="69EFA719">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排水管道 敷设</w:t>
            </w:r>
          </w:p>
        </w:tc>
        <w:tc>
          <w:tcPr>
            <w:tcW w:w="1867" w:type="dxa"/>
            <w:gridSpan w:val="4"/>
            <w:vAlign w:val="center"/>
          </w:tcPr>
          <w:p w14:paraId="423268EF">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立管预留接</w:t>
            </w:r>
          </w:p>
          <w:p w14:paraId="6021BB58">
            <w:pPr>
              <w:widowControl/>
              <w:jc w:val="left"/>
              <w:textAlignment w:val="center"/>
              <w:rPr>
                <w:rFonts w:hint="default" w:ascii="Calibri" w:hAnsi="Calibri" w:eastAsia="宋体"/>
                <w:color w:val="auto"/>
                <w:szCs w:val="24"/>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□至洁具排水接</w:t>
            </w:r>
          </w:p>
          <w:p w14:paraId="4E5A4B5A">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□其他</w:t>
            </w:r>
          </w:p>
        </w:tc>
        <w:tc>
          <w:tcPr>
            <w:tcW w:w="1123" w:type="dxa"/>
            <w:gridSpan w:val="2"/>
            <w:vAlign w:val="center"/>
          </w:tcPr>
          <w:p w14:paraId="7D32F42E">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 xml:space="preserve">建筑电气 </w:t>
            </w:r>
            <w:r>
              <w:rPr>
                <w:rFonts w:hint="default" w:ascii="宋体" w:hAnsi="宋体" w:eastAsia="宋体" w:cs="宋体"/>
                <w:color w:val="auto"/>
                <w:sz w:val="20"/>
                <w:szCs w:val="20"/>
                <w:highlight w:val="none"/>
                <w:u w:val="none"/>
                <w:shd w:val="clear" w:color="auto" w:fill="FFFFFF"/>
                <w:lang w:bidi="ar"/>
              </w:rPr>
              <w:t xml:space="preserve"> 线路敷设</w:t>
            </w:r>
          </w:p>
        </w:tc>
        <w:tc>
          <w:tcPr>
            <w:tcW w:w="1954" w:type="dxa"/>
            <w:tcBorders>
              <w:right w:val="single" w:color="auto" w:sz="4" w:space="0"/>
            </w:tcBorders>
            <w:vAlign w:val="center"/>
          </w:tcPr>
          <w:p w14:paraId="79749DA2">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至户内配电箱□至开关插座灯具等</w:t>
            </w:r>
            <w:r>
              <w:rPr>
                <w:rFonts w:hint="eastAsia" w:ascii="宋体" w:hAnsi="宋体" w:eastAsia="宋体" w:cs="宋体"/>
                <w:color w:val="auto"/>
                <w:kern w:val="0"/>
                <w:sz w:val="20"/>
                <w:szCs w:val="20"/>
                <w:highlight w:val="none"/>
                <w:shd w:val="clear" w:color="auto" w:fill="FFFFFF"/>
                <w:lang w:val="en-US" w:eastAsia="zh-CN" w:bidi="ar"/>
              </w:rPr>
              <w:t>末</w:t>
            </w:r>
            <w:r>
              <w:rPr>
                <w:rFonts w:hint="eastAsia" w:ascii="宋体" w:hAnsi="宋体" w:eastAsia="宋体" w:cs="宋体"/>
                <w:color w:val="auto"/>
                <w:kern w:val="0"/>
                <w:sz w:val="20"/>
                <w:szCs w:val="20"/>
                <w:highlight w:val="none"/>
                <w:shd w:val="clear" w:color="auto" w:fill="FFFFFF"/>
                <w:lang w:bidi="ar"/>
              </w:rPr>
              <w:t>端</w:t>
            </w:r>
          </w:p>
          <w:p w14:paraId="3E182920">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其他</w:t>
            </w:r>
          </w:p>
        </w:tc>
      </w:tr>
      <w:tr w14:paraId="5D20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468E7F07">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建设单位</w:t>
            </w:r>
          </w:p>
        </w:tc>
        <w:tc>
          <w:tcPr>
            <w:tcW w:w="2787" w:type="dxa"/>
            <w:gridSpan w:val="5"/>
            <w:tcBorders>
              <w:top w:val="single" w:color="000000" w:sz="4" w:space="0"/>
              <w:left w:val="nil"/>
              <w:bottom w:val="single" w:color="000000" w:sz="4" w:space="0"/>
              <w:right w:val="single" w:color="000000" w:sz="4" w:space="0"/>
            </w:tcBorders>
            <w:noWrap/>
            <w:vAlign w:val="center"/>
          </w:tcPr>
          <w:p w14:paraId="376F09B6">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c>
          <w:tcPr>
            <w:tcW w:w="1323" w:type="dxa"/>
            <w:gridSpan w:val="5"/>
            <w:tcBorders>
              <w:top w:val="single" w:color="000000" w:sz="4" w:space="0"/>
              <w:left w:val="nil"/>
              <w:bottom w:val="single" w:color="000000" w:sz="4" w:space="0"/>
              <w:right w:val="single" w:color="000000" w:sz="4" w:space="0"/>
            </w:tcBorders>
            <w:noWrap/>
            <w:vAlign w:val="center"/>
          </w:tcPr>
          <w:p w14:paraId="682D9EE2">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监理单位</w:t>
            </w:r>
          </w:p>
        </w:tc>
        <w:tc>
          <w:tcPr>
            <w:tcW w:w="4595" w:type="dxa"/>
            <w:gridSpan w:val="5"/>
            <w:tcBorders>
              <w:top w:val="single" w:color="000000" w:sz="4" w:space="0"/>
              <w:left w:val="nil"/>
              <w:bottom w:val="single" w:color="000000" w:sz="4" w:space="0"/>
              <w:right w:val="single" w:color="auto" w:sz="4" w:space="0"/>
            </w:tcBorders>
            <w:noWrap/>
            <w:vAlign w:val="center"/>
          </w:tcPr>
          <w:p w14:paraId="04321494">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r>
      <w:tr w14:paraId="60BA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33F9B795">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施工单位</w:t>
            </w:r>
          </w:p>
        </w:tc>
        <w:tc>
          <w:tcPr>
            <w:tcW w:w="2787" w:type="dxa"/>
            <w:gridSpan w:val="5"/>
            <w:tcBorders>
              <w:top w:val="single" w:color="000000" w:sz="4" w:space="0"/>
              <w:left w:val="nil"/>
              <w:bottom w:val="single" w:color="000000" w:sz="4" w:space="0"/>
              <w:right w:val="single" w:color="000000" w:sz="4" w:space="0"/>
            </w:tcBorders>
            <w:noWrap/>
            <w:vAlign w:val="center"/>
          </w:tcPr>
          <w:p w14:paraId="32DE0632">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c>
          <w:tcPr>
            <w:tcW w:w="1323" w:type="dxa"/>
            <w:gridSpan w:val="5"/>
            <w:tcBorders>
              <w:top w:val="single" w:color="000000" w:sz="4" w:space="0"/>
              <w:left w:val="nil"/>
              <w:bottom w:val="single" w:color="000000" w:sz="4" w:space="0"/>
              <w:right w:val="single" w:color="000000" w:sz="4" w:space="0"/>
            </w:tcBorders>
            <w:noWrap/>
            <w:vAlign w:val="center"/>
          </w:tcPr>
          <w:p w14:paraId="49C265D1">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开完工日期</w:t>
            </w:r>
          </w:p>
        </w:tc>
        <w:tc>
          <w:tcPr>
            <w:tcW w:w="4595" w:type="dxa"/>
            <w:gridSpan w:val="5"/>
            <w:tcBorders>
              <w:top w:val="single" w:color="000000" w:sz="4" w:space="0"/>
              <w:left w:val="nil"/>
              <w:bottom w:val="single" w:color="000000" w:sz="4" w:space="0"/>
              <w:right w:val="single" w:color="auto" w:sz="4" w:space="0"/>
            </w:tcBorders>
            <w:noWrap/>
            <w:vAlign w:val="center"/>
          </w:tcPr>
          <w:p w14:paraId="68D6200E">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 年 月  日</w:t>
            </w:r>
          </w:p>
        </w:tc>
      </w:tr>
      <w:tr w14:paraId="5604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6850A61F">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内容</w:t>
            </w:r>
          </w:p>
        </w:tc>
        <w:tc>
          <w:tcPr>
            <w:tcW w:w="8705" w:type="dxa"/>
            <w:gridSpan w:val="15"/>
            <w:tcBorders>
              <w:top w:val="single" w:color="000000" w:sz="4" w:space="0"/>
              <w:left w:val="nil"/>
              <w:bottom w:val="single" w:color="000000" w:sz="4" w:space="0"/>
              <w:right w:val="single" w:color="auto" w:sz="4" w:space="0"/>
            </w:tcBorders>
            <w:noWrap/>
            <w:vAlign w:val="center"/>
          </w:tcPr>
          <w:p w14:paraId="4BCE5CD0">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验收情况</w:t>
            </w:r>
          </w:p>
        </w:tc>
      </w:tr>
      <w:tr w14:paraId="484A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751B9F20">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验收概况</w:t>
            </w:r>
          </w:p>
        </w:tc>
        <w:tc>
          <w:tcPr>
            <w:tcW w:w="8705" w:type="dxa"/>
            <w:gridSpan w:val="15"/>
            <w:tcBorders>
              <w:top w:val="single" w:color="000000" w:sz="4" w:space="0"/>
              <w:left w:val="nil"/>
              <w:bottom w:val="single" w:color="000000" w:sz="4" w:space="0"/>
              <w:right w:val="single" w:color="auto" w:sz="4" w:space="0"/>
            </w:tcBorders>
            <w:noWrap/>
          </w:tcPr>
          <w:p w14:paraId="374EAC09">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根据住宅工程质量分户验收的有关规定，组织相关单位于  20</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年</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月</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日—20</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年</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月</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日对本工程进行了分户验收。</w:t>
            </w:r>
          </w:p>
          <w:p w14:paraId="4CAD9E39">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p>
          <w:p w14:paraId="5D15D008">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验收组成员：组长：</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，副组长：</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w:t>
            </w:r>
          </w:p>
          <w:p w14:paraId="096C5211">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组员：</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w:t>
            </w:r>
          </w:p>
        </w:tc>
      </w:tr>
      <w:tr w14:paraId="1BCC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26124BD5">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户内分户验收情况</w:t>
            </w:r>
          </w:p>
        </w:tc>
        <w:tc>
          <w:tcPr>
            <w:tcW w:w="8705" w:type="dxa"/>
            <w:gridSpan w:val="15"/>
            <w:tcBorders>
              <w:top w:val="single" w:color="000000" w:sz="4" w:space="0"/>
              <w:left w:val="nil"/>
              <w:bottom w:val="single" w:color="000000" w:sz="4" w:space="0"/>
              <w:right w:val="single" w:color="auto" w:sz="4" w:space="0"/>
            </w:tcBorders>
            <w:noWrap/>
          </w:tcPr>
          <w:p w14:paraId="3D2E3843">
            <w:pPr>
              <w:jc w:val="left"/>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  共验收</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户；其中：一次验收合格</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户，整改后验收合格</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户，验收不合格的</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户（详见附表《住宅工程分户质量验收情况表》）（如果有不合格的，需要明确如何处理）。</w:t>
            </w:r>
          </w:p>
          <w:p w14:paraId="0BA46987">
            <w:pPr>
              <w:ind w:firstLine="210" w:firstLineChars="100"/>
              <w:jc w:val="left"/>
              <w:rPr>
                <w:rFonts w:hint="eastAsia" w:ascii="Calibri" w:hAnsi="Calibri" w:eastAsia="宋体" w:cs="Arial"/>
                <w:color w:val="auto"/>
                <w:szCs w:val="21"/>
                <w:highlight w:val="none"/>
                <w:shd w:val="clear" w:color="auto" w:fill="FFFFFF"/>
                <w:lang w:eastAsia="zh-CN"/>
              </w:rPr>
            </w:pPr>
          </w:p>
        </w:tc>
      </w:tr>
      <w:tr w14:paraId="221BD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13D162AB">
            <w:pPr>
              <w:widowControl/>
              <w:spacing w:beforeAutospacing="0" w:afterAutospacing="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公共部分验收情况</w:t>
            </w:r>
          </w:p>
        </w:tc>
        <w:tc>
          <w:tcPr>
            <w:tcW w:w="8705" w:type="dxa"/>
            <w:gridSpan w:val="15"/>
            <w:tcBorders>
              <w:top w:val="single" w:color="000000" w:sz="4" w:space="0"/>
              <w:left w:val="nil"/>
              <w:bottom w:val="single" w:color="000000" w:sz="4" w:space="0"/>
              <w:right w:val="single" w:color="auto" w:sz="4" w:space="0"/>
            </w:tcBorders>
            <w:noWrap/>
          </w:tcPr>
          <w:p w14:paraId="5E2FE0E5">
            <w:pPr>
              <w:ind w:firstLine="210" w:firstLineChars="100"/>
              <w:jc w:val="left"/>
              <w:rPr>
                <w:rFonts w:hint="eastAsia" w:ascii="宋体" w:hAnsi="宋体" w:eastAsia="宋体"/>
                <w:color w:val="auto"/>
                <w:szCs w:val="24"/>
                <w:highlight w:val="none"/>
              </w:rPr>
            </w:pPr>
            <w:r>
              <w:rPr>
                <w:rFonts w:ascii="Calibri" w:hAnsi="Calibri" w:eastAsia="宋体"/>
                <w:color w:val="auto"/>
                <w:szCs w:val="21"/>
                <w:highlight w:val="none"/>
                <w:shd w:val="clear" w:color="auto" w:fill="FFFFFF"/>
              </w:rPr>
              <w:t>□</w:t>
            </w:r>
            <w:r>
              <w:rPr>
                <w:rFonts w:ascii="Calibri" w:hAnsi="Calibri" w:eastAsia="宋体" w:cs="Arial"/>
                <w:b/>
                <w:bCs/>
                <w:color w:val="auto"/>
                <w:sz w:val="21"/>
                <w:szCs w:val="21"/>
                <w:highlight w:val="none"/>
                <w:shd w:val="clear" w:color="auto" w:fill="FFFFFF"/>
              </w:rPr>
              <w:t xml:space="preserve">合格     </w:t>
            </w:r>
            <w:r>
              <w:rPr>
                <w:rFonts w:ascii="Calibri" w:hAnsi="Calibri" w:eastAsia="宋体"/>
                <w:color w:val="auto"/>
                <w:szCs w:val="21"/>
                <w:highlight w:val="none"/>
                <w:shd w:val="clear" w:color="auto" w:fill="FFFFFF"/>
              </w:rPr>
              <w:sym w:font="Wingdings 2" w:char="00A3"/>
            </w:r>
            <w:r>
              <w:rPr>
                <w:rFonts w:ascii="Calibri" w:hAnsi="Calibri" w:eastAsia="宋体" w:cs="Arial"/>
                <w:b/>
                <w:bCs/>
                <w:color w:val="auto"/>
                <w:sz w:val="21"/>
                <w:szCs w:val="21"/>
                <w:highlight w:val="none"/>
                <w:shd w:val="clear" w:color="auto" w:fill="FFFFFF"/>
              </w:rPr>
              <w:t>整改后合格</w:t>
            </w:r>
            <w:r>
              <w:rPr>
                <w:rFonts w:ascii="Calibri" w:hAnsi="Calibri" w:eastAsia="宋体" w:cs="Arial"/>
                <w:color w:val="auto"/>
                <w:sz w:val="21"/>
                <w:szCs w:val="21"/>
                <w:highlight w:val="none"/>
                <w:shd w:val="clear" w:color="auto" w:fill="FFFFFF"/>
              </w:rPr>
              <w:t>（需附整改情况说明）</w:t>
            </w:r>
          </w:p>
        </w:tc>
      </w:tr>
      <w:tr w14:paraId="73103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14:paraId="2B1B4427">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验收结论</w:t>
            </w:r>
          </w:p>
        </w:tc>
        <w:tc>
          <w:tcPr>
            <w:tcW w:w="8705" w:type="dxa"/>
            <w:gridSpan w:val="15"/>
            <w:tcBorders>
              <w:top w:val="single" w:color="000000" w:sz="4" w:space="0"/>
              <w:left w:val="nil"/>
              <w:bottom w:val="single" w:color="000000" w:sz="4" w:space="0"/>
              <w:right w:val="single" w:color="auto" w:sz="4" w:space="0"/>
            </w:tcBorders>
            <w:noWrap/>
            <w:vAlign w:val="center"/>
          </w:tcPr>
          <w:p w14:paraId="762FC901">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1"/>
                <w:highlight w:val="none"/>
                <w:shd w:val="clear" w:color="auto" w:fill="FFFFFF"/>
                <w:lang w:val="en-US" w:eastAsia="zh-CN" w:bidi="ar-SA"/>
              </w:rPr>
              <w:t>□</w:t>
            </w:r>
            <w:r>
              <w:rPr>
                <w:rFonts w:hint="eastAsia" w:ascii="宋体" w:hAnsi="宋体" w:eastAsia="宋体" w:cs="Arial"/>
                <w:b/>
                <w:bCs/>
                <w:color w:val="auto"/>
                <w:kern w:val="0"/>
                <w:sz w:val="21"/>
                <w:szCs w:val="21"/>
                <w:highlight w:val="none"/>
                <w:shd w:val="clear" w:color="auto" w:fill="FFFFFF"/>
                <w:lang w:val="en-US" w:eastAsia="zh-CN" w:bidi="ar-SA"/>
              </w:rPr>
              <w:t xml:space="preserve">合格       </w:t>
            </w:r>
            <w:r>
              <w:rPr>
                <w:rFonts w:hint="eastAsia" w:ascii="宋体" w:hAnsi="宋体" w:eastAsia="宋体" w:cs="Times New Roman"/>
                <w:color w:val="auto"/>
                <w:kern w:val="0"/>
                <w:sz w:val="24"/>
                <w:szCs w:val="21"/>
                <w:highlight w:val="none"/>
                <w:shd w:val="clear" w:color="auto" w:fill="FFFFFF"/>
                <w:lang w:val="en-US" w:eastAsia="zh-CN" w:bidi="ar-SA"/>
              </w:rPr>
              <w:sym w:font="Wingdings 2" w:char="00A3"/>
            </w:r>
            <w:r>
              <w:rPr>
                <w:rFonts w:hint="eastAsia" w:ascii="宋体" w:hAnsi="宋体" w:eastAsia="宋体" w:cs="Arial"/>
                <w:b/>
                <w:bCs/>
                <w:color w:val="auto"/>
                <w:kern w:val="0"/>
                <w:sz w:val="21"/>
                <w:szCs w:val="21"/>
                <w:highlight w:val="none"/>
                <w:shd w:val="clear" w:color="auto" w:fill="FFFFFF"/>
                <w:lang w:val="en-US" w:eastAsia="zh-CN" w:bidi="ar-SA"/>
              </w:rPr>
              <w:t>整改后合格</w:t>
            </w:r>
            <w:r>
              <w:rPr>
                <w:rFonts w:hint="eastAsia" w:ascii="宋体" w:hAnsi="宋体" w:eastAsia="宋体" w:cs="Arial"/>
                <w:color w:val="auto"/>
                <w:kern w:val="0"/>
                <w:sz w:val="21"/>
                <w:szCs w:val="21"/>
                <w:highlight w:val="none"/>
                <w:shd w:val="clear" w:color="auto" w:fill="FFFFFF"/>
                <w:lang w:val="en-US" w:eastAsia="zh-CN" w:bidi="ar-SA"/>
              </w:rPr>
              <w:t>（需附整改情况说明）</w:t>
            </w:r>
          </w:p>
        </w:tc>
      </w:tr>
      <w:tr w14:paraId="7E840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451" w:type="dxa"/>
            <w:gridSpan w:val="4"/>
            <w:tcBorders>
              <w:top w:val="single" w:color="000000" w:sz="4" w:space="0"/>
              <w:left w:val="single" w:color="auto" w:sz="4" w:space="0"/>
              <w:bottom w:val="single" w:color="auto" w:sz="4" w:space="0"/>
              <w:right w:val="single" w:color="000000" w:sz="4" w:space="0"/>
            </w:tcBorders>
            <w:noWrap/>
          </w:tcPr>
          <w:p w14:paraId="3C81AB26">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 设 单 位</w:t>
            </w:r>
          </w:p>
          <w:p w14:paraId="592A5AEC">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7"/>
            <w:tcBorders>
              <w:top w:val="single" w:color="000000" w:sz="4" w:space="0"/>
              <w:left w:val="nil"/>
              <w:bottom w:val="single" w:color="auto" w:sz="4" w:space="0"/>
              <w:right w:val="single" w:color="000000" w:sz="4" w:space="0"/>
            </w:tcBorders>
            <w:noWrap/>
          </w:tcPr>
          <w:p w14:paraId="3C6324D3">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 理 单 位</w:t>
            </w:r>
          </w:p>
          <w:p w14:paraId="7D2C504B">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4"/>
            <w:tcBorders>
              <w:top w:val="single" w:color="000000" w:sz="4" w:space="0"/>
              <w:left w:val="nil"/>
              <w:bottom w:val="single" w:color="auto" w:sz="4" w:space="0"/>
              <w:right w:val="single" w:color="auto" w:sz="4" w:space="0"/>
            </w:tcBorders>
            <w:noWrap/>
          </w:tcPr>
          <w:p w14:paraId="45B75E0E">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 工 单 位</w:t>
            </w:r>
          </w:p>
          <w:p w14:paraId="18158F5B">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2"/>
            <w:tcBorders>
              <w:top w:val="single" w:color="000000" w:sz="4" w:space="0"/>
              <w:left w:val="single" w:color="auto" w:sz="4" w:space="0"/>
              <w:bottom w:val="single" w:color="auto" w:sz="4" w:space="0"/>
              <w:right w:val="single" w:color="auto" w:sz="4" w:space="0"/>
            </w:tcBorders>
            <w:noWrap/>
          </w:tcPr>
          <w:p w14:paraId="77A4DCBF">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设 计 单 位</w:t>
            </w:r>
          </w:p>
          <w:p w14:paraId="43DFA69A">
            <w:pPr>
              <w:widowControl/>
              <w:spacing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r>
      <w:tr w14:paraId="358F0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3" w:hRule="atLeast"/>
          <w:jc w:val="center"/>
        </w:trPr>
        <w:tc>
          <w:tcPr>
            <w:tcW w:w="2451" w:type="dxa"/>
            <w:gridSpan w:val="4"/>
            <w:tcBorders>
              <w:top w:val="single" w:color="auto" w:sz="4" w:space="0"/>
              <w:left w:val="single" w:color="auto" w:sz="4" w:space="0"/>
              <w:bottom w:val="single" w:color="auto" w:sz="4" w:space="0"/>
              <w:right w:val="single" w:color="000000" w:sz="4" w:space="0"/>
            </w:tcBorders>
            <w:noWrap/>
          </w:tcPr>
          <w:p w14:paraId="65854E77">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3F5B5C9B">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07C502B2">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47CEDBD9">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7F691046">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6CB4A4C9">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51" w:type="dxa"/>
            <w:gridSpan w:val="7"/>
            <w:tcBorders>
              <w:top w:val="single" w:color="auto" w:sz="4" w:space="0"/>
              <w:left w:val="nil"/>
              <w:bottom w:val="single" w:color="auto" w:sz="4" w:space="0"/>
              <w:right w:val="single" w:color="000000" w:sz="4" w:space="0"/>
            </w:tcBorders>
            <w:noWrap/>
          </w:tcPr>
          <w:p w14:paraId="275BD9F6">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总监理工程师：</w:t>
            </w:r>
          </w:p>
          <w:p w14:paraId="6B928BD6">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p>
          <w:p w14:paraId="41040D0D">
            <w:pPr>
              <w:widowControl/>
              <w:spacing w:beforeAutospacing="1" w:afterAutospacing="1"/>
              <w:ind w:firstLine="0" w:firstLineChars="0"/>
              <w:jc w:val="both"/>
              <w:rPr>
                <w:rFonts w:hint="default" w:ascii="宋体" w:hAnsi="宋体" w:eastAsia="宋体" w:cs="Arial"/>
                <w:color w:val="auto"/>
                <w:kern w:val="0"/>
                <w:sz w:val="21"/>
                <w:szCs w:val="21"/>
                <w:highlight w:val="none"/>
                <w:shd w:val="clear" w:color="auto" w:fill="FFFFFF"/>
                <w:lang w:val="en-US" w:eastAsia="zh-CN" w:bidi="ar-SA"/>
              </w:rPr>
            </w:pPr>
          </w:p>
          <w:p w14:paraId="159C175E">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51" w:type="dxa"/>
            <w:gridSpan w:val="4"/>
            <w:tcBorders>
              <w:top w:val="single" w:color="auto" w:sz="4" w:space="0"/>
              <w:left w:val="nil"/>
              <w:bottom w:val="single" w:color="auto" w:sz="4" w:space="0"/>
              <w:right w:val="single" w:color="auto" w:sz="4" w:space="0"/>
            </w:tcBorders>
            <w:noWrap/>
          </w:tcPr>
          <w:p w14:paraId="3D441147">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项目负责人（项目经理）：</w:t>
            </w:r>
          </w:p>
          <w:p w14:paraId="175D3E03">
            <w:pPr>
              <w:widowControl/>
              <w:spacing w:beforeAutospacing="1" w:afterAutospacing="1"/>
              <w:jc w:val="both"/>
              <w:rPr>
                <w:rFonts w:hint="default" w:ascii="宋体" w:hAnsi="宋体" w:eastAsia="宋体" w:cs="Arial"/>
                <w:color w:val="auto"/>
                <w:kern w:val="0"/>
                <w:sz w:val="21"/>
                <w:szCs w:val="21"/>
                <w:highlight w:val="none"/>
                <w:shd w:val="clear" w:color="auto" w:fill="FFFFFF"/>
                <w:lang w:val="en-US" w:eastAsia="zh-CN" w:bidi="ar-SA"/>
              </w:rPr>
            </w:pPr>
          </w:p>
          <w:p w14:paraId="223ADA63">
            <w:pPr>
              <w:widowControl/>
              <w:spacing w:beforeAutospacing="1" w:afterAutospacing="1"/>
              <w:jc w:val="both"/>
              <w:rPr>
                <w:rFonts w:hint="default" w:ascii="宋体" w:hAnsi="宋体" w:eastAsia="宋体" w:cs="Arial"/>
                <w:color w:val="auto"/>
                <w:kern w:val="0"/>
                <w:sz w:val="21"/>
                <w:szCs w:val="21"/>
                <w:highlight w:val="none"/>
                <w:shd w:val="clear" w:color="auto" w:fill="FFFFFF"/>
                <w:lang w:val="en-US" w:eastAsia="zh-CN" w:bidi="ar-SA"/>
              </w:rPr>
            </w:pPr>
          </w:p>
          <w:p w14:paraId="77B0BD07">
            <w:pPr>
              <w:widowControl/>
              <w:spacing w:beforeAutospacing="1" w:afterAutospacing="1"/>
              <w:ind w:firstLine="840" w:firstLineChars="4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 xml:space="preserve"> 年  月   日</w:t>
            </w:r>
          </w:p>
        </w:tc>
        <w:tc>
          <w:tcPr>
            <w:tcW w:w="2451" w:type="dxa"/>
            <w:gridSpan w:val="2"/>
            <w:tcBorders>
              <w:top w:val="single" w:color="auto" w:sz="4" w:space="0"/>
              <w:left w:val="single" w:color="auto" w:sz="4" w:space="0"/>
              <w:bottom w:val="single" w:color="auto" w:sz="4" w:space="0"/>
              <w:right w:val="single" w:color="auto" w:sz="4" w:space="0"/>
            </w:tcBorders>
            <w:noWrap/>
          </w:tcPr>
          <w:p w14:paraId="5F1C838B">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67AC2531">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24B08B05">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6A4A720A">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2C181940">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14:paraId="6E5686B5">
            <w:pPr>
              <w:widowControl/>
              <w:spacing w:beforeAutospacing="1" w:afterAutospacing="1"/>
              <w:ind w:firstLine="420" w:firstLineChars="20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 xml:space="preserve">   年  月   日</w:t>
            </w:r>
          </w:p>
        </w:tc>
      </w:tr>
    </w:tbl>
    <w:p w14:paraId="1F5A1AE2">
      <w:pPr>
        <w:widowControl/>
        <w:shd w:val="clear" w:color="auto" w:fill="FFFFFF"/>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注：1、此表以上参加分户验收单位各一份，一份由建设单位将此表同分户验收方案一同交工程质量监督机构备案；</w:t>
      </w:r>
    </w:p>
    <w:p w14:paraId="40625F2B">
      <w:pPr>
        <w:widowControl/>
        <w:shd w:val="clear" w:color="auto" w:fill="FFFFFF"/>
        <w:spacing w:beforeAutospacing="0" w:afterAutospacing="0"/>
        <w:ind w:left="42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2、项目经理、总监理工程师需签字并加盖个人注册执业印章。</w:t>
      </w:r>
    </w:p>
    <w:p w14:paraId="7006581D">
      <w:pPr>
        <w:widowControl/>
        <w:jc w:val="left"/>
        <w:rPr>
          <w:rFonts w:ascii="宋体" w:hAnsi="宋体" w:eastAsia="宋体" w:cs="Arial"/>
          <w:color w:val="auto"/>
          <w:szCs w:val="21"/>
          <w:highlight w:val="none"/>
          <w:shd w:val="clear" w:color="auto" w:fill="FFFFFF"/>
        </w:rPr>
      </w:pPr>
      <w:r>
        <w:rPr>
          <w:rFonts w:ascii="Calibri" w:hAnsi="Calibri" w:eastAsia="宋体" w:cs="Arial"/>
          <w:color w:val="auto"/>
          <w:szCs w:val="21"/>
          <w:highlight w:val="none"/>
          <w:shd w:val="clear" w:color="auto" w:fill="FFFFFF"/>
        </w:rPr>
        <w:br w:type="page"/>
      </w:r>
    </w:p>
    <w:p w14:paraId="22482247">
      <w:pPr>
        <w:jc w:val="center"/>
        <w:rPr>
          <w:rFonts w:hint="eastAsia"/>
          <w:b/>
          <w:bCs/>
          <w:color w:val="auto"/>
          <w:highlight w:val="none"/>
          <w:lang w:val="en-US" w:eastAsia="zh-CN"/>
        </w:rPr>
      </w:pPr>
      <w:r>
        <w:rPr>
          <w:rFonts w:hint="eastAsia" w:asciiTheme="minorHAnsi" w:eastAsiaTheme="minorEastAsia"/>
          <w:b/>
          <w:bCs/>
          <w:color w:val="auto"/>
          <w:highlight w:val="none"/>
          <w:lang w:val="en-US" w:eastAsia="zh-CN"/>
        </w:rPr>
        <w:t>续</w:t>
      </w:r>
      <w:r>
        <w:rPr>
          <w:rFonts w:hint="eastAsia"/>
          <w:b/>
          <w:bCs/>
          <w:color w:val="auto"/>
          <w:highlight w:val="none"/>
          <w:lang w:val="en-US" w:eastAsia="zh-CN"/>
        </w:rPr>
        <w:t>附录</w:t>
      </w:r>
      <w:r>
        <w:rPr>
          <w:rFonts w:hint="eastAsia" w:asciiTheme="minorHAnsi" w:eastAsiaTheme="minorEastAsia"/>
          <w:b/>
          <w:bCs/>
          <w:color w:val="auto"/>
          <w:highlight w:val="none"/>
          <w:lang w:val="en-US" w:eastAsia="zh-CN"/>
        </w:rPr>
        <w:t>F 住宅工程分户质量验收情况表</w:t>
      </w:r>
    </w:p>
    <w:p w14:paraId="299E33BD">
      <w:pPr>
        <w:jc w:val="right"/>
        <w:rPr>
          <w:rFonts w:ascii="宋体" w:hAnsi="宋体" w:eastAsia="宋体" w:cs="Arial"/>
          <w:b/>
          <w:bCs/>
          <w:color w:val="auto"/>
          <w:sz w:val="32"/>
          <w:szCs w:val="32"/>
          <w:highlight w:val="none"/>
          <w:shd w:val="clear" w:color="auto" w:fill="FFFFFF"/>
        </w:rPr>
      </w:pPr>
      <w:r>
        <w:rPr>
          <w:rFonts w:hint="eastAsia" w:ascii="Calibri" w:hAnsi="Calibri" w:eastAsia="宋体" w:cs="Arial"/>
          <w:color w:val="auto"/>
          <w:szCs w:val="21"/>
          <w:highlight w:val="none"/>
          <w:shd w:val="clear" w:color="auto" w:fill="FFFFFF"/>
        </w:rPr>
        <w:t>共  页，第  页</w:t>
      </w:r>
    </w:p>
    <w:tbl>
      <w:tblPr>
        <w:tblStyle w:val="27"/>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34"/>
        <w:gridCol w:w="580"/>
        <w:gridCol w:w="37"/>
        <w:gridCol w:w="682"/>
        <w:gridCol w:w="1032"/>
        <w:gridCol w:w="642"/>
        <w:gridCol w:w="390"/>
        <w:gridCol w:w="1035"/>
        <w:gridCol w:w="968"/>
        <w:gridCol w:w="2395"/>
      </w:tblGrid>
      <w:tr w14:paraId="3F7F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30" w:type="dxa"/>
            <w:gridSpan w:val="4"/>
            <w:tcBorders>
              <w:top w:val="single" w:color="auto" w:sz="4" w:space="0"/>
              <w:left w:val="single" w:color="auto" w:sz="4" w:space="0"/>
              <w:bottom w:val="single" w:color="auto" w:sz="4" w:space="0"/>
              <w:right w:val="single" w:color="auto" w:sz="4" w:space="0"/>
            </w:tcBorders>
            <w:vAlign w:val="center"/>
          </w:tcPr>
          <w:p w14:paraId="77EB9E8D">
            <w:pPr>
              <w:jc w:val="center"/>
              <w:rPr>
                <w:rFonts w:ascii="Calibri" w:hAnsi="Calibri" w:eastAsia="宋体"/>
                <w:b/>
                <w:color w:val="auto"/>
                <w:sz w:val="18"/>
                <w:szCs w:val="18"/>
                <w:highlight w:val="none"/>
                <w:shd w:val="clear" w:color="auto" w:fill="FFFFFF"/>
              </w:rPr>
            </w:pPr>
            <w:r>
              <w:rPr>
                <w:rFonts w:hint="eastAsia" w:ascii="Calibri" w:hAnsi="Calibri" w:eastAsia="宋体"/>
                <w:bCs/>
                <w:color w:val="auto"/>
                <w:sz w:val="18"/>
                <w:szCs w:val="18"/>
                <w:highlight w:val="none"/>
                <w:shd w:val="clear" w:color="auto" w:fill="FFFFFF"/>
              </w:rPr>
              <w:t>单位（子单位）工程名称</w:t>
            </w:r>
          </w:p>
        </w:tc>
        <w:tc>
          <w:tcPr>
            <w:tcW w:w="7144" w:type="dxa"/>
            <w:gridSpan w:val="7"/>
            <w:tcBorders>
              <w:top w:val="single" w:color="auto" w:sz="4" w:space="0"/>
              <w:left w:val="single" w:color="auto" w:sz="4" w:space="0"/>
              <w:bottom w:val="single" w:color="auto" w:sz="4" w:space="0"/>
              <w:right w:val="single" w:color="auto" w:sz="4" w:space="0"/>
            </w:tcBorders>
            <w:vAlign w:val="center"/>
          </w:tcPr>
          <w:p w14:paraId="459B1B3C">
            <w:pPr>
              <w:jc w:val="center"/>
              <w:rPr>
                <w:rFonts w:ascii="Calibri" w:hAnsi="Calibri" w:eastAsia="宋体"/>
                <w:b/>
                <w:color w:val="auto"/>
                <w:sz w:val="18"/>
                <w:szCs w:val="18"/>
                <w:highlight w:val="none"/>
                <w:shd w:val="clear" w:color="auto" w:fill="FFFFFF"/>
              </w:rPr>
            </w:pPr>
          </w:p>
        </w:tc>
      </w:tr>
      <w:tr w14:paraId="71CF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4D8E47E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序号</w:t>
            </w:r>
          </w:p>
        </w:tc>
        <w:tc>
          <w:tcPr>
            <w:tcW w:w="1134" w:type="dxa"/>
            <w:vMerge w:val="restart"/>
            <w:tcBorders>
              <w:top w:val="single" w:color="auto" w:sz="4" w:space="0"/>
              <w:left w:val="single" w:color="auto" w:sz="4" w:space="0"/>
              <w:bottom w:val="single" w:color="auto" w:sz="4" w:space="0"/>
              <w:right w:val="single" w:color="auto" w:sz="4" w:space="0"/>
            </w:tcBorders>
          </w:tcPr>
          <w:p w14:paraId="7893590A">
            <w:pPr>
              <w:jc w:val="center"/>
              <w:rPr>
                <w:rFonts w:ascii="Calibri" w:hAnsi="Calibri" w:eastAsia="宋体"/>
                <w:color w:val="auto"/>
                <w:sz w:val="18"/>
                <w:szCs w:val="18"/>
                <w:highlight w:val="none"/>
                <w:shd w:val="clear" w:color="auto" w:fill="FFFFFF"/>
              </w:rPr>
            </w:pPr>
          </w:p>
          <w:p w14:paraId="3DAC48C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99" w:type="dxa"/>
            <w:gridSpan w:val="3"/>
            <w:vMerge w:val="restart"/>
            <w:tcBorders>
              <w:top w:val="single" w:color="auto" w:sz="4" w:space="0"/>
              <w:left w:val="single" w:color="auto" w:sz="4" w:space="0"/>
              <w:bottom w:val="single" w:color="auto" w:sz="4" w:space="0"/>
              <w:right w:val="single" w:color="auto" w:sz="4" w:space="0"/>
            </w:tcBorders>
            <w:vAlign w:val="center"/>
          </w:tcPr>
          <w:p w14:paraId="5EF6ECF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房号</w:t>
            </w:r>
          </w:p>
        </w:tc>
        <w:tc>
          <w:tcPr>
            <w:tcW w:w="3099" w:type="dxa"/>
            <w:gridSpan w:val="4"/>
            <w:tcBorders>
              <w:top w:val="single" w:color="auto" w:sz="4" w:space="0"/>
              <w:left w:val="single" w:color="auto" w:sz="4" w:space="0"/>
              <w:bottom w:val="single" w:color="auto" w:sz="4" w:space="0"/>
              <w:right w:val="single" w:color="auto" w:sz="4" w:space="0"/>
            </w:tcBorders>
            <w:vAlign w:val="center"/>
          </w:tcPr>
          <w:p w14:paraId="1BD63F2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验收内容（验收内容打</w:t>
            </w:r>
            <w:r>
              <w:rPr>
                <w:rFonts w:hint="eastAsia" w:ascii="仿宋" w:hAnsi="仿宋" w:eastAsia="仿宋"/>
                <w:color w:val="auto"/>
                <w:sz w:val="18"/>
                <w:szCs w:val="18"/>
                <w:highlight w:val="none"/>
                <w:shd w:val="clear" w:color="auto" w:fill="FFFFFF"/>
              </w:rPr>
              <w:t>√</w:t>
            </w:r>
            <w:r>
              <w:rPr>
                <w:rFonts w:hint="eastAsia" w:ascii="Calibri" w:hAnsi="Calibri" w:eastAsia="宋体"/>
                <w:color w:val="auto"/>
                <w:sz w:val="18"/>
                <w:szCs w:val="18"/>
                <w:highlight w:val="none"/>
                <w:shd w:val="clear" w:color="auto" w:fill="FFFFFF"/>
              </w:rPr>
              <w:t>）</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14:paraId="2B5C985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是否符合要求</w:t>
            </w:r>
          </w:p>
        </w:tc>
        <w:tc>
          <w:tcPr>
            <w:tcW w:w="2395" w:type="dxa"/>
            <w:vMerge w:val="restart"/>
            <w:tcBorders>
              <w:top w:val="single" w:color="auto" w:sz="4" w:space="0"/>
              <w:left w:val="single" w:color="auto" w:sz="4" w:space="0"/>
              <w:bottom w:val="single" w:color="auto" w:sz="4" w:space="0"/>
              <w:right w:val="single" w:color="auto" w:sz="4" w:space="0"/>
            </w:tcBorders>
            <w:vAlign w:val="center"/>
          </w:tcPr>
          <w:p w14:paraId="7FB51E02">
            <w:pPr>
              <w:jc w:val="center"/>
              <w:rPr>
                <w:rFonts w:ascii="Calibri" w:hAnsi="Calibri" w:eastAsia="宋体"/>
                <w:color w:val="auto"/>
                <w:spacing w:val="-20"/>
                <w:sz w:val="18"/>
                <w:szCs w:val="18"/>
                <w:highlight w:val="none"/>
                <w:shd w:val="clear" w:color="auto" w:fill="FFFFFF"/>
              </w:rPr>
            </w:pPr>
            <w:r>
              <w:rPr>
                <w:rFonts w:hint="eastAsia" w:ascii="Calibri" w:hAnsi="Calibri" w:eastAsia="宋体"/>
                <w:color w:val="auto"/>
                <w:spacing w:val="-20"/>
                <w:sz w:val="18"/>
                <w:szCs w:val="18"/>
                <w:highlight w:val="none"/>
                <w:shd w:val="clear" w:color="auto" w:fill="FFFFFF"/>
              </w:rPr>
              <w:t>主要存在问题</w:t>
            </w:r>
          </w:p>
        </w:tc>
      </w:tr>
      <w:tr w14:paraId="005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343C782C">
            <w:pPr>
              <w:jc w:val="center"/>
              <w:rPr>
                <w:rFonts w:ascii="Calibri" w:hAnsi="Calibri" w:eastAsia="宋体"/>
                <w:color w:val="auto"/>
                <w:sz w:val="18"/>
                <w:szCs w:val="18"/>
                <w:highlight w:val="none"/>
                <w:shd w:val="clear" w:color="auto" w:fill="FFFFFF"/>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8FA38E8">
            <w:pPr>
              <w:jc w:val="center"/>
              <w:rPr>
                <w:rFonts w:ascii="Calibri" w:hAnsi="Calibri" w:eastAsia="宋体"/>
                <w:color w:val="auto"/>
                <w:sz w:val="18"/>
                <w:szCs w:val="18"/>
                <w:highlight w:val="none"/>
                <w:shd w:val="clear" w:color="auto" w:fill="FFFFFF"/>
              </w:rPr>
            </w:pPr>
          </w:p>
        </w:tc>
        <w:tc>
          <w:tcPr>
            <w:tcW w:w="1299" w:type="dxa"/>
            <w:gridSpan w:val="3"/>
            <w:vMerge w:val="continue"/>
            <w:tcBorders>
              <w:top w:val="single" w:color="auto" w:sz="4" w:space="0"/>
              <w:left w:val="single" w:color="auto" w:sz="4" w:space="0"/>
              <w:bottom w:val="single" w:color="auto" w:sz="4" w:space="0"/>
              <w:right w:val="single" w:color="auto" w:sz="4" w:space="0"/>
            </w:tcBorders>
            <w:vAlign w:val="center"/>
          </w:tcPr>
          <w:p w14:paraId="5DFC6ECC">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710754CB">
            <w:pP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空间尺寸</w:t>
            </w:r>
          </w:p>
        </w:tc>
        <w:tc>
          <w:tcPr>
            <w:tcW w:w="1032" w:type="dxa"/>
            <w:gridSpan w:val="2"/>
            <w:tcBorders>
              <w:top w:val="single" w:color="auto" w:sz="4" w:space="0"/>
              <w:left w:val="single" w:color="auto" w:sz="4" w:space="0"/>
              <w:bottom w:val="single" w:color="auto" w:sz="4" w:space="0"/>
              <w:right w:val="single" w:color="auto" w:sz="4" w:space="0"/>
            </w:tcBorders>
          </w:tcPr>
          <w:p w14:paraId="134C30E6">
            <w:pP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现场实测</w:t>
            </w:r>
          </w:p>
        </w:tc>
        <w:tc>
          <w:tcPr>
            <w:tcW w:w="1035" w:type="dxa"/>
            <w:tcBorders>
              <w:top w:val="single" w:color="auto" w:sz="4" w:space="0"/>
              <w:left w:val="single" w:color="auto" w:sz="4" w:space="0"/>
              <w:bottom w:val="single" w:color="auto" w:sz="4" w:space="0"/>
              <w:right w:val="single" w:color="auto" w:sz="4" w:space="0"/>
            </w:tcBorders>
          </w:tcPr>
          <w:p w14:paraId="6F810FB3">
            <w:pP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观感质量</w:t>
            </w:r>
          </w:p>
        </w:tc>
        <w:tc>
          <w:tcPr>
            <w:tcW w:w="968" w:type="dxa"/>
            <w:vMerge w:val="continue"/>
            <w:tcBorders>
              <w:top w:val="single" w:color="auto" w:sz="4" w:space="0"/>
              <w:left w:val="single" w:color="auto" w:sz="4" w:space="0"/>
              <w:bottom w:val="single" w:color="auto" w:sz="4" w:space="0"/>
              <w:right w:val="single" w:color="auto" w:sz="4" w:space="0"/>
            </w:tcBorders>
          </w:tcPr>
          <w:p w14:paraId="49E303D6">
            <w:pPr>
              <w:rPr>
                <w:rFonts w:ascii="Calibri" w:hAnsi="Calibri" w:eastAsia="宋体"/>
                <w:color w:val="auto"/>
                <w:sz w:val="18"/>
                <w:szCs w:val="18"/>
                <w:highlight w:val="none"/>
                <w:shd w:val="clear" w:color="auto" w:fill="FFFFFF"/>
              </w:rPr>
            </w:pPr>
          </w:p>
        </w:tc>
        <w:tc>
          <w:tcPr>
            <w:tcW w:w="2395" w:type="dxa"/>
            <w:vMerge w:val="continue"/>
            <w:tcBorders>
              <w:top w:val="single" w:color="auto" w:sz="4" w:space="0"/>
              <w:left w:val="single" w:color="auto" w:sz="4" w:space="0"/>
              <w:bottom w:val="single" w:color="auto" w:sz="4" w:space="0"/>
              <w:right w:val="single" w:color="auto" w:sz="4" w:space="0"/>
            </w:tcBorders>
          </w:tcPr>
          <w:p w14:paraId="2227F7D1">
            <w:pPr>
              <w:rPr>
                <w:rFonts w:ascii="Calibri" w:hAnsi="Calibri" w:eastAsia="宋体"/>
                <w:color w:val="auto"/>
                <w:sz w:val="18"/>
                <w:szCs w:val="18"/>
                <w:highlight w:val="none"/>
                <w:shd w:val="clear" w:color="auto" w:fill="FFFFFF"/>
              </w:rPr>
            </w:pPr>
          </w:p>
        </w:tc>
      </w:tr>
      <w:tr w14:paraId="57BD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44A0E0C">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4A0C429A">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16359D96">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0CC1C1C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4C27E65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066E8E6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000FF1C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7DA91B7B">
            <w:pPr>
              <w:rPr>
                <w:rFonts w:ascii="Calibri" w:hAnsi="Calibri" w:eastAsia="宋体"/>
                <w:color w:val="auto"/>
                <w:sz w:val="18"/>
                <w:szCs w:val="18"/>
                <w:highlight w:val="none"/>
                <w:shd w:val="clear" w:color="auto" w:fill="FFFFFF"/>
              </w:rPr>
            </w:pPr>
          </w:p>
        </w:tc>
      </w:tr>
      <w:tr w14:paraId="7EF3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5B49667">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40052D4A">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7FFC3DDA">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07F763A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044DD73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1C7C7A4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615CD88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88DDE9F">
            <w:pPr>
              <w:rPr>
                <w:rFonts w:ascii="Calibri" w:hAnsi="Calibri" w:eastAsia="宋体"/>
                <w:color w:val="auto"/>
                <w:sz w:val="18"/>
                <w:szCs w:val="18"/>
                <w:highlight w:val="none"/>
                <w:shd w:val="clear" w:color="auto" w:fill="FFFFFF"/>
              </w:rPr>
            </w:pPr>
          </w:p>
        </w:tc>
      </w:tr>
      <w:tr w14:paraId="786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16EF8A13">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2CACC44">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5DD0CFAB">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2DF9DDD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3F05812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22FBD42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5724B5C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556BF35C">
            <w:pPr>
              <w:rPr>
                <w:rFonts w:ascii="Calibri" w:hAnsi="Calibri" w:eastAsia="宋体"/>
                <w:color w:val="auto"/>
                <w:sz w:val="18"/>
                <w:szCs w:val="18"/>
                <w:highlight w:val="none"/>
                <w:shd w:val="clear" w:color="auto" w:fill="FFFFFF"/>
              </w:rPr>
            </w:pPr>
          </w:p>
        </w:tc>
      </w:tr>
      <w:tr w14:paraId="33F1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DD7AE4E">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296332F0">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4218F2B4">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0F8CE5F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28EE3E1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26B4471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26B5FF5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1B04A18">
            <w:pPr>
              <w:rPr>
                <w:rFonts w:ascii="Calibri" w:hAnsi="Calibri" w:eastAsia="宋体"/>
                <w:color w:val="auto"/>
                <w:sz w:val="18"/>
                <w:szCs w:val="18"/>
                <w:highlight w:val="none"/>
                <w:shd w:val="clear" w:color="auto" w:fill="FFFFFF"/>
              </w:rPr>
            </w:pPr>
          </w:p>
        </w:tc>
      </w:tr>
      <w:tr w14:paraId="1D0C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4D2AE72">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356A3955">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5D0322E6">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4E9B382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70DA1FF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7736AC8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5FDF5299">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7196C51D">
            <w:pPr>
              <w:rPr>
                <w:rFonts w:ascii="Calibri" w:hAnsi="Calibri" w:eastAsia="宋体"/>
                <w:color w:val="auto"/>
                <w:sz w:val="18"/>
                <w:szCs w:val="18"/>
                <w:highlight w:val="none"/>
                <w:shd w:val="clear" w:color="auto" w:fill="FFFFFF"/>
              </w:rPr>
            </w:pPr>
          </w:p>
        </w:tc>
      </w:tr>
      <w:tr w14:paraId="630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1207094">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1DDF7273">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38168E41">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1F5630C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453EF15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7FC49C1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474FEAC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83C1626">
            <w:pPr>
              <w:rPr>
                <w:rFonts w:ascii="Calibri" w:hAnsi="Calibri" w:eastAsia="宋体"/>
                <w:color w:val="auto"/>
                <w:sz w:val="18"/>
                <w:szCs w:val="18"/>
                <w:highlight w:val="none"/>
                <w:shd w:val="clear" w:color="auto" w:fill="FFFFFF"/>
              </w:rPr>
            </w:pPr>
          </w:p>
        </w:tc>
      </w:tr>
      <w:tr w14:paraId="495A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3E52F5E">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1C567E06">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5DDFDB2F">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1FBC3CE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16D869E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06AAF54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118BD9F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5B0831EC">
            <w:pPr>
              <w:rPr>
                <w:rFonts w:ascii="Calibri" w:hAnsi="Calibri" w:eastAsia="宋体"/>
                <w:color w:val="auto"/>
                <w:sz w:val="18"/>
                <w:szCs w:val="18"/>
                <w:highlight w:val="none"/>
                <w:shd w:val="clear" w:color="auto" w:fill="FFFFFF"/>
              </w:rPr>
            </w:pPr>
          </w:p>
        </w:tc>
      </w:tr>
      <w:tr w14:paraId="478D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10B47D41">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27038FB8">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6844E7F2">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000AA68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5ECB43C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4F942F6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03E08E6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4C0AED04">
            <w:pPr>
              <w:rPr>
                <w:rFonts w:ascii="Calibri" w:hAnsi="Calibri" w:eastAsia="宋体"/>
                <w:color w:val="auto"/>
                <w:sz w:val="18"/>
                <w:szCs w:val="18"/>
                <w:highlight w:val="none"/>
                <w:shd w:val="clear" w:color="auto" w:fill="FFFFFF"/>
              </w:rPr>
            </w:pPr>
          </w:p>
        </w:tc>
      </w:tr>
      <w:tr w14:paraId="75BE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3F04FF9">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64AC2B25">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3196873B">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3EBFF6F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77E122E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607B607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307D02A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1A1974DA">
            <w:pPr>
              <w:rPr>
                <w:rFonts w:ascii="Calibri" w:hAnsi="Calibri" w:eastAsia="宋体"/>
                <w:color w:val="auto"/>
                <w:sz w:val="18"/>
                <w:szCs w:val="18"/>
                <w:highlight w:val="none"/>
                <w:shd w:val="clear" w:color="auto" w:fill="FFFFFF"/>
              </w:rPr>
            </w:pPr>
          </w:p>
        </w:tc>
      </w:tr>
      <w:tr w14:paraId="2D95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1C35B164">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EDEE1B6">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78CDAC40">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5CE6A71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70DB415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4271D7C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34B9EF2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70DC4A9E">
            <w:pPr>
              <w:rPr>
                <w:rFonts w:ascii="Calibri" w:hAnsi="Calibri" w:eastAsia="宋体"/>
                <w:color w:val="auto"/>
                <w:sz w:val="18"/>
                <w:szCs w:val="18"/>
                <w:highlight w:val="none"/>
                <w:shd w:val="clear" w:color="auto" w:fill="FFFFFF"/>
              </w:rPr>
            </w:pPr>
          </w:p>
        </w:tc>
      </w:tr>
      <w:tr w14:paraId="3B2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43B9BE2">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46E08ECE">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3553E332">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4FDA4B2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0C189E6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147D655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50CBE37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F1B8C19">
            <w:pPr>
              <w:rPr>
                <w:rFonts w:ascii="Calibri" w:hAnsi="Calibri" w:eastAsia="宋体"/>
                <w:color w:val="auto"/>
                <w:sz w:val="18"/>
                <w:szCs w:val="18"/>
                <w:highlight w:val="none"/>
                <w:shd w:val="clear" w:color="auto" w:fill="FFFFFF"/>
              </w:rPr>
            </w:pPr>
          </w:p>
        </w:tc>
      </w:tr>
      <w:tr w14:paraId="4B6E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48B8B72">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30AFB8FF">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1500E399">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4004BAC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309DBDD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7F1EC40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34597A1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2D15CF49">
            <w:pPr>
              <w:rPr>
                <w:rFonts w:ascii="Calibri" w:hAnsi="Calibri" w:eastAsia="宋体"/>
                <w:color w:val="auto"/>
                <w:sz w:val="18"/>
                <w:szCs w:val="18"/>
                <w:highlight w:val="none"/>
                <w:shd w:val="clear" w:color="auto" w:fill="FFFFFF"/>
              </w:rPr>
            </w:pPr>
          </w:p>
        </w:tc>
      </w:tr>
      <w:tr w14:paraId="377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BA8F399">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C2FD810">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0687249F">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0198EC4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10068E8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1AD203A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6067F82F">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651904A6">
            <w:pPr>
              <w:rPr>
                <w:rFonts w:ascii="Calibri" w:hAnsi="Calibri" w:eastAsia="宋体"/>
                <w:color w:val="auto"/>
                <w:sz w:val="18"/>
                <w:szCs w:val="18"/>
                <w:highlight w:val="none"/>
                <w:shd w:val="clear" w:color="auto" w:fill="FFFFFF"/>
              </w:rPr>
            </w:pPr>
          </w:p>
        </w:tc>
      </w:tr>
      <w:tr w14:paraId="57F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75139271">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7ED935BB">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6D5867FD">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34380B2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241E32C0">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7635D7E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002701B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40F0D864">
            <w:pPr>
              <w:rPr>
                <w:rFonts w:ascii="Calibri" w:hAnsi="Calibri" w:eastAsia="宋体"/>
                <w:color w:val="auto"/>
                <w:sz w:val="18"/>
                <w:szCs w:val="18"/>
                <w:highlight w:val="none"/>
                <w:shd w:val="clear" w:color="auto" w:fill="FFFFFF"/>
              </w:rPr>
            </w:pPr>
          </w:p>
        </w:tc>
      </w:tr>
      <w:tr w14:paraId="0E8E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9F6C4FA">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08BFB219">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1AEE257A">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140C16E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36D381D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4D18861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0A06DB8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5590810E">
            <w:pPr>
              <w:rPr>
                <w:rFonts w:ascii="Calibri" w:hAnsi="Calibri" w:eastAsia="宋体"/>
                <w:color w:val="auto"/>
                <w:sz w:val="18"/>
                <w:szCs w:val="18"/>
                <w:highlight w:val="none"/>
                <w:shd w:val="clear" w:color="auto" w:fill="FFFFFF"/>
              </w:rPr>
            </w:pPr>
          </w:p>
        </w:tc>
      </w:tr>
      <w:tr w14:paraId="4F18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0368E740">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7D38BADA">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7812F093">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679CAFFB">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0B4441E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30A628D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57525B6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4549503">
            <w:pPr>
              <w:rPr>
                <w:rFonts w:ascii="Calibri" w:hAnsi="Calibri" w:eastAsia="宋体"/>
                <w:color w:val="auto"/>
                <w:sz w:val="18"/>
                <w:szCs w:val="18"/>
                <w:highlight w:val="none"/>
                <w:shd w:val="clear" w:color="auto" w:fill="FFFFFF"/>
              </w:rPr>
            </w:pPr>
          </w:p>
        </w:tc>
      </w:tr>
      <w:tr w14:paraId="28ED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856D066">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1815409A">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61A8B1EB">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5920BEA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25B1F75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335CA901">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278EB6F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71408160">
            <w:pPr>
              <w:rPr>
                <w:rFonts w:ascii="Calibri" w:hAnsi="Calibri" w:eastAsia="宋体"/>
                <w:color w:val="auto"/>
                <w:sz w:val="18"/>
                <w:szCs w:val="18"/>
                <w:highlight w:val="none"/>
                <w:shd w:val="clear" w:color="auto" w:fill="FFFFFF"/>
              </w:rPr>
            </w:pPr>
          </w:p>
        </w:tc>
      </w:tr>
      <w:tr w14:paraId="46B5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1A8994DE">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2A3A82B">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0556CA2E">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5411DE6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5E252DA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5C69FEF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5117670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487ED2C6">
            <w:pPr>
              <w:rPr>
                <w:rFonts w:ascii="Calibri" w:hAnsi="Calibri" w:eastAsia="宋体"/>
                <w:color w:val="auto"/>
                <w:sz w:val="18"/>
                <w:szCs w:val="18"/>
                <w:highlight w:val="none"/>
                <w:shd w:val="clear" w:color="auto" w:fill="FFFFFF"/>
              </w:rPr>
            </w:pPr>
          </w:p>
        </w:tc>
      </w:tr>
      <w:tr w14:paraId="5C82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7882728C">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03288958">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0C3CEFC2">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76A67EC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3C5D3613">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189B7CF7">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320805D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430EEE29">
            <w:pPr>
              <w:rPr>
                <w:rFonts w:ascii="Calibri" w:hAnsi="Calibri" w:eastAsia="宋体"/>
                <w:color w:val="auto"/>
                <w:sz w:val="18"/>
                <w:szCs w:val="18"/>
                <w:highlight w:val="none"/>
                <w:shd w:val="clear" w:color="auto" w:fill="FFFFFF"/>
              </w:rPr>
            </w:pPr>
          </w:p>
        </w:tc>
      </w:tr>
      <w:tr w14:paraId="1D9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BFC3A62">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BB1C314">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4320A03B">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69CAC0AA">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222158C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0F1CD648">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715CA505">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60AF9281">
            <w:pPr>
              <w:rPr>
                <w:rFonts w:ascii="Calibri" w:hAnsi="Calibri" w:eastAsia="宋体"/>
                <w:color w:val="auto"/>
                <w:sz w:val="18"/>
                <w:szCs w:val="18"/>
                <w:highlight w:val="none"/>
                <w:shd w:val="clear" w:color="auto" w:fill="FFFFFF"/>
              </w:rPr>
            </w:pPr>
          </w:p>
        </w:tc>
      </w:tr>
      <w:tr w14:paraId="00B5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78B2640">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5D58B5E3">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0E949D7B">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789B6A5D">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10E1EE7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08349B6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7351C546">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34FE87CF">
            <w:pPr>
              <w:rPr>
                <w:rFonts w:ascii="Calibri" w:hAnsi="Calibri" w:eastAsia="宋体"/>
                <w:color w:val="auto"/>
                <w:sz w:val="18"/>
                <w:szCs w:val="18"/>
                <w:highlight w:val="none"/>
                <w:shd w:val="clear" w:color="auto" w:fill="FFFFFF"/>
              </w:rPr>
            </w:pPr>
          </w:p>
        </w:tc>
      </w:tr>
      <w:tr w14:paraId="1962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7FB6D0B8">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0E7B7701">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135789A7">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14:paraId="3D2613A2">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tcPr>
          <w:p w14:paraId="66417B14">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tcPr>
          <w:p w14:paraId="079DD3BC">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68" w:type="dxa"/>
            <w:tcBorders>
              <w:top w:val="single" w:color="auto" w:sz="4" w:space="0"/>
              <w:left w:val="single" w:color="auto" w:sz="4" w:space="0"/>
              <w:bottom w:val="single" w:color="auto" w:sz="4" w:space="0"/>
              <w:right w:val="single" w:color="auto" w:sz="4" w:space="0"/>
            </w:tcBorders>
          </w:tcPr>
          <w:p w14:paraId="1C9FF94E">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395" w:type="dxa"/>
            <w:tcBorders>
              <w:top w:val="single" w:color="auto" w:sz="4" w:space="0"/>
              <w:left w:val="single" w:color="auto" w:sz="4" w:space="0"/>
              <w:bottom w:val="single" w:color="auto" w:sz="4" w:space="0"/>
              <w:right w:val="single" w:color="auto" w:sz="4" w:space="0"/>
            </w:tcBorders>
          </w:tcPr>
          <w:p w14:paraId="08B270ED">
            <w:pPr>
              <w:rPr>
                <w:rFonts w:ascii="Calibri" w:hAnsi="Calibri" w:eastAsia="宋体"/>
                <w:color w:val="auto"/>
                <w:sz w:val="18"/>
                <w:szCs w:val="18"/>
                <w:highlight w:val="none"/>
                <w:shd w:val="clear" w:color="auto" w:fill="FFFFFF"/>
              </w:rPr>
            </w:pPr>
          </w:p>
        </w:tc>
      </w:tr>
      <w:tr w14:paraId="7483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bottom"/>
          </w:tcPr>
          <w:p w14:paraId="6E249E0B">
            <w:pPr>
              <w:widowControl/>
              <w:spacing w:beforeAutospacing="0" w:afterAutospacing="0"/>
              <w:ind w:firstLine="630" w:firstLineChars="3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 设 单 位</w:t>
            </w:r>
          </w:p>
          <w:p w14:paraId="2CABD6CD">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393" w:type="dxa"/>
            <w:gridSpan w:val="4"/>
            <w:tcBorders>
              <w:top w:val="single" w:color="auto" w:sz="4" w:space="0"/>
              <w:left w:val="single" w:color="auto" w:sz="4" w:space="0"/>
              <w:bottom w:val="single" w:color="auto" w:sz="4" w:space="0"/>
              <w:right w:val="single" w:color="auto" w:sz="4" w:space="0"/>
            </w:tcBorders>
            <w:vAlign w:val="bottom"/>
          </w:tcPr>
          <w:p w14:paraId="75E85CCB">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 理 单 位</w:t>
            </w:r>
          </w:p>
          <w:p w14:paraId="5856FA4A">
            <w:pPr>
              <w:widowControl/>
              <w:spacing w:beforeAutospacing="0" w:afterAutospacing="0"/>
              <w:ind w:firstLine="210" w:firstLineChars="1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393" w:type="dxa"/>
            <w:gridSpan w:val="3"/>
            <w:tcBorders>
              <w:top w:val="single" w:color="auto" w:sz="4" w:space="0"/>
              <w:left w:val="single" w:color="auto" w:sz="4" w:space="0"/>
              <w:bottom w:val="single" w:color="auto" w:sz="4" w:space="0"/>
              <w:right w:val="single" w:color="auto" w:sz="4" w:space="0"/>
            </w:tcBorders>
            <w:vAlign w:val="bottom"/>
          </w:tcPr>
          <w:p w14:paraId="038BC2F4">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 工 单 位</w:t>
            </w:r>
          </w:p>
          <w:p w14:paraId="0B76727A">
            <w:pPr>
              <w:widowControl/>
              <w:spacing w:beforeAutospacing="0" w:afterAutospacing="0"/>
              <w:ind w:firstLine="210" w:firstLineChars="1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395" w:type="dxa"/>
            <w:tcBorders>
              <w:top w:val="single" w:color="auto" w:sz="4" w:space="0"/>
              <w:left w:val="single" w:color="auto" w:sz="4" w:space="0"/>
              <w:bottom w:val="single" w:color="auto" w:sz="4" w:space="0"/>
              <w:right w:val="single" w:color="auto" w:sz="4" w:space="0"/>
            </w:tcBorders>
            <w:vAlign w:val="bottom"/>
          </w:tcPr>
          <w:p w14:paraId="0F824325">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设 计 单 位</w:t>
            </w:r>
          </w:p>
          <w:p w14:paraId="57E3FD32">
            <w:pPr>
              <w:widowControl/>
              <w:spacing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r>
      <w:tr w14:paraId="2C04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tcPr>
          <w:p w14:paraId="57F221B3">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w:t>
            </w:r>
          </w:p>
          <w:p w14:paraId="1F578999">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3AFEC542">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3C147339">
            <w:pPr>
              <w:widowControl/>
              <w:spacing w:beforeAutospacing="0" w:afterAutospacing="0"/>
              <w:jc w:val="left"/>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3384C557">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50D45848">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4A77D871">
            <w:pPr>
              <w:widowControl/>
              <w:spacing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393" w:type="dxa"/>
            <w:gridSpan w:val="4"/>
            <w:tcBorders>
              <w:top w:val="single" w:color="auto" w:sz="4" w:space="0"/>
              <w:left w:val="single" w:color="auto" w:sz="4" w:space="0"/>
              <w:bottom w:val="single" w:color="auto" w:sz="4" w:space="0"/>
              <w:right w:val="single" w:color="auto" w:sz="4" w:space="0"/>
            </w:tcBorders>
          </w:tcPr>
          <w:p w14:paraId="0F0C40B4">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验收人（专业监理工程师）：</w:t>
            </w:r>
          </w:p>
          <w:p w14:paraId="203B483E">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5C841D99">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1B04C631">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总监理工程师：</w:t>
            </w:r>
          </w:p>
          <w:p w14:paraId="2278ECFB">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5C2388CD">
            <w:pPr>
              <w:widowControl/>
              <w:spacing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年   月   日</w:t>
            </w:r>
          </w:p>
        </w:tc>
        <w:tc>
          <w:tcPr>
            <w:tcW w:w="2393" w:type="dxa"/>
            <w:gridSpan w:val="3"/>
            <w:tcBorders>
              <w:top w:val="single" w:color="auto" w:sz="4" w:space="0"/>
              <w:left w:val="single" w:color="auto" w:sz="4" w:space="0"/>
              <w:bottom w:val="single" w:color="auto" w:sz="4" w:space="0"/>
              <w:right w:val="single" w:color="auto" w:sz="4" w:space="0"/>
            </w:tcBorders>
          </w:tcPr>
          <w:p w14:paraId="78E7EFB5">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验收人（质量员）：</w:t>
            </w:r>
          </w:p>
          <w:p w14:paraId="334C7CD6">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17D1BC8C">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1F4DA0E5">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3E1825F5">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7564BEB8">
            <w:pPr>
              <w:widowControl/>
              <w:spacing w:beforeAutospacing="0" w:afterAutospacing="0"/>
              <w:jc w:val="left"/>
              <w:rPr>
                <w:rFonts w:hint="default" w:ascii="宋体" w:hAnsi="宋体" w:eastAsia="宋体" w:cs="Arial"/>
                <w:color w:val="auto"/>
                <w:kern w:val="0"/>
                <w:sz w:val="24"/>
                <w:szCs w:val="21"/>
                <w:highlight w:val="none"/>
                <w:shd w:val="clear" w:color="auto" w:fill="FFFFFF"/>
                <w:lang w:val="en-US" w:eastAsia="zh-CN" w:bidi="ar-SA"/>
              </w:rPr>
            </w:pPr>
          </w:p>
          <w:p w14:paraId="16A2AD88">
            <w:pPr>
              <w:widowControl/>
              <w:spacing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年   月   日</w:t>
            </w:r>
          </w:p>
        </w:tc>
        <w:tc>
          <w:tcPr>
            <w:tcW w:w="2395" w:type="dxa"/>
            <w:tcBorders>
              <w:top w:val="single" w:color="auto" w:sz="4" w:space="0"/>
              <w:left w:val="single" w:color="auto" w:sz="4" w:space="0"/>
              <w:bottom w:val="single" w:color="auto" w:sz="4" w:space="0"/>
              <w:right w:val="single" w:color="auto" w:sz="4" w:space="0"/>
            </w:tcBorders>
          </w:tcPr>
          <w:p w14:paraId="22147285">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w:t>
            </w:r>
          </w:p>
          <w:p w14:paraId="103D9E33">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1599893D">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1B4197CC">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14:paraId="476FC8C6">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0ECAFA51">
            <w:pPr>
              <w:widowControl/>
              <w:spacing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14:paraId="648F27D8">
            <w:pPr>
              <w:widowControl/>
              <w:spacing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r>
    </w:tbl>
    <w:p w14:paraId="68B1BEE2">
      <w:pPr>
        <w:rPr>
          <w:rFonts w:ascii="Calibri" w:hAnsi="Calibri" w:eastAsia="宋体"/>
          <w:color w:val="auto"/>
          <w:szCs w:val="24"/>
          <w:highlight w:val="none"/>
          <w:shd w:val="clear" w:color="auto" w:fill="FFFFFF"/>
        </w:rPr>
      </w:pPr>
    </w:p>
    <w:p w14:paraId="2FB39636">
      <w:pPr>
        <w:widowControl/>
        <w:jc w:val="left"/>
        <w:rPr>
          <w:rFonts w:ascii="Calibri" w:hAnsi="Calibri" w:eastAsia="宋体"/>
          <w:color w:val="auto"/>
          <w:szCs w:val="24"/>
          <w:highlight w:val="none"/>
          <w:shd w:val="clear" w:color="auto" w:fill="FFFFFF"/>
        </w:rPr>
      </w:pPr>
      <w:r>
        <w:rPr>
          <w:rFonts w:ascii="Calibri" w:hAnsi="Calibri" w:eastAsia="宋体"/>
          <w:color w:val="auto"/>
          <w:szCs w:val="24"/>
          <w:highlight w:val="none"/>
          <w:shd w:val="clear" w:color="auto" w:fill="FFFFFF"/>
        </w:rPr>
        <w:br w:type="page"/>
      </w:r>
    </w:p>
    <w:p w14:paraId="538AE801">
      <w:pPr>
        <w:keepNext/>
        <w:keepLines/>
        <w:jc w:val="center"/>
        <w:outlineLvl w:val="1"/>
        <w:rPr>
          <w:rFonts w:ascii="Times New Roman" w:hAnsi="Times New Roman" w:eastAsia="宋体"/>
          <w:b/>
          <w:bCs/>
          <w:color w:val="auto"/>
          <w:kern w:val="0"/>
          <w:szCs w:val="21"/>
          <w:highlight w:val="none"/>
        </w:rPr>
      </w:pPr>
      <w:bookmarkStart w:id="425" w:name="_Toc6952"/>
      <w:bookmarkStart w:id="426" w:name="_Toc19371"/>
      <w:bookmarkStart w:id="427" w:name="_Toc6813"/>
      <w:bookmarkStart w:id="428" w:name="_Toc29868"/>
      <w:bookmarkStart w:id="429" w:name="_Toc11470"/>
      <w:bookmarkStart w:id="430" w:name="_Toc6153"/>
      <w:r>
        <w:rPr>
          <w:rFonts w:hint="eastAsia" w:ascii="Times New Roman" w:hAnsi="Times New Roman" w:eastAsia="宋体"/>
          <w:b/>
          <w:bCs/>
          <w:color w:val="auto"/>
          <w:kern w:val="0"/>
          <w:szCs w:val="21"/>
          <w:highlight w:val="none"/>
        </w:rPr>
        <w:t>附录</w:t>
      </w:r>
      <w:r>
        <w:rPr>
          <w:rFonts w:hint="eastAsia" w:ascii="Times New Roman" w:hAnsi="Times New Roman" w:eastAsia="宋体"/>
          <w:b/>
          <w:bCs/>
          <w:color w:val="auto"/>
          <w:kern w:val="0"/>
          <w:szCs w:val="21"/>
          <w:highlight w:val="none"/>
          <w:lang w:val="en-US" w:eastAsia="zh-CN"/>
        </w:rPr>
        <w:t>G</w:t>
      </w:r>
      <w:r>
        <w:rPr>
          <w:rFonts w:ascii="Times New Roman" w:hAnsi="Times New Roman" w:eastAsia="宋体"/>
          <w:b/>
          <w:bCs/>
          <w:color w:val="auto"/>
          <w:kern w:val="0"/>
          <w:szCs w:val="21"/>
          <w:highlight w:val="none"/>
        </w:rPr>
        <w:t xml:space="preserve"> </w:t>
      </w:r>
      <w:r>
        <w:rPr>
          <w:rFonts w:hint="eastAsia" w:ascii="Times New Roman" w:hAnsi="Times New Roman" w:eastAsia="宋体"/>
          <w:b/>
          <w:bCs/>
          <w:color w:val="auto"/>
          <w:kern w:val="0"/>
          <w:szCs w:val="21"/>
          <w:highlight w:val="none"/>
        </w:rPr>
        <w:t>住宅工程质量分户验收合格证书</w:t>
      </w:r>
      <w:bookmarkEnd w:id="425"/>
      <w:bookmarkEnd w:id="426"/>
      <w:bookmarkEnd w:id="427"/>
      <w:bookmarkEnd w:id="428"/>
      <w:bookmarkEnd w:id="429"/>
      <w:bookmarkEnd w:id="430"/>
    </w:p>
    <w:tbl>
      <w:tblPr>
        <w:tblStyle w:val="27"/>
        <w:tblpPr w:leftFromText="180" w:rightFromText="180" w:vertAnchor="page" w:horzAnchor="margin" w:tblpXSpec="center" w:tblpY="187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883"/>
        <w:gridCol w:w="963"/>
        <w:gridCol w:w="3006"/>
      </w:tblGrid>
      <w:tr w14:paraId="60D5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074" w:type="dxa"/>
            <w:shd w:val="clear" w:color="auto" w:fill="auto"/>
            <w:noWrap/>
            <w:tcMar>
              <w:left w:w="0" w:type="dxa"/>
              <w:right w:w="0" w:type="dxa"/>
            </w:tcMar>
            <w:vAlign w:val="center"/>
          </w:tcPr>
          <w:p w14:paraId="7A32037E">
            <w:pPr>
              <w:spacing w:line="0" w:lineRule="atLeast"/>
              <w:jc w:val="center"/>
              <w:rPr>
                <w:rFonts w:ascii="宋体" w:hAnsi="宋体" w:eastAsia="宋体"/>
                <w:color w:val="auto"/>
                <w:kern w:val="0"/>
                <w:sz w:val="18"/>
                <w:szCs w:val="18"/>
                <w:highlight w:val="none"/>
              </w:rPr>
            </w:pPr>
            <w:r>
              <w:rPr>
                <w:rFonts w:hint="eastAsia" w:ascii="Times New Roman" w:hAnsi="Times New Roman" w:eastAsia="宋体"/>
                <w:color w:val="auto"/>
                <w:sz w:val="18"/>
                <w:szCs w:val="18"/>
                <w:highlight w:val="none"/>
              </w:rPr>
              <w:t>工程</w:t>
            </w:r>
            <w:r>
              <w:rPr>
                <w:rFonts w:hint="eastAsia" w:ascii="宋体" w:hAnsi="宋体" w:eastAsia="宋体" w:cs="宋体"/>
                <w:color w:val="auto"/>
                <w:kern w:val="0"/>
                <w:sz w:val="18"/>
                <w:szCs w:val="18"/>
                <w:highlight w:val="none"/>
              </w:rPr>
              <w:t>名称</w:t>
            </w:r>
          </w:p>
        </w:tc>
        <w:tc>
          <w:tcPr>
            <w:tcW w:w="6852" w:type="dxa"/>
            <w:gridSpan w:val="3"/>
            <w:shd w:val="clear" w:color="auto" w:fill="auto"/>
            <w:noWrap/>
            <w:tcMar>
              <w:left w:w="0" w:type="dxa"/>
              <w:right w:w="0" w:type="dxa"/>
            </w:tcMar>
            <w:vAlign w:val="center"/>
          </w:tcPr>
          <w:p w14:paraId="5B70DF9D">
            <w:pPr>
              <w:spacing w:line="0" w:lineRule="atLeast"/>
              <w:jc w:val="center"/>
              <w:rPr>
                <w:rFonts w:ascii="宋体" w:hAnsi="宋体" w:eastAsia="宋体"/>
                <w:color w:val="auto"/>
                <w:kern w:val="0"/>
                <w:sz w:val="18"/>
                <w:szCs w:val="18"/>
                <w:highlight w:val="none"/>
              </w:rPr>
            </w:pPr>
          </w:p>
        </w:tc>
      </w:tr>
      <w:tr w14:paraId="65B0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074" w:type="dxa"/>
            <w:shd w:val="clear" w:color="auto" w:fill="auto"/>
            <w:noWrap/>
            <w:tcMar>
              <w:left w:w="0" w:type="dxa"/>
              <w:right w:w="0" w:type="dxa"/>
            </w:tcMar>
            <w:vAlign w:val="center"/>
          </w:tcPr>
          <w:p w14:paraId="7196785F">
            <w:pPr>
              <w:spacing w:line="0" w:lineRule="atLeast"/>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栋号</w:t>
            </w:r>
          </w:p>
        </w:tc>
        <w:tc>
          <w:tcPr>
            <w:tcW w:w="2883" w:type="dxa"/>
            <w:shd w:val="clear" w:color="auto" w:fill="auto"/>
            <w:vAlign w:val="center"/>
          </w:tcPr>
          <w:p w14:paraId="662521C6">
            <w:pPr>
              <w:spacing w:line="0" w:lineRule="atLeast"/>
              <w:jc w:val="center"/>
              <w:rPr>
                <w:rFonts w:ascii="宋体" w:hAnsi="宋体" w:eastAsia="宋体"/>
                <w:color w:val="auto"/>
                <w:kern w:val="0"/>
                <w:sz w:val="18"/>
                <w:szCs w:val="18"/>
                <w:highlight w:val="none"/>
              </w:rPr>
            </w:pPr>
          </w:p>
        </w:tc>
        <w:tc>
          <w:tcPr>
            <w:tcW w:w="963" w:type="dxa"/>
            <w:shd w:val="clear" w:color="auto" w:fill="auto"/>
            <w:vAlign w:val="center"/>
          </w:tcPr>
          <w:p w14:paraId="5926F891">
            <w:pPr>
              <w:spacing w:line="0" w:lineRule="atLeast"/>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房号</w:t>
            </w:r>
          </w:p>
        </w:tc>
        <w:tc>
          <w:tcPr>
            <w:tcW w:w="3006" w:type="dxa"/>
            <w:shd w:val="clear" w:color="auto" w:fill="auto"/>
            <w:vAlign w:val="center"/>
          </w:tcPr>
          <w:p w14:paraId="64181E1D">
            <w:pPr>
              <w:spacing w:line="0" w:lineRule="atLeast"/>
              <w:jc w:val="center"/>
              <w:rPr>
                <w:rFonts w:ascii="宋体" w:hAnsi="宋体" w:eastAsia="宋体"/>
                <w:color w:val="auto"/>
                <w:kern w:val="0"/>
                <w:sz w:val="18"/>
                <w:szCs w:val="18"/>
                <w:highlight w:val="none"/>
              </w:rPr>
            </w:pPr>
          </w:p>
        </w:tc>
      </w:tr>
      <w:tr w14:paraId="513F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4" w:type="dxa"/>
            <w:shd w:val="clear" w:color="auto" w:fill="auto"/>
            <w:noWrap/>
            <w:tcMar>
              <w:left w:w="0" w:type="dxa"/>
              <w:right w:w="0" w:type="dxa"/>
            </w:tcMar>
            <w:vAlign w:val="center"/>
          </w:tcPr>
          <w:p w14:paraId="5AD5FBA5">
            <w:pPr>
              <w:spacing w:line="0" w:lineRule="atLeas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建设单位</w:t>
            </w:r>
          </w:p>
        </w:tc>
        <w:tc>
          <w:tcPr>
            <w:tcW w:w="6852" w:type="dxa"/>
            <w:gridSpan w:val="3"/>
            <w:shd w:val="clear" w:color="auto" w:fill="auto"/>
            <w:noWrap/>
            <w:tcMar>
              <w:left w:w="0" w:type="dxa"/>
              <w:right w:w="0" w:type="dxa"/>
            </w:tcMar>
            <w:vAlign w:val="center"/>
          </w:tcPr>
          <w:p w14:paraId="6C43A6ED">
            <w:pPr>
              <w:spacing w:line="0" w:lineRule="atLeast"/>
              <w:jc w:val="center"/>
              <w:rPr>
                <w:rFonts w:ascii="宋体" w:hAnsi="宋体" w:eastAsia="宋体"/>
                <w:color w:val="auto"/>
                <w:kern w:val="0"/>
                <w:sz w:val="18"/>
                <w:szCs w:val="18"/>
                <w:highlight w:val="none"/>
              </w:rPr>
            </w:pPr>
          </w:p>
        </w:tc>
      </w:tr>
      <w:tr w14:paraId="79F0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8926" w:type="dxa"/>
            <w:gridSpan w:val="4"/>
            <w:shd w:val="clear" w:color="auto" w:fill="auto"/>
            <w:noWrap/>
            <w:tcMar>
              <w:left w:w="0" w:type="dxa"/>
              <w:right w:w="0" w:type="dxa"/>
            </w:tcMar>
            <w:vAlign w:val="center"/>
          </w:tcPr>
          <w:p w14:paraId="0AA9D4CA">
            <w:pPr>
              <w:spacing w:line="360" w:lineRule="auto"/>
              <w:ind w:firstLine="400" w:firstLineChars="200"/>
              <w:rPr>
                <w:rFonts w:ascii="Times New Roman" w:hAnsi="Times New Roman" w:eastAsia="宋体"/>
                <w:color w:val="auto"/>
                <w:sz w:val="20"/>
                <w:szCs w:val="20"/>
                <w:highlight w:val="none"/>
              </w:rPr>
            </w:pPr>
          </w:p>
          <w:p w14:paraId="5478E3F8">
            <w:pPr>
              <w:spacing w:line="360" w:lineRule="auto"/>
              <w:ind w:firstLine="400" w:firstLineChars="200"/>
              <w:rPr>
                <w:rFonts w:ascii="Times New Roman" w:hAnsi="Times New Roman" w:eastAsia="宋体"/>
                <w:color w:val="auto"/>
                <w:sz w:val="20"/>
                <w:szCs w:val="20"/>
                <w:highlight w:val="none"/>
              </w:rPr>
            </w:pPr>
          </w:p>
          <w:p w14:paraId="39130860">
            <w:pPr>
              <w:spacing w:line="360" w:lineRule="auto"/>
              <w:ind w:firstLine="400" w:firstLineChars="200"/>
              <w:rPr>
                <w:rFonts w:ascii="Times New Roman" w:hAnsi="Times New Roman" w:eastAsia="宋体"/>
                <w:color w:val="auto"/>
                <w:sz w:val="20"/>
                <w:szCs w:val="20"/>
                <w:highlight w:val="none"/>
              </w:rPr>
            </w:pPr>
            <w:r>
              <w:rPr>
                <w:rFonts w:hint="eastAsia" w:ascii="Times New Roman" w:hAnsi="Times New Roman" w:eastAsia="宋体"/>
                <w:color w:val="auto"/>
                <w:sz w:val="20"/>
                <w:szCs w:val="20"/>
                <w:highlight w:val="none"/>
              </w:rPr>
              <w:t>我单位已按广东省标准《住宅工程质量分户验收</w:t>
            </w:r>
            <w:r>
              <w:rPr>
                <w:rFonts w:hint="eastAsia" w:ascii="Times New Roman" w:hAnsi="Times New Roman" w:eastAsia="宋体"/>
                <w:color w:val="auto"/>
                <w:sz w:val="20"/>
                <w:szCs w:val="20"/>
                <w:highlight w:val="none"/>
                <w:lang w:eastAsia="zh-CN"/>
              </w:rPr>
              <w:t>标准</w:t>
            </w:r>
            <w:r>
              <w:rPr>
                <w:rFonts w:hint="eastAsia" w:ascii="Times New Roman" w:hAnsi="Times New Roman" w:eastAsia="宋体"/>
                <w:color w:val="auto"/>
                <w:sz w:val="20"/>
                <w:szCs w:val="20"/>
                <w:highlight w:val="none"/>
              </w:rPr>
              <w:t>》及相关规范要求，组织了住宅工程质量分户验收且验收合格。</w:t>
            </w:r>
          </w:p>
          <w:p w14:paraId="156BC656">
            <w:pPr>
              <w:spacing w:line="360" w:lineRule="auto"/>
              <w:ind w:firstLine="400" w:firstLineChars="200"/>
              <w:rPr>
                <w:rFonts w:ascii="Times New Roman" w:hAnsi="Times New Roman" w:eastAsia="宋体"/>
                <w:color w:val="auto"/>
                <w:sz w:val="20"/>
                <w:szCs w:val="20"/>
                <w:highlight w:val="none"/>
              </w:rPr>
            </w:pPr>
          </w:p>
          <w:p w14:paraId="743BBB5E">
            <w:pPr>
              <w:spacing w:line="360" w:lineRule="auto"/>
              <w:ind w:firstLine="400" w:firstLineChars="200"/>
              <w:rPr>
                <w:rFonts w:ascii="Times New Roman" w:hAnsi="Times New Roman" w:eastAsia="宋体"/>
                <w:color w:val="auto"/>
                <w:sz w:val="20"/>
                <w:szCs w:val="20"/>
                <w:highlight w:val="none"/>
              </w:rPr>
            </w:pPr>
          </w:p>
          <w:p w14:paraId="389C40F3">
            <w:pPr>
              <w:spacing w:line="360" w:lineRule="auto"/>
              <w:ind w:firstLine="400" w:firstLineChars="200"/>
              <w:rPr>
                <w:rFonts w:ascii="Times New Roman" w:hAnsi="Times New Roman" w:eastAsia="宋体"/>
                <w:color w:val="auto"/>
                <w:sz w:val="20"/>
                <w:szCs w:val="20"/>
                <w:highlight w:val="none"/>
              </w:rPr>
            </w:pPr>
          </w:p>
          <w:p w14:paraId="7955CB6E">
            <w:pPr>
              <w:spacing w:line="360" w:lineRule="auto"/>
              <w:ind w:firstLine="400" w:firstLineChars="200"/>
              <w:rPr>
                <w:rFonts w:ascii="Times New Roman" w:hAnsi="Times New Roman" w:eastAsia="宋体"/>
                <w:color w:val="auto"/>
                <w:sz w:val="20"/>
                <w:szCs w:val="20"/>
                <w:highlight w:val="none"/>
              </w:rPr>
            </w:pPr>
          </w:p>
          <w:p w14:paraId="73333726">
            <w:pPr>
              <w:spacing w:line="360" w:lineRule="auto"/>
              <w:ind w:firstLine="400" w:firstLineChars="200"/>
              <w:rPr>
                <w:rFonts w:ascii="Times New Roman" w:hAnsi="Times New Roman" w:eastAsia="宋体"/>
                <w:color w:val="auto"/>
                <w:sz w:val="20"/>
                <w:szCs w:val="20"/>
                <w:highlight w:val="none"/>
              </w:rPr>
            </w:pPr>
          </w:p>
          <w:p w14:paraId="08B6A3FA">
            <w:pPr>
              <w:spacing w:line="360" w:lineRule="auto"/>
              <w:ind w:firstLine="400" w:firstLineChars="200"/>
              <w:rPr>
                <w:rFonts w:ascii="Times New Roman" w:hAnsi="Times New Roman" w:eastAsia="宋体"/>
                <w:color w:val="auto"/>
                <w:sz w:val="20"/>
                <w:szCs w:val="20"/>
                <w:highlight w:val="none"/>
              </w:rPr>
            </w:pPr>
          </w:p>
          <w:p w14:paraId="567901A7">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建设单位项目负责人： </w:t>
            </w:r>
            <w:r>
              <w:rPr>
                <w:rFonts w:ascii="宋体" w:hAnsi="宋体" w:eastAsia="宋体"/>
                <w:color w:val="auto"/>
                <w:kern w:val="0"/>
                <w:sz w:val="18"/>
                <w:szCs w:val="18"/>
                <w:highlight w:val="none"/>
              </w:rPr>
              <w:t xml:space="preserve">          </w:t>
            </w:r>
          </w:p>
          <w:p w14:paraId="324DFBEC">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建设单位（公章） </w:t>
            </w:r>
            <w:r>
              <w:rPr>
                <w:rFonts w:ascii="宋体" w:hAnsi="宋体" w:eastAsia="宋体"/>
                <w:color w:val="auto"/>
                <w:kern w:val="0"/>
                <w:sz w:val="18"/>
                <w:szCs w:val="18"/>
                <w:highlight w:val="none"/>
              </w:rPr>
              <w:t xml:space="preserve">          </w:t>
            </w:r>
          </w:p>
          <w:p w14:paraId="1FFBD0A1">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年 </w:t>
            </w:r>
            <w:r>
              <w:rPr>
                <w:rFonts w:ascii="宋体" w:hAnsi="宋体" w:eastAsia="宋体"/>
                <w:color w:val="auto"/>
                <w:kern w:val="0"/>
                <w:sz w:val="18"/>
                <w:szCs w:val="18"/>
                <w:highlight w:val="none"/>
              </w:rPr>
              <w:t xml:space="preserve">   </w:t>
            </w:r>
            <w:r>
              <w:rPr>
                <w:rFonts w:hint="eastAsia" w:ascii="宋体" w:hAnsi="宋体" w:eastAsia="宋体"/>
                <w:color w:val="auto"/>
                <w:kern w:val="0"/>
                <w:sz w:val="18"/>
                <w:szCs w:val="18"/>
                <w:highlight w:val="none"/>
              </w:rPr>
              <w:t xml:space="preserve">月 </w:t>
            </w:r>
            <w:r>
              <w:rPr>
                <w:rFonts w:ascii="宋体" w:hAnsi="宋体" w:eastAsia="宋体"/>
                <w:color w:val="auto"/>
                <w:kern w:val="0"/>
                <w:sz w:val="18"/>
                <w:szCs w:val="18"/>
                <w:highlight w:val="none"/>
              </w:rPr>
              <w:t xml:space="preserve">   </w:t>
            </w:r>
            <w:r>
              <w:rPr>
                <w:rFonts w:hint="eastAsia" w:ascii="宋体" w:hAnsi="宋体" w:eastAsia="宋体"/>
                <w:color w:val="auto"/>
                <w:kern w:val="0"/>
                <w:sz w:val="18"/>
                <w:szCs w:val="18"/>
                <w:highlight w:val="none"/>
              </w:rPr>
              <w:t xml:space="preserve">日 </w:t>
            </w:r>
          </w:p>
          <w:p w14:paraId="1A274AEE">
            <w:pPr>
              <w:spacing w:line="360" w:lineRule="auto"/>
              <w:jc w:val="right"/>
              <w:rPr>
                <w:rFonts w:ascii="宋体" w:hAnsi="宋体" w:eastAsia="宋体"/>
                <w:color w:val="auto"/>
                <w:kern w:val="0"/>
                <w:sz w:val="18"/>
                <w:szCs w:val="18"/>
                <w:highlight w:val="none"/>
              </w:rPr>
            </w:pPr>
            <w:r>
              <w:rPr>
                <w:rFonts w:ascii="宋体" w:hAnsi="宋体" w:eastAsia="宋体"/>
                <w:color w:val="auto"/>
                <w:kern w:val="0"/>
                <w:sz w:val="18"/>
                <w:szCs w:val="18"/>
                <w:highlight w:val="none"/>
              </w:rPr>
              <w:t xml:space="preserve">  </w:t>
            </w:r>
          </w:p>
        </w:tc>
      </w:tr>
      <w:tr w14:paraId="27BE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926" w:type="dxa"/>
            <w:gridSpan w:val="4"/>
            <w:shd w:val="clear" w:color="auto" w:fill="auto"/>
            <w:noWrap/>
            <w:tcMar>
              <w:left w:w="0" w:type="dxa"/>
              <w:right w:w="0" w:type="dxa"/>
            </w:tcMar>
          </w:tcPr>
          <w:p w14:paraId="58E29E2E">
            <w:pPr>
              <w:spacing w:line="0" w:lineRule="atLeast"/>
              <w:rPr>
                <w:rFonts w:ascii="宋体" w:hAnsi="宋体" w:eastAsia="宋体"/>
                <w:color w:val="auto"/>
                <w:kern w:val="0"/>
                <w:sz w:val="18"/>
                <w:szCs w:val="18"/>
                <w:highlight w:val="none"/>
              </w:rPr>
            </w:pPr>
          </w:p>
          <w:p w14:paraId="5507D26F">
            <w:pPr>
              <w:spacing w:line="0" w:lineRule="atLeas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备注：</w:t>
            </w:r>
          </w:p>
        </w:tc>
      </w:tr>
    </w:tbl>
    <w:p w14:paraId="417209D4">
      <w:pPr>
        <w:spacing w:before="120" w:beforeLines="50"/>
        <w:rPr>
          <w:color w:val="auto"/>
          <w:highlight w:val="none"/>
        </w:rPr>
      </w:pPr>
      <w:r>
        <w:rPr>
          <w:rFonts w:hint="eastAsia"/>
          <w:color w:val="auto"/>
          <w:highlight w:val="none"/>
        </w:rPr>
        <w:t>注：如存在不影响结构安全和使用功能又无法整改的缺陷在备注栏中说明。</w:t>
      </w:r>
    </w:p>
    <w:p w14:paraId="44F7FCC8">
      <w:pPr>
        <w:rPr>
          <w:color w:val="auto"/>
          <w:highlight w:val="none"/>
        </w:rPr>
      </w:pPr>
    </w:p>
    <w:p w14:paraId="4E82B42B">
      <w:pPr>
        <w:rPr>
          <w:color w:val="auto"/>
          <w:highlight w:val="none"/>
        </w:rPr>
      </w:pPr>
    </w:p>
    <w:p w14:paraId="0860B10F">
      <w:pPr>
        <w:rPr>
          <w:color w:val="auto"/>
          <w:highlight w:val="none"/>
        </w:rPr>
      </w:pPr>
    </w:p>
    <w:p w14:paraId="722E359A">
      <w:pPr>
        <w:rPr>
          <w:color w:val="auto"/>
          <w:highlight w:val="none"/>
        </w:rPr>
      </w:pPr>
    </w:p>
    <w:p w14:paraId="212CD48B">
      <w:pPr>
        <w:rPr>
          <w:color w:val="auto"/>
          <w:highlight w:val="none"/>
        </w:rPr>
      </w:pPr>
    </w:p>
    <w:p w14:paraId="7DEE19A5">
      <w:pPr>
        <w:rPr>
          <w:color w:val="auto"/>
          <w:highlight w:val="none"/>
        </w:rPr>
      </w:pPr>
    </w:p>
    <w:p w14:paraId="411D81BF">
      <w:pPr>
        <w:rPr>
          <w:color w:val="auto"/>
          <w:highlight w:val="none"/>
        </w:rPr>
      </w:pPr>
    </w:p>
    <w:p w14:paraId="4A32C124">
      <w:pPr>
        <w:rPr>
          <w:color w:val="auto"/>
          <w:highlight w:val="none"/>
        </w:rPr>
      </w:pPr>
    </w:p>
    <w:p w14:paraId="4CA103C8">
      <w:pPr>
        <w:rPr>
          <w:color w:val="auto"/>
          <w:highlight w:val="none"/>
        </w:rPr>
      </w:pPr>
    </w:p>
    <w:p w14:paraId="3F026EF0">
      <w:pPr>
        <w:rPr>
          <w:color w:val="auto"/>
          <w:highlight w:val="none"/>
        </w:rPr>
      </w:pPr>
    </w:p>
    <w:p w14:paraId="654D96A4">
      <w:pPr>
        <w:rPr>
          <w:color w:val="auto"/>
          <w:highlight w:val="none"/>
        </w:rPr>
      </w:pPr>
    </w:p>
    <w:p w14:paraId="16C50437">
      <w:pPr>
        <w:widowControl/>
        <w:jc w:val="left"/>
        <w:rPr>
          <w:rFonts w:ascii="Calibri" w:hAnsi="Calibri" w:eastAsia="宋体"/>
          <w:color w:val="auto"/>
          <w:szCs w:val="24"/>
          <w:highlight w:val="none"/>
          <w:shd w:val="clear" w:color="auto" w:fill="FFFFFF"/>
        </w:rPr>
      </w:pPr>
    </w:p>
    <w:p w14:paraId="766618DB">
      <w:pPr>
        <w:pStyle w:val="2"/>
        <w:spacing w:before="240" w:after="240"/>
        <w:rPr>
          <w:rFonts w:hint="eastAsia" w:ascii="宋体" w:hAnsi="宋体" w:eastAsia="宋体" w:cs="宋体"/>
          <w:color w:val="auto"/>
          <w:highlight w:val="none"/>
        </w:rPr>
      </w:pPr>
      <w:bookmarkStart w:id="431" w:name="_Toc25699"/>
      <w:bookmarkStart w:id="432" w:name="_Toc22675"/>
      <w:bookmarkStart w:id="433" w:name="_Toc30875"/>
      <w:bookmarkStart w:id="434" w:name="_Toc25257"/>
      <w:bookmarkStart w:id="435" w:name="_Toc133572755"/>
      <w:bookmarkStart w:id="436" w:name="_Toc6642"/>
      <w:bookmarkStart w:id="437" w:name="_Toc15989"/>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用词说明</w:t>
      </w:r>
      <w:bookmarkEnd w:id="50"/>
      <w:bookmarkEnd w:id="51"/>
      <w:bookmarkEnd w:id="52"/>
      <w:bookmarkEnd w:id="53"/>
      <w:bookmarkEnd w:id="431"/>
      <w:bookmarkEnd w:id="432"/>
      <w:bookmarkEnd w:id="433"/>
      <w:bookmarkEnd w:id="434"/>
      <w:bookmarkEnd w:id="435"/>
      <w:bookmarkEnd w:id="436"/>
      <w:bookmarkEnd w:id="437"/>
    </w:p>
    <w:p w14:paraId="484051F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为便于在执行本</w:t>
      </w:r>
      <w:r>
        <w:rPr>
          <w:rFonts w:hint="eastAsia" w:ascii="宋体" w:hAnsi="宋体" w:eastAsia="宋体" w:cs="宋体"/>
          <w:color w:val="auto"/>
          <w:sz w:val="28"/>
          <w:szCs w:val="28"/>
          <w:highlight w:val="none"/>
          <w:lang w:eastAsia="zh-CN"/>
        </w:rPr>
        <w:t>标准</w:t>
      </w:r>
      <w:r>
        <w:rPr>
          <w:rFonts w:hint="eastAsia" w:ascii="宋体" w:hAnsi="宋体" w:eastAsia="宋体" w:cs="宋体"/>
          <w:color w:val="auto"/>
          <w:sz w:val="28"/>
          <w:szCs w:val="28"/>
          <w:highlight w:val="none"/>
        </w:rPr>
        <w:t>条文时区别对待，对要求严格程度不同的用词说明如下：</w:t>
      </w:r>
    </w:p>
    <w:p w14:paraId="2A2622D7">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1）表示很严格，非这样做不可的：</w:t>
      </w:r>
    </w:p>
    <w:p w14:paraId="56A07DE7">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正面词采用“必须”，反面词采用“严禁”；</w:t>
      </w:r>
    </w:p>
    <w:p w14:paraId="55F06337">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2）表示严格，在正常情况下均应这样做的：</w:t>
      </w:r>
    </w:p>
    <w:p w14:paraId="0EE2D8EF">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正面词采用“应”，反面词采用“不应”或“不得”；</w:t>
      </w:r>
    </w:p>
    <w:p w14:paraId="7B03834E">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3）表示允许稍有选择，在条件许可时首先应这样做的：</w:t>
      </w:r>
    </w:p>
    <w:p w14:paraId="6B3338AE">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正面词采用“宜”，反面词采用“不宜”；</w:t>
      </w:r>
    </w:p>
    <w:p w14:paraId="0D916624">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4）表示有选择，在一定条件下可这样做的，采用“可”。</w:t>
      </w:r>
    </w:p>
    <w:p w14:paraId="3531768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 条文中指明应按其他有关标准执行的写法为：“应符合……的规定”或“应按……执行”。</w:t>
      </w:r>
    </w:p>
    <w:p w14:paraId="3673AF60">
      <w:pPr>
        <w:spacing w:line="360" w:lineRule="auto"/>
        <w:ind w:left="1" w:firstLine="560" w:firstLineChars="200"/>
        <w:rPr>
          <w:rFonts w:ascii="宋体" w:hAnsi="宋体" w:eastAsia="宋体" w:cs="宋体"/>
          <w:color w:val="auto"/>
          <w:kern w:val="0"/>
          <w:sz w:val="28"/>
          <w:szCs w:val="28"/>
          <w:highlight w:val="none"/>
        </w:rPr>
      </w:pPr>
    </w:p>
    <w:p w14:paraId="1EBC2498">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3774C57">
      <w:pPr>
        <w:pStyle w:val="2"/>
        <w:spacing w:before="240" w:after="240"/>
        <w:rPr>
          <w:rFonts w:ascii="宋体" w:hAnsi="宋体" w:eastAsia="宋体" w:cs="宋体"/>
          <w:color w:val="auto"/>
          <w:highlight w:val="none"/>
        </w:rPr>
      </w:pPr>
      <w:bookmarkStart w:id="438" w:name="_Toc133572756"/>
      <w:bookmarkStart w:id="439" w:name="_Toc46060148"/>
      <w:bookmarkStart w:id="440" w:name="_Toc19487"/>
      <w:bookmarkStart w:id="441" w:name="_Toc487536455"/>
      <w:bookmarkStart w:id="442" w:name="_Toc505674552"/>
      <w:bookmarkStart w:id="443" w:name="_Toc16045"/>
      <w:bookmarkStart w:id="444" w:name="_Toc506214699"/>
      <w:bookmarkStart w:id="445" w:name="_Toc60935897"/>
      <w:bookmarkStart w:id="446" w:name="_Toc21665"/>
      <w:bookmarkStart w:id="447" w:name="_Toc17037"/>
      <w:bookmarkStart w:id="448" w:name="_Toc18394337"/>
      <w:bookmarkStart w:id="449" w:name="_Toc413917646"/>
      <w:bookmarkStart w:id="450" w:name="_Toc27420"/>
      <w:bookmarkStart w:id="451" w:name="_Toc19602"/>
      <w:bookmarkStart w:id="452" w:name="_Toc505674646"/>
      <w:bookmarkStart w:id="453" w:name="_Toc506201917"/>
      <w:bookmarkStart w:id="454" w:name="_Toc487536117"/>
      <w:bookmarkStart w:id="455" w:name="_Toc487536180"/>
      <w:bookmarkStart w:id="456" w:name="_Toc18056681"/>
      <w:r>
        <w:rPr>
          <w:rFonts w:hint="eastAsia" w:ascii="宋体" w:hAnsi="宋体" w:eastAsia="宋体" w:cs="宋体"/>
          <w:color w:val="auto"/>
          <w:highlight w:val="none"/>
        </w:rPr>
        <w:t>引用标准名录</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160FBD47">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《地下防水工程质量验收规范》GB 50208-2011</w:t>
      </w:r>
    </w:p>
    <w:p w14:paraId="070BBACA">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《建筑装饰装修工程质量验收标准》GB 50210</w:t>
      </w:r>
    </w:p>
    <w:p w14:paraId="4DC8F9C8">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《建筑工程施工质量验收统一标准》GB 50300</w:t>
      </w:r>
    </w:p>
    <w:p w14:paraId="05910441">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《建筑与市政工程防水通用规范》GB 55030-2022</w:t>
      </w:r>
    </w:p>
    <w:p w14:paraId="07416BF1">
      <w:pPr>
        <w:spacing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r>
        <w:rPr>
          <w:color w:val="auto"/>
          <w:highlight w:val="none"/>
        </w:rPr>
        <w:fldChar w:fldCharType="begin"/>
      </w:r>
      <w:r>
        <w:rPr>
          <w:color w:val="auto"/>
          <w:highlight w:val="none"/>
        </w:rPr>
        <w:instrText xml:space="preserve"> HYPERLINK "http://www.jianbiaoku.com/webarbs/book/10016/285526.shtml" \t "_self" </w:instrText>
      </w:r>
      <w:r>
        <w:rPr>
          <w:color w:val="auto"/>
          <w:highlight w:val="none"/>
        </w:rPr>
        <w:fldChar w:fldCharType="separate"/>
      </w:r>
      <w:r>
        <w:rPr>
          <w:rFonts w:hint="eastAsia" w:ascii="宋体" w:hAnsi="宋体" w:eastAsia="宋体" w:cs="宋体"/>
          <w:color w:val="auto"/>
          <w:kern w:val="0"/>
          <w:sz w:val="28"/>
          <w:szCs w:val="28"/>
          <w:highlight w:val="none"/>
        </w:rPr>
        <w:t>无障碍设施施工验收及维护规范</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GB 50642-2011</w:t>
      </w:r>
    </w:p>
    <w:p w14:paraId="19DD03D1">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《建筑与市政工程施工质量控制通用规范》GB 55032</w:t>
      </w:r>
    </w:p>
    <w:p w14:paraId="778DFB1A">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《建筑玻璃应用技术规程》JGJ 113</w:t>
      </w:r>
    </w:p>
    <w:p w14:paraId="76D296D9">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《节水型生活用水器具》CJ</w:t>
      </w:r>
      <w:r>
        <w:rPr>
          <w:rFonts w:hint="eastAsia" w:ascii="宋体" w:hAnsi="宋体" w:eastAsia="宋体" w:cs="宋体"/>
          <w:color w:val="auto"/>
          <w:sz w:val="28"/>
          <w:szCs w:val="28"/>
          <w:highlight w:val="none"/>
          <w:lang w:val="en-US" w:eastAsia="zh-CN"/>
        </w:rPr>
        <w:t>/T</w:t>
      </w:r>
      <w:r>
        <w:rPr>
          <w:rFonts w:hint="eastAsia" w:ascii="宋体" w:hAnsi="宋体" w:eastAsia="宋体" w:cs="宋体"/>
          <w:color w:val="auto"/>
          <w:sz w:val="28"/>
          <w:szCs w:val="28"/>
          <w:highlight w:val="none"/>
        </w:rPr>
        <w:t xml:space="preserve"> 164</w:t>
      </w:r>
    </w:p>
    <w:p w14:paraId="2FE623BA">
      <w:pPr>
        <w:spacing w:line="360" w:lineRule="auto"/>
        <w:jc w:val="left"/>
        <w:rPr>
          <w:rFonts w:hint="eastAsia" w:ascii="宋体" w:hAnsi="宋体" w:eastAsia="宋体" w:cs="宋体"/>
          <w:color w:val="auto"/>
          <w:kern w:val="0"/>
          <w:sz w:val="28"/>
          <w:szCs w:val="28"/>
          <w:highlight w:val="none"/>
        </w:rPr>
      </w:pPr>
    </w:p>
    <w:p w14:paraId="3DE19175">
      <w:pPr>
        <w:spacing w:line="360" w:lineRule="auto"/>
        <w:jc w:val="center"/>
        <w:rPr>
          <w:rFonts w:ascii="宋体" w:hAnsi="宋体" w:eastAsia="宋体" w:cs="宋体"/>
          <w:color w:val="auto"/>
          <w:sz w:val="28"/>
          <w:szCs w:val="28"/>
          <w:highlight w:val="none"/>
        </w:rPr>
      </w:pPr>
    </w:p>
    <w:p w14:paraId="2A9D650B">
      <w:pPr>
        <w:spacing w:line="360" w:lineRule="auto"/>
        <w:jc w:val="center"/>
        <w:rPr>
          <w:rFonts w:ascii="宋体" w:hAnsi="宋体" w:eastAsia="宋体" w:cs="宋体"/>
          <w:color w:val="auto"/>
          <w:sz w:val="28"/>
          <w:szCs w:val="28"/>
          <w:highlight w:val="none"/>
        </w:rPr>
      </w:pPr>
    </w:p>
    <w:p w14:paraId="54CC150C">
      <w:pPr>
        <w:spacing w:line="360" w:lineRule="auto"/>
        <w:jc w:val="center"/>
        <w:rPr>
          <w:rFonts w:ascii="宋体" w:hAnsi="宋体" w:eastAsia="宋体" w:cs="宋体"/>
          <w:color w:val="auto"/>
          <w:sz w:val="28"/>
          <w:szCs w:val="28"/>
          <w:highlight w:val="none"/>
        </w:rPr>
      </w:pPr>
    </w:p>
    <w:p w14:paraId="7F3CF9CA">
      <w:pPr>
        <w:spacing w:line="360" w:lineRule="auto"/>
        <w:jc w:val="center"/>
        <w:rPr>
          <w:rFonts w:ascii="宋体" w:hAnsi="宋体" w:eastAsia="宋体" w:cs="宋体"/>
          <w:bCs/>
          <w:color w:val="auto"/>
          <w:sz w:val="32"/>
          <w:szCs w:val="32"/>
          <w:highlight w:val="none"/>
        </w:rPr>
        <w:sectPr>
          <w:footerReference r:id="rId9" w:type="default"/>
          <w:pgSz w:w="12240" w:h="15840"/>
          <w:pgMar w:top="1440" w:right="1797" w:bottom="1440" w:left="1797" w:header="720" w:footer="720" w:gutter="0"/>
          <w:cols w:space="720" w:num="1"/>
        </w:sectPr>
      </w:pPr>
    </w:p>
    <w:p w14:paraId="4109D72E">
      <w:pPr>
        <w:tabs>
          <w:tab w:val="left" w:pos="7740"/>
        </w:tabs>
        <w:spacing w:line="360" w:lineRule="auto"/>
        <w:jc w:val="left"/>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ab/>
      </w:r>
    </w:p>
    <w:p w14:paraId="571EAE02">
      <w:pPr>
        <w:spacing w:line="360" w:lineRule="auto"/>
        <w:jc w:val="center"/>
        <w:rPr>
          <w:rFonts w:ascii="宋体" w:hAnsi="宋体" w:eastAsia="宋体" w:cs="宋体"/>
          <w:bCs/>
          <w:color w:val="auto"/>
          <w:sz w:val="32"/>
          <w:szCs w:val="32"/>
          <w:highlight w:val="none"/>
        </w:rPr>
      </w:pPr>
    </w:p>
    <w:p w14:paraId="76DE7CBC">
      <w:pPr>
        <w:spacing w:line="360" w:lineRule="auto"/>
        <w:jc w:val="center"/>
        <w:rPr>
          <w:rFonts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广东省标准</w:t>
      </w:r>
    </w:p>
    <w:p w14:paraId="70866571">
      <w:pPr>
        <w:spacing w:line="360" w:lineRule="auto"/>
        <w:jc w:val="center"/>
        <w:rPr>
          <w:rFonts w:ascii="宋体" w:hAnsi="宋体" w:eastAsia="宋体" w:cs="宋体"/>
          <w:bCs/>
          <w:color w:val="auto"/>
          <w:sz w:val="36"/>
          <w:szCs w:val="36"/>
          <w:highlight w:val="none"/>
        </w:rPr>
      </w:pPr>
    </w:p>
    <w:p w14:paraId="42846C13">
      <w:pPr>
        <w:spacing w:line="360" w:lineRule="auto"/>
        <w:jc w:val="center"/>
        <w:rPr>
          <w:rFonts w:hint="eastAsia" w:ascii="方正小标宋简体" w:hAnsi="方正小标宋简体" w:eastAsia="方正小标宋简体" w:cs="方正小标宋简体"/>
          <w:bCs/>
          <w:color w:val="auto"/>
          <w:sz w:val="48"/>
          <w:szCs w:val="48"/>
          <w:highlight w:val="none"/>
          <w:lang w:eastAsia="zh-CN"/>
        </w:rPr>
      </w:pPr>
      <w:r>
        <w:rPr>
          <w:rFonts w:hint="eastAsia" w:ascii="方正小标宋简体" w:hAnsi="方正小标宋简体" w:eastAsia="方正小标宋简体" w:cs="方正小标宋简体"/>
          <w:bCs/>
          <w:color w:val="auto"/>
          <w:sz w:val="48"/>
          <w:szCs w:val="48"/>
          <w:highlight w:val="none"/>
        </w:rPr>
        <w:t>住宅工程质量分户验收</w:t>
      </w:r>
      <w:r>
        <w:rPr>
          <w:rFonts w:hint="eastAsia" w:ascii="方正小标宋简体" w:hAnsi="方正小标宋简体" w:eastAsia="方正小标宋简体" w:cs="方正小标宋简体"/>
          <w:bCs/>
          <w:color w:val="auto"/>
          <w:sz w:val="48"/>
          <w:szCs w:val="48"/>
          <w:highlight w:val="none"/>
          <w:lang w:eastAsia="zh-CN"/>
        </w:rPr>
        <w:t>标准</w:t>
      </w:r>
    </w:p>
    <w:p w14:paraId="2B6063AA">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pacing w:val="23"/>
          <w:sz w:val="28"/>
          <w:szCs w:val="28"/>
          <w:highlight w:val="none"/>
        </w:rPr>
        <w:t xml:space="preserve">DBJ/T </w:t>
      </w:r>
      <w:r>
        <w:rPr>
          <w:rFonts w:hint="eastAsia" w:ascii="宋体" w:hAnsi="宋体" w:eastAsia="宋体" w:cs="宋体"/>
          <w:color w:val="auto"/>
          <w:sz w:val="32"/>
          <w:szCs w:val="32"/>
          <w:highlight w:val="none"/>
        </w:rPr>
        <w:t>××</w:t>
      </w:r>
      <w:r>
        <w:rPr>
          <w:rFonts w:hint="eastAsia" w:ascii="宋体" w:hAnsi="宋体" w:eastAsia="宋体" w:cs="宋体"/>
          <w:color w:val="auto"/>
          <w:spacing w:val="23"/>
          <w:sz w:val="28"/>
          <w:szCs w:val="28"/>
          <w:highlight w:val="none"/>
        </w:rPr>
        <w:t>-</w:t>
      </w:r>
      <w:r>
        <w:rPr>
          <w:rFonts w:hint="eastAsia" w:ascii="宋体" w:hAnsi="宋体" w:eastAsia="宋体" w:cs="宋体"/>
          <w:color w:val="auto"/>
          <w:sz w:val="32"/>
          <w:szCs w:val="32"/>
          <w:highlight w:val="none"/>
        </w:rPr>
        <w:t>××</w:t>
      </w:r>
      <w:r>
        <w:rPr>
          <w:rFonts w:hint="eastAsia" w:ascii="宋体" w:hAnsi="宋体" w:eastAsia="宋体" w:cs="宋体"/>
          <w:color w:val="auto"/>
          <w:spacing w:val="23"/>
          <w:sz w:val="28"/>
          <w:szCs w:val="28"/>
          <w:highlight w:val="none"/>
        </w:rPr>
        <w:t>-</w:t>
      </w:r>
      <w:r>
        <w:rPr>
          <w:rFonts w:hint="eastAsia" w:ascii="宋体" w:hAnsi="宋体" w:eastAsia="宋体" w:cs="宋体"/>
          <w:color w:val="auto"/>
          <w:sz w:val="32"/>
          <w:szCs w:val="32"/>
          <w:highlight w:val="none"/>
        </w:rPr>
        <w:t>××</w:t>
      </w:r>
    </w:p>
    <w:p w14:paraId="0B65EEFE">
      <w:pPr>
        <w:spacing w:line="360" w:lineRule="auto"/>
        <w:jc w:val="center"/>
        <w:rPr>
          <w:rFonts w:ascii="宋体" w:hAnsi="宋体" w:eastAsia="宋体" w:cs="宋体"/>
          <w:color w:val="auto"/>
          <w:sz w:val="28"/>
          <w:szCs w:val="28"/>
          <w:highlight w:val="none"/>
        </w:rPr>
      </w:pPr>
    </w:p>
    <w:p w14:paraId="22EFD4AC">
      <w:pPr>
        <w:pStyle w:val="2"/>
        <w:spacing w:before="240" w:after="240"/>
        <w:rPr>
          <w:rFonts w:ascii="宋体" w:hAnsi="宋体" w:eastAsia="宋体" w:cs="宋体"/>
          <w:b w:val="0"/>
          <w:bCs/>
          <w:color w:val="auto"/>
          <w:sz w:val="36"/>
          <w:szCs w:val="36"/>
          <w:highlight w:val="none"/>
        </w:rPr>
      </w:pPr>
      <w:bookmarkStart w:id="457" w:name="_Toc30289"/>
      <w:bookmarkStart w:id="458" w:name="_Toc7517"/>
      <w:bookmarkStart w:id="459" w:name="_Toc21954"/>
      <w:bookmarkStart w:id="460" w:name="_Toc60935898"/>
      <w:bookmarkStart w:id="461" w:name="_Toc15536"/>
      <w:bookmarkStart w:id="462" w:name="_Toc17822"/>
      <w:bookmarkStart w:id="463" w:name="_Toc18056682"/>
      <w:bookmarkStart w:id="464" w:name="_Toc46060149"/>
      <w:bookmarkStart w:id="465" w:name="_Toc18394338"/>
      <w:bookmarkStart w:id="466" w:name="_Toc133572757"/>
      <w:bookmarkStart w:id="467" w:name="_Toc15031"/>
      <w:r>
        <w:rPr>
          <w:rFonts w:hint="eastAsia" w:ascii="宋体" w:hAnsi="宋体" w:eastAsia="宋体" w:cs="宋体"/>
          <w:b w:val="0"/>
          <w:bCs/>
          <w:color w:val="auto"/>
          <w:sz w:val="36"/>
          <w:szCs w:val="36"/>
          <w:highlight w:val="none"/>
        </w:rPr>
        <w:t>条文说明</w:t>
      </w:r>
      <w:bookmarkEnd w:id="457"/>
      <w:bookmarkEnd w:id="458"/>
      <w:bookmarkEnd w:id="459"/>
      <w:bookmarkEnd w:id="460"/>
      <w:bookmarkEnd w:id="461"/>
      <w:bookmarkEnd w:id="462"/>
      <w:bookmarkEnd w:id="463"/>
      <w:bookmarkEnd w:id="464"/>
      <w:bookmarkEnd w:id="465"/>
      <w:bookmarkEnd w:id="466"/>
      <w:bookmarkEnd w:id="467"/>
    </w:p>
    <w:p w14:paraId="25A3F7AE">
      <w:pPr>
        <w:widowControl/>
        <w:jc w:val="left"/>
        <w:rPr>
          <w:rFonts w:ascii="宋体" w:hAnsi="宋体" w:eastAsia="宋体" w:cs="宋体"/>
          <w:color w:val="auto"/>
          <w:sz w:val="28"/>
          <w:szCs w:val="28"/>
          <w:highlight w:val="none"/>
        </w:rPr>
      </w:pPr>
    </w:p>
    <w:p w14:paraId="5E7D13EB">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14:paraId="6F123C08">
      <w:pPr>
        <w:pStyle w:val="2"/>
        <w:spacing w:before="240" w:after="240"/>
        <w:rPr>
          <w:rFonts w:ascii="宋体" w:hAnsi="宋体" w:eastAsia="宋体" w:cs="宋体"/>
          <w:bCs/>
          <w:color w:val="auto"/>
          <w:szCs w:val="36"/>
          <w:highlight w:val="none"/>
        </w:rPr>
      </w:pPr>
      <w:bookmarkStart w:id="468" w:name="_Toc8342"/>
      <w:bookmarkStart w:id="469" w:name="_Toc26788"/>
      <w:bookmarkStart w:id="470" w:name="_Toc14507"/>
      <w:bookmarkStart w:id="471" w:name="_Toc5654"/>
      <w:bookmarkStart w:id="472" w:name="_Toc60935899"/>
      <w:bookmarkStart w:id="473" w:name="_Toc60935805"/>
      <w:bookmarkStart w:id="474" w:name="_Toc24808"/>
      <w:bookmarkStart w:id="475" w:name="_Toc133572758"/>
      <w:bookmarkStart w:id="476" w:name="_Toc32024"/>
      <w:r>
        <w:rPr>
          <w:rFonts w:ascii="宋体" w:hAnsi="宋体" w:eastAsia="宋体" w:cs="宋体"/>
          <w:bCs/>
          <w:color w:val="auto"/>
          <w:szCs w:val="36"/>
          <w:highlight w:val="none"/>
        </w:rPr>
        <w:t>制</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定</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说</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明</w:t>
      </w:r>
      <w:bookmarkEnd w:id="468"/>
      <w:bookmarkEnd w:id="469"/>
      <w:bookmarkEnd w:id="470"/>
      <w:bookmarkEnd w:id="471"/>
      <w:bookmarkEnd w:id="472"/>
      <w:bookmarkEnd w:id="473"/>
      <w:bookmarkEnd w:id="474"/>
      <w:bookmarkEnd w:id="475"/>
      <w:bookmarkEnd w:id="476"/>
    </w:p>
    <w:p w14:paraId="09BDA669">
      <w:pPr>
        <w:pStyle w:val="46"/>
        <w:spacing w:before="480" w:beforeLines="200" w:line="360" w:lineRule="auto"/>
        <w:rPr>
          <w:rFonts w:ascii="宋体" w:hAnsi="宋体" w:cs="宋体"/>
          <w:color w:val="auto"/>
          <w:highlight w:val="none"/>
        </w:rPr>
      </w:pPr>
      <w:r>
        <w:rPr>
          <w:rFonts w:hint="eastAsia" w:ascii="宋体" w:hAnsi="宋体" w:cs="宋体"/>
          <w:color w:val="auto"/>
          <w:highlight w:val="none"/>
        </w:rPr>
        <w:t>《住宅工程质量分户验收</w:t>
      </w:r>
      <w:r>
        <w:rPr>
          <w:rFonts w:hint="eastAsia" w:ascii="宋体" w:hAnsi="宋体" w:cs="宋体"/>
          <w:color w:val="auto"/>
          <w:highlight w:val="none"/>
          <w:lang w:eastAsia="zh-CN"/>
        </w:rPr>
        <w:t>标准</w:t>
      </w:r>
      <w:r>
        <w:rPr>
          <w:rFonts w:hint="eastAsia" w:ascii="宋体" w:hAnsi="宋体" w:cs="宋体"/>
          <w:color w:val="auto"/>
          <w:highlight w:val="none"/>
        </w:rPr>
        <w:t>》</w:t>
      </w:r>
      <w:r>
        <w:rPr>
          <w:rFonts w:ascii="宋体" w:hAnsi="宋体" w:cs="宋体"/>
          <w:color w:val="auto"/>
          <w:highlight w:val="none"/>
        </w:rPr>
        <w:t>DBJ/T ××-××-20××</w:t>
      </w:r>
      <w:r>
        <w:rPr>
          <w:rFonts w:hint="eastAsia" w:ascii="宋体" w:hAnsi="宋体" w:cs="宋体"/>
          <w:color w:val="auto"/>
          <w:highlight w:val="none"/>
        </w:rPr>
        <w:t>,</w:t>
      </w:r>
      <w:r>
        <w:rPr>
          <w:rFonts w:ascii="宋体" w:hAnsi="宋体" w:cs="宋体"/>
          <w:color w:val="auto"/>
          <w:highlight w:val="none"/>
        </w:rPr>
        <w:t>经住房和城乡建设部20××年××月××日以第××××号公告批准发布</w:t>
      </w:r>
      <w:r>
        <w:rPr>
          <w:rFonts w:hint="eastAsia" w:ascii="宋体" w:hAnsi="宋体" w:cs="宋体"/>
          <w:color w:val="auto"/>
          <w:highlight w:val="none"/>
        </w:rPr>
        <w:t>。</w:t>
      </w:r>
    </w:p>
    <w:p w14:paraId="6AB8D887">
      <w:pPr>
        <w:pStyle w:val="46"/>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在本标准制订过程中，编制组实地考察了多个住宅工程现场，广泛调查研究了住宅工程质量检测和检查方法，结合广东省住宅工程质量分户验收的实践经验同时参考了国内外先进技术法规、技术标准，形成本标准</w:t>
      </w:r>
      <w:r>
        <w:rPr>
          <w:rFonts w:hint="eastAsia" w:ascii="宋体" w:hAnsi="宋体" w:cs="宋体"/>
          <w:color w:val="auto"/>
          <w:highlight w:val="none"/>
        </w:rPr>
        <w:t>。</w:t>
      </w:r>
    </w:p>
    <w:p w14:paraId="44FE0801">
      <w:pPr>
        <w:pStyle w:val="46"/>
        <w:spacing w:line="360" w:lineRule="auto"/>
        <w:rPr>
          <w:rFonts w:hint="eastAsia" w:ascii="宋体" w:hAnsi="宋体" w:cs="宋体"/>
          <w:color w:val="auto"/>
          <w:highlight w:val="none"/>
        </w:rPr>
      </w:pPr>
      <w:r>
        <w:rPr>
          <w:rFonts w:hint="eastAsia" w:ascii="宋体" w:hAnsi="宋体" w:cs="宋体"/>
          <w:color w:val="auto"/>
          <w:highlight w:val="none"/>
        </w:rPr>
        <w:t>为便于广大设计、施工、科研、学校等单位有关人员在使用本标准时能正确理解和执行条文规定，《</w:t>
      </w:r>
      <w:r>
        <w:rPr>
          <w:rFonts w:hint="eastAsia" w:ascii="宋体" w:hAnsi="宋体" w:cs="宋体"/>
          <w:color w:val="auto"/>
          <w:highlight w:val="none"/>
          <w:lang w:val="en-US" w:eastAsia="zh-CN"/>
        </w:rPr>
        <w:t>住宅工程质量分户验收标准</w:t>
      </w:r>
      <w:r>
        <w:rPr>
          <w:rFonts w:hint="eastAsia" w:ascii="宋体" w:hAnsi="宋体" w:cs="宋体"/>
          <w:color w:val="auto"/>
          <w:highlight w:val="none"/>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60BF6325">
      <w:pPr>
        <w:pStyle w:val="46"/>
        <w:spacing w:line="360" w:lineRule="auto"/>
        <w:rPr>
          <w:rFonts w:hint="eastAsia" w:ascii="宋体" w:hAnsi="宋体" w:cs="宋体"/>
          <w:color w:val="auto"/>
          <w:highlight w:val="none"/>
        </w:rPr>
      </w:pPr>
    </w:p>
    <w:p w14:paraId="7967E015">
      <w:pPr>
        <w:pStyle w:val="46"/>
        <w:spacing w:line="360" w:lineRule="auto"/>
        <w:rPr>
          <w:rFonts w:ascii="宋体" w:hAnsi="宋体" w:cs="宋体"/>
          <w:color w:val="auto"/>
          <w:highlight w:val="none"/>
        </w:rPr>
      </w:pPr>
    </w:p>
    <w:p w14:paraId="66847394">
      <w:pPr>
        <w:widowControl/>
        <w:spacing w:line="240" w:lineRule="auto"/>
        <w:jc w:val="left"/>
        <w:rPr>
          <w:color w:val="auto"/>
          <w:highlight w:val="none"/>
        </w:rPr>
      </w:pPr>
      <w:r>
        <w:rPr>
          <w:rFonts w:ascii="宋体" w:hAnsi="宋体" w:eastAsia="宋体" w:cs="宋体"/>
          <w:color w:val="auto"/>
          <w:sz w:val="28"/>
          <w:szCs w:val="28"/>
          <w:highlight w:val="none"/>
        </w:rPr>
        <w:br w:type="page"/>
      </w:r>
    </w:p>
    <w:sectPr>
      <w:pgSz w:w="12240" w:h="15840"/>
      <w:pgMar w:top="1440" w:right="1797" w:bottom="1440" w:left="1797" w:header="720" w:footer="720" w:gutter="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ook Antiqua">
    <w:panose1 w:val="02040602050305030304"/>
    <w:charset w:val="00"/>
    <w:family w:val="roman"/>
    <w:pitch w:val="default"/>
    <w:sig w:usb0="00000287" w:usb1="00000000" w:usb2="00000000" w:usb3="00000000" w:csb0="2000009F" w:csb1="DFD70000"/>
  </w:font>
  <w:font w:name="Candara">
    <w:panose1 w:val="020E0502030303020204"/>
    <w:charset w:val="00"/>
    <w:family w:val="swiss"/>
    <w:pitch w:val="default"/>
    <w:sig w:usb0="A00002EF" w:usb1="4000A44B" w:usb2="00000000" w:usb3="00000000" w:csb0="2000019F" w:csb1="00000000"/>
  </w:font>
  <w:font w:name="Segoe UI">
    <w:panose1 w:val="020B0502040204020203"/>
    <w:charset w:val="00"/>
    <w:family w:val="swiss"/>
    <w:pitch w:val="default"/>
    <w:sig w:usb0="E4002EFF" w:usb1="C000E47F" w:usb2="00000009" w:usb3="00000000" w:csb0="200001FF" w:csb1="00000000"/>
  </w:font>
  <w:font w:name="MS Reference Sans Serif">
    <w:panose1 w:val="020B0604030504040204"/>
    <w:charset w:val="00"/>
    <w:family w:val="swiss"/>
    <w:pitch w:val="default"/>
    <w:sig w:usb0="00000287" w:usb1="00000000" w:usb2="00000000" w:usb3="00000000" w:csb0="2000019F" w:csb1="00000000"/>
  </w:font>
  <w:font w:name="Sylfaen">
    <w:panose1 w:val="010A0502050306030303"/>
    <w:charset w:val="00"/>
    <w:family w:val="roman"/>
    <w:pitch w:val="default"/>
    <w:sig w:usb0="040006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Dutch801 XBd B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5824">
    <w:pPr>
      <w:pStyle w:val="17"/>
    </w:pPr>
    <w:r>
      <w:fldChar w:fldCharType="begin"/>
    </w:r>
    <w:r>
      <w:instrText xml:space="preserve">PAGE   \* MERGEFORMAT</w:instrText>
    </w:r>
    <w:r>
      <w:fldChar w:fldCharType="separate"/>
    </w:r>
    <w:r>
      <w:rPr>
        <w:lang w:val="zh-CN"/>
      </w:rPr>
      <w:t>2</w:t>
    </w:r>
    <w:r>
      <w:rPr>
        <w:lang w:val="zh-CN"/>
      </w:rPr>
      <w:fldChar w:fldCharType="end"/>
    </w:r>
  </w:p>
  <w:p w14:paraId="03894B2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EDBE">
    <w:pPr>
      <w:pStyle w:val="17"/>
      <w:jc w:val="right"/>
    </w:pPr>
    <w:r>
      <w:fldChar w:fldCharType="begin"/>
    </w:r>
    <w:r>
      <w:instrText xml:space="preserve">PAGE   \* MERGEFORMAT</w:instrText>
    </w:r>
    <w:r>
      <w:fldChar w:fldCharType="separate"/>
    </w:r>
    <w:r>
      <w:rPr>
        <w:lang w:val="zh-CN"/>
      </w:rPr>
      <w:t>18</w:t>
    </w:r>
    <w:r>
      <w:rPr>
        <w:lang w:val="zh-CN"/>
      </w:rPr>
      <w:fldChar w:fldCharType="end"/>
    </w:r>
  </w:p>
  <w:p w14:paraId="578468C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E3BA">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93B8">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9773">
    <w:pPr>
      <w:pStyle w:val="17"/>
    </w:pPr>
  </w:p>
  <w:p w14:paraId="7830F64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2172">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3227337"/>
    </w:sdtPr>
    <w:sdtContent>
      <w:p w14:paraId="4C4FA859">
        <w:pPr>
          <w:pStyle w:val="17"/>
          <w:jc w:val="center"/>
        </w:pPr>
        <w:r>
          <w:fldChar w:fldCharType="begin"/>
        </w:r>
        <w:r>
          <w:instrText xml:space="preserve">PAGE   \* MERGEFORMAT</w:instrText>
        </w:r>
        <w:r>
          <w:fldChar w:fldCharType="separate"/>
        </w:r>
        <w:r>
          <w:rPr>
            <w:lang w:val="zh-CN"/>
          </w:rPr>
          <w:t>15</w:t>
        </w:r>
        <w:r>
          <w:rPr>
            <w:lang w:val="zh-CN"/>
          </w:rPr>
          <w:fldChar w:fldCharType="end"/>
        </w:r>
      </w:p>
    </w:sdtContent>
  </w:sdt>
  <w:p w14:paraId="65426974">
    <w:pPr>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22"/>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323"/>
      <w:suff w:val="nothing"/>
      <w:lvlText w:val="%1.%2　"/>
      <w:lvlJc w:val="left"/>
      <w:pPr>
        <w:ind w:left="-141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977" w:firstLine="0"/>
      </w:pPr>
      <w:rPr>
        <w:rFonts w:hint="eastAsia" w:ascii="黑体" w:hAnsi="Times New Roman" w:eastAsia="黑体"/>
        <w:b w:val="0"/>
        <w:i w:val="0"/>
        <w:color w:val="00000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suff w:val="nothing"/>
      <w:lvlText w:val="%1.%2.%3.%4.%5　"/>
      <w:lvlJc w:val="left"/>
      <w:pPr>
        <w:ind w:left="-1560" w:firstLine="0"/>
      </w:pPr>
      <w:rPr>
        <w:rFonts w:hint="eastAsia" w:ascii="黑体" w:hAnsi="Times New Roman" w:eastAsia="黑体"/>
        <w:b w:val="0"/>
        <w:i w:val="0"/>
        <w:sz w:val="21"/>
      </w:rPr>
    </w:lvl>
    <w:lvl w:ilvl="5" w:tentative="0">
      <w:start w:val="1"/>
      <w:numFmt w:val="decimal"/>
      <w:suff w:val="nothing"/>
      <w:lvlText w:val="%1.%2.%3.%4.%5.%6　"/>
      <w:lvlJc w:val="left"/>
      <w:pPr>
        <w:ind w:left="-1560" w:firstLine="0"/>
      </w:pPr>
      <w:rPr>
        <w:rFonts w:hint="eastAsia" w:ascii="黑体" w:hAnsi="Times New Roman" w:eastAsia="黑体"/>
        <w:b w:val="0"/>
        <w:i w:val="0"/>
        <w:sz w:val="21"/>
      </w:rPr>
    </w:lvl>
    <w:lvl w:ilvl="6" w:tentative="0">
      <w:start w:val="1"/>
      <w:numFmt w:val="decimal"/>
      <w:suff w:val="nothing"/>
      <w:lvlText w:val="%1%2.%3.%4.%5.%6.%7　"/>
      <w:lvlJc w:val="left"/>
      <w:pPr>
        <w:ind w:left="-1560" w:firstLine="0"/>
      </w:pPr>
      <w:rPr>
        <w:rFonts w:hint="eastAsia" w:ascii="黑体" w:hAnsi="Times New Roman" w:eastAsia="黑体"/>
        <w:b w:val="0"/>
        <w:i w:val="0"/>
        <w:sz w:val="21"/>
      </w:rPr>
    </w:lvl>
    <w:lvl w:ilvl="7" w:tentative="0">
      <w:start w:val="1"/>
      <w:numFmt w:val="decimal"/>
      <w:lvlText w:val="%1.%2.%3.%4.%5.%6.%7.%8"/>
      <w:lvlJc w:val="left"/>
      <w:pPr>
        <w:tabs>
          <w:tab w:val="left" w:pos="2791"/>
        </w:tabs>
        <w:ind w:left="2409" w:hanging="1418"/>
      </w:pPr>
      <w:rPr>
        <w:rFonts w:hint="eastAsia"/>
      </w:rPr>
    </w:lvl>
    <w:lvl w:ilvl="8" w:tentative="0">
      <w:start w:val="1"/>
      <w:numFmt w:val="decimal"/>
      <w:lvlText w:val="%1.%2.%3.%4.%5.%6.%7.%8.%9"/>
      <w:lvlJc w:val="left"/>
      <w:pPr>
        <w:tabs>
          <w:tab w:val="left" w:pos="3217"/>
        </w:tabs>
        <w:ind w:left="311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mNTlkY2EwZTU0YTRhZWJkZWQxZDNiODhlMTczZDkifQ=="/>
  </w:docVars>
  <w:rsids>
    <w:rsidRoot w:val="00172A27"/>
    <w:rsid w:val="00002295"/>
    <w:rsid w:val="000045BC"/>
    <w:rsid w:val="00004C27"/>
    <w:rsid w:val="00004DE7"/>
    <w:rsid w:val="00005F41"/>
    <w:rsid w:val="0000691F"/>
    <w:rsid w:val="0001008A"/>
    <w:rsid w:val="000151B0"/>
    <w:rsid w:val="00015BC6"/>
    <w:rsid w:val="000177C2"/>
    <w:rsid w:val="00020660"/>
    <w:rsid w:val="00020CD1"/>
    <w:rsid w:val="00021630"/>
    <w:rsid w:val="00023D68"/>
    <w:rsid w:val="00023EAC"/>
    <w:rsid w:val="000260A5"/>
    <w:rsid w:val="000275B4"/>
    <w:rsid w:val="00027EE8"/>
    <w:rsid w:val="00032B6E"/>
    <w:rsid w:val="0003371A"/>
    <w:rsid w:val="00037CE7"/>
    <w:rsid w:val="00041EF2"/>
    <w:rsid w:val="00042687"/>
    <w:rsid w:val="000436C8"/>
    <w:rsid w:val="0004526B"/>
    <w:rsid w:val="0004700A"/>
    <w:rsid w:val="0005101C"/>
    <w:rsid w:val="00052DEC"/>
    <w:rsid w:val="00054A3F"/>
    <w:rsid w:val="000568E8"/>
    <w:rsid w:val="00056A30"/>
    <w:rsid w:val="00056F1F"/>
    <w:rsid w:val="00057DC8"/>
    <w:rsid w:val="0006274A"/>
    <w:rsid w:val="00063E8D"/>
    <w:rsid w:val="00065598"/>
    <w:rsid w:val="00066D8B"/>
    <w:rsid w:val="00066F23"/>
    <w:rsid w:val="0006796D"/>
    <w:rsid w:val="00070B52"/>
    <w:rsid w:val="00070F4E"/>
    <w:rsid w:val="0007221F"/>
    <w:rsid w:val="000726D3"/>
    <w:rsid w:val="0007382C"/>
    <w:rsid w:val="00075C48"/>
    <w:rsid w:val="000763D3"/>
    <w:rsid w:val="000770B5"/>
    <w:rsid w:val="00080BD8"/>
    <w:rsid w:val="00082B1B"/>
    <w:rsid w:val="00085253"/>
    <w:rsid w:val="00085AB5"/>
    <w:rsid w:val="00086DC1"/>
    <w:rsid w:val="0009018D"/>
    <w:rsid w:val="00093E73"/>
    <w:rsid w:val="00094176"/>
    <w:rsid w:val="0009530B"/>
    <w:rsid w:val="000959B5"/>
    <w:rsid w:val="00095F73"/>
    <w:rsid w:val="000971C0"/>
    <w:rsid w:val="000A0BF1"/>
    <w:rsid w:val="000A10EB"/>
    <w:rsid w:val="000A13B4"/>
    <w:rsid w:val="000A33EC"/>
    <w:rsid w:val="000A36F2"/>
    <w:rsid w:val="000A56C9"/>
    <w:rsid w:val="000B2B54"/>
    <w:rsid w:val="000B419F"/>
    <w:rsid w:val="000B4EB4"/>
    <w:rsid w:val="000B5C28"/>
    <w:rsid w:val="000B6D3C"/>
    <w:rsid w:val="000C0825"/>
    <w:rsid w:val="000C200D"/>
    <w:rsid w:val="000C4249"/>
    <w:rsid w:val="000C6B75"/>
    <w:rsid w:val="000C7A80"/>
    <w:rsid w:val="000D03B3"/>
    <w:rsid w:val="000D2A28"/>
    <w:rsid w:val="000D2F02"/>
    <w:rsid w:val="000D729B"/>
    <w:rsid w:val="000D78C5"/>
    <w:rsid w:val="000E767C"/>
    <w:rsid w:val="000E7BEC"/>
    <w:rsid w:val="000F0E6D"/>
    <w:rsid w:val="000F2E40"/>
    <w:rsid w:val="000F4350"/>
    <w:rsid w:val="000F62E9"/>
    <w:rsid w:val="00102185"/>
    <w:rsid w:val="00102308"/>
    <w:rsid w:val="001023AD"/>
    <w:rsid w:val="00102F42"/>
    <w:rsid w:val="0010362D"/>
    <w:rsid w:val="001058FD"/>
    <w:rsid w:val="00110B91"/>
    <w:rsid w:val="00112BFD"/>
    <w:rsid w:val="00113A26"/>
    <w:rsid w:val="00114C94"/>
    <w:rsid w:val="00116EAD"/>
    <w:rsid w:val="0011732A"/>
    <w:rsid w:val="001179C7"/>
    <w:rsid w:val="0012070D"/>
    <w:rsid w:val="00120727"/>
    <w:rsid w:val="00120A27"/>
    <w:rsid w:val="00120B04"/>
    <w:rsid w:val="0012278F"/>
    <w:rsid w:val="00125D08"/>
    <w:rsid w:val="00126A6A"/>
    <w:rsid w:val="00126CC5"/>
    <w:rsid w:val="00130E3F"/>
    <w:rsid w:val="00130F49"/>
    <w:rsid w:val="00131D6E"/>
    <w:rsid w:val="0013329F"/>
    <w:rsid w:val="0013422A"/>
    <w:rsid w:val="00135869"/>
    <w:rsid w:val="00136D3D"/>
    <w:rsid w:val="001437B4"/>
    <w:rsid w:val="001444CB"/>
    <w:rsid w:val="00144F3D"/>
    <w:rsid w:val="00145D60"/>
    <w:rsid w:val="00153936"/>
    <w:rsid w:val="001556A8"/>
    <w:rsid w:val="0016129A"/>
    <w:rsid w:val="001640B0"/>
    <w:rsid w:val="0016466E"/>
    <w:rsid w:val="0016657C"/>
    <w:rsid w:val="001724C8"/>
    <w:rsid w:val="00172F0C"/>
    <w:rsid w:val="00180144"/>
    <w:rsid w:val="00181CE0"/>
    <w:rsid w:val="00181D4A"/>
    <w:rsid w:val="001838C3"/>
    <w:rsid w:val="001839A2"/>
    <w:rsid w:val="00183F0A"/>
    <w:rsid w:val="00185618"/>
    <w:rsid w:val="001860AF"/>
    <w:rsid w:val="0018770F"/>
    <w:rsid w:val="0019421B"/>
    <w:rsid w:val="00194D39"/>
    <w:rsid w:val="0019597A"/>
    <w:rsid w:val="001965A6"/>
    <w:rsid w:val="001A17C0"/>
    <w:rsid w:val="001A2140"/>
    <w:rsid w:val="001A255D"/>
    <w:rsid w:val="001A479C"/>
    <w:rsid w:val="001A526B"/>
    <w:rsid w:val="001B0604"/>
    <w:rsid w:val="001B0C4E"/>
    <w:rsid w:val="001B19DA"/>
    <w:rsid w:val="001B2A2D"/>
    <w:rsid w:val="001B2F5C"/>
    <w:rsid w:val="001B69CE"/>
    <w:rsid w:val="001B6E3B"/>
    <w:rsid w:val="001C043F"/>
    <w:rsid w:val="001C31FE"/>
    <w:rsid w:val="001C3311"/>
    <w:rsid w:val="001C5D14"/>
    <w:rsid w:val="001C5EAC"/>
    <w:rsid w:val="001C669F"/>
    <w:rsid w:val="001C70FD"/>
    <w:rsid w:val="001D1D2D"/>
    <w:rsid w:val="001D21F5"/>
    <w:rsid w:val="001D7C77"/>
    <w:rsid w:val="001E1179"/>
    <w:rsid w:val="001E6383"/>
    <w:rsid w:val="001E7C84"/>
    <w:rsid w:val="001E7EF9"/>
    <w:rsid w:val="001F2E41"/>
    <w:rsid w:val="001F3730"/>
    <w:rsid w:val="001F377D"/>
    <w:rsid w:val="001F7052"/>
    <w:rsid w:val="00201396"/>
    <w:rsid w:val="00201FF7"/>
    <w:rsid w:val="002030E1"/>
    <w:rsid w:val="00203B43"/>
    <w:rsid w:val="00203BA5"/>
    <w:rsid w:val="00204AF9"/>
    <w:rsid w:val="00205DA9"/>
    <w:rsid w:val="00207B4E"/>
    <w:rsid w:val="00210C8A"/>
    <w:rsid w:val="00212129"/>
    <w:rsid w:val="002175AE"/>
    <w:rsid w:val="00217BFE"/>
    <w:rsid w:val="00220445"/>
    <w:rsid w:val="00222E46"/>
    <w:rsid w:val="00223D4F"/>
    <w:rsid w:val="00226CEB"/>
    <w:rsid w:val="00226DC1"/>
    <w:rsid w:val="0023490A"/>
    <w:rsid w:val="00236CF5"/>
    <w:rsid w:val="0023730A"/>
    <w:rsid w:val="00240439"/>
    <w:rsid w:val="002431A9"/>
    <w:rsid w:val="00243E3B"/>
    <w:rsid w:val="00244AAC"/>
    <w:rsid w:val="00250154"/>
    <w:rsid w:val="00250207"/>
    <w:rsid w:val="002536C9"/>
    <w:rsid w:val="00262701"/>
    <w:rsid w:val="00262DF1"/>
    <w:rsid w:val="002650D1"/>
    <w:rsid w:val="002657B3"/>
    <w:rsid w:val="00267704"/>
    <w:rsid w:val="00270857"/>
    <w:rsid w:val="002742B0"/>
    <w:rsid w:val="00275799"/>
    <w:rsid w:val="00280394"/>
    <w:rsid w:val="00280A0B"/>
    <w:rsid w:val="002811D2"/>
    <w:rsid w:val="00282E1D"/>
    <w:rsid w:val="00286DD8"/>
    <w:rsid w:val="0029523B"/>
    <w:rsid w:val="002A4E68"/>
    <w:rsid w:val="002B0F82"/>
    <w:rsid w:val="002B13CB"/>
    <w:rsid w:val="002B22E5"/>
    <w:rsid w:val="002B339F"/>
    <w:rsid w:val="002B3C6F"/>
    <w:rsid w:val="002B4B25"/>
    <w:rsid w:val="002B5079"/>
    <w:rsid w:val="002B513A"/>
    <w:rsid w:val="002B6F9F"/>
    <w:rsid w:val="002B7736"/>
    <w:rsid w:val="002B7BCD"/>
    <w:rsid w:val="002C1282"/>
    <w:rsid w:val="002C2396"/>
    <w:rsid w:val="002C6EA7"/>
    <w:rsid w:val="002C7315"/>
    <w:rsid w:val="002C75F0"/>
    <w:rsid w:val="002C77D7"/>
    <w:rsid w:val="002D1AC2"/>
    <w:rsid w:val="002D4F91"/>
    <w:rsid w:val="002D5930"/>
    <w:rsid w:val="002D73B9"/>
    <w:rsid w:val="002E1710"/>
    <w:rsid w:val="002E2ACA"/>
    <w:rsid w:val="002E31BF"/>
    <w:rsid w:val="002E4B2E"/>
    <w:rsid w:val="002E4B81"/>
    <w:rsid w:val="002E4D2C"/>
    <w:rsid w:val="002E6439"/>
    <w:rsid w:val="002F183A"/>
    <w:rsid w:val="002F4811"/>
    <w:rsid w:val="002F537B"/>
    <w:rsid w:val="002F54C6"/>
    <w:rsid w:val="002F6D28"/>
    <w:rsid w:val="002F7E34"/>
    <w:rsid w:val="00301B44"/>
    <w:rsid w:val="00301DD4"/>
    <w:rsid w:val="00301EA8"/>
    <w:rsid w:val="003035D5"/>
    <w:rsid w:val="00306B9D"/>
    <w:rsid w:val="00307120"/>
    <w:rsid w:val="003106B7"/>
    <w:rsid w:val="003112A4"/>
    <w:rsid w:val="00317417"/>
    <w:rsid w:val="00317FB5"/>
    <w:rsid w:val="00321056"/>
    <w:rsid w:val="00322690"/>
    <w:rsid w:val="0032290A"/>
    <w:rsid w:val="00323C08"/>
    <w:rsid w:val="00331971"/>
    <w:rsid w:val="00331B59"/>
    <w:rsid w:val="00333D52"/>
    <w:rsid w:val="00334B93"/>
    <w:rsid w:val="00335D39"/>
    <w:rsid w:val="003366BF"/>
    <w:rsid w:val="003434B6"/>
    <w:rsid w:val="00343807"/>
    <w:rsid w:val="00344E6C"/>
    <w:rsid w:val="00347FE0"/>
    <w:rsid w:val="003515AD"/>
    <w:rsid w:val="003533D3"/>
    <w:rsid w:val="00354D67"/>
    <w:rsid w:val="00360A98"/>
    <w:rsid w:val="00361AA1"/>
    <w:rsid w:val="0036365A"/>
    <w:rsid w:val="0036375A"/>
    <w:rsid w:val="0036401B"/>
    <w:rsid w:val="00365F96"/>
    <w:rsid w:val="003668A4"/>
    <w:rsid w:val="00366F97"/>
    <w:rsid w:val="0037281A"/>
    <w:rsid w:val="00372E2E"/>
    <w:rsid w:val="00374292"/>
    <w:rsid w:val="003742E0"/>
    <w:rsid w:val="00374645"/>
    <w:rsid w:val="00376228"/>
    <w:rsid w:val="00376DB4"/>
    <w:rsid w:val="003775CB"/>
    <w:rsid w:val="00381135"/>
    <w:rsid w:val="00383F4C"/>
    <w:rsid w:val="00385285"/>
    <w:rsid w:val="0038660C"/>
    <w:rsid w:val="00386A89"/>
    <w:rsid w:val="00391A51"/>
    <w:rsid w:val="003959E6"/>
    <w:rsid w:val="00395AC1"/>
    <w:rsid w:val="00396912"/>
    <w:rsid w:val="003971F9"/>
    <w:rsid w:val="00397916"/>
    <w:rsid w:val="003A08E5"/>
    <w:rsid w:val="003A4571"/>
    <w:rsid w:val="003B0AE2"/>
    <w:rsid w:val="003B258E"/>
    <w:rsid w:val="003B4D1F"/>
    <w:rsid w:val="003C0C50"/>
    <w:rsid w:val="003C3934"/>
    <w:rsid w:val="003C3A17"/>
    <w:rsid w:val="003C7377"/>
    <w:rsid w:val="003C7501"/>
    <w:rsid w:val="003D13A1"/>
    <w:rsid w:val="003D2053"/>
    <w:rsid w:val="003D216F"/>
    <w:rsid w:val="003D23D7"/>
    <w:rsid w:val="003D2C53"/>
    <w:rsid w:val="003D51BD"/>
    <w:rsid w:val="003E1A62"/>
    <w:rsid w:val="003E35FF"/>
    <w:rsid w:val="003E483D"/>
    <w:rsid w:val="003E515A"/>
    <w:rsid w:val="003F3530"/>
    <w:rsid w:val="003F4516"/>
    <w:rsid w:val="003F4EC7"/>
    <w:rsid w:val="003F517E"/>
    <w:rsid w:val="003F76E7"/>
    <w:rsid w:val="003F7808"/>
    <w:rsid w:val="003F7C0C"/>
    <w:rsid w:val="003F7F91"/>
    <w:rsid w:val="00400172"/>
    <w:rsid w:val="004012AC"/>
    <w:rsid w:val="00401E08"/>
    <w:rsid w:val="00405039"/>
    <w:rsid w:val="00406FA7"/>
    <w:rsid w:val="00411B26"/>
    <w:rsid w:val="004133E2"/>
    <w:rsid w:val="004232BF"/>
    <w:rsid w:val="0042546F"/>
    <w:rsid w:val="0042758E"/>
    <w:rsid w:val="00427F8F"/>
    <w:rsid w:val="004313E6"/>
    <w:rsid w:val="004337F8"/>
    <w:rsid w:val="004338DD"/>
    <w:rsid w:val="004353E1"/>
    <w:rsid w:val="00437197"/>
    <w:rsid w:val="004413C1"/>
    <w:rsid w:val="00443244"/>
    <w:rsid w:val="004439D4"/>
    <w:rsid w:val="00445F48"/>
    <w:rsid w:val="00446267"/>
    <w:rsid w:val="00447B27"/>
    <w:rsid w:val="00450062"/>
    <w:rsid w:val="004509FE"/>
    <w:rsid w:val="00450E78"/>
    <w:rsid w:val="00451A47"/>
    <w:rsid w:val="00453DD5"/>
    <w:rsid w:val="00454632"/>
    <w:rsid w:val="00454BE7"/>
    <w:rsid w:val="0045533B"/>
    <w:rsid w:val="0046071E"/>
    <w:rsid w:val="00462B4C"/>
    <w:rsid w:val="00463564"/>
    <w:rsid w:val="0046510C"/>
    <w:rsid w:val="00465FE5"/>
    <w:rsid w:val="00470139"/>
    <w:rsid w:val="0047041C"/>
    <w:rsid w:val="0047157B"/>
    <w:rsid w:val="004736ED"/>
    <w:rsid w:val="00476715"/>
    <w:rsid w:val="00476C9D"/>
    <w:rsid w:val="00482DAA"/>
    <w:rsid w:val="00484D49"/>
    <w:rsid w:val="00485733"/>
    <w:rsid w:val="004859A1"/>
    <w:rsid w:val="004907D9"/>
    <w:rsid w:val="004911CE"/>
    <w:rsid w:val="00491DE0"/>
    <w:rsid w:val="00492052"/>
    <w:rsid w:val="0049345A"/>
    <w:rsid w:val="00493C75"/>
    <w:rsid w:val="004953CD"/>
    <w:rsid w:val="00496726"/>
    <w:rsid w:val="004A1083"/>
    <w:rsid w:val="004A11F1"/>
    <w:rsid w:val="004A5FD4"/>
    <w:rsid w:val="004A74CB"/>
    <w:rsid w:val="004B0E04"/>
    <w:rsid w:val="004B38BA"/>
    <w:rsid w:val="004C0A48"/>
    <w:rsid w:val="004C33BE"/>
    <w:rsid w:val="004C3BAC"/>
    <w:rsid w:val="004C577A"/>
    <w:rsid w:val="004C6767"/>
    <w:rsid w:val="004C6970"/>
    <w:rsid w:val="004D0B3F"/>
    <w:rsid w:val="004D10CD"/>
    <w:rsid w:val="004D20CA"/>
    <w:rsid w:val="004D31F8"/>
    <w:rsid w:val="004D46BE"/>
    <w:rsid w:val="004D6ED8"/>
    <w:rsid w:val="004D7040"/>
    <w:rsid w:val="004D7AF6"/>
    <w:rsid w:val="004E0CA7"/>
    <w:rsid w:val="004E367A"/>
    <w:rsid w:val="004E3BFD"/>
    <w:rsid w:val="004E61E9"/>
    <w:rsid w:val="004F24EE"/>
    <w:rsid w:val="004F43B8"/>
    <w:rsid w:val="004F67D2"/>
    <w:rsid w:val="004F7B72"/>
    <w:rsid w:val="00500203"/>
    <w:rsid w:val="00500482"/>
    <w:rsid w:val="005018F3"/>
    <w:rsid w:val="00501D4B"/>
    <w:rsid w:val="00503179"/>
    <w:rsid w:val="00503595"/>
    <w:rsid w:val="00504FE7"/>
    <w:rsid w:val="0051050C"/>
    <w:rsid w:val="00510AA9"/>
    <w:rsid w:val="00512A07"/>
    <w:rsid w:val="00514970"/>
    <w:rsid w:val="00515512"/>
    <w:rsid w:val="00515C2A"/>
    <w:rsid w:val="00520232"/>
    <w:rsid w:val="00520571"/>
    <w:rsid w:val="00520FEC"/>
    <w:rsid w:val="00524C87"/>
    <w:rsid w:val="00524FE0"/>
    <w:rsid w:val="00525AAB"/>
    <w:rsid w:val="00525DB5"/>
    <w:rsid w:val="00527D17"/>
    <w:rsid w:val="00527F27"/>
    <w:rsid w:val="005315DC"/>
    <w:rsid w:val="0053431B"/>
    <w:rsid w:val="00535B68"/>
    <w:rsid w:val="00535F66"/>
    <w:rsid w:val="005405D4"/>
    <w:rsid w:val="005405DB"/>
    <w:rsid w:val="00540DA6"/>
    <w:rsid w:val="005413A4"/>
    <w:rsid w:val="0054283B"/>
    <w:rsid w:val="00547ADF"/>
    <w:rsid w:val="005502B1"/>
    <w:rsid w:val="005503F9"/>
    <w:rsid w:val="0055189D"/>
    <w:rsid w:val="00551984"/>
    <w:rsid w:val="005520E9"/>
    <w:rsid w:val="005546BA"/>
    <w:rsid w:val="0055694B"/>
    <w:rsid w:val="00556C90"/>
    <w:rsid w:val="00556D06"/>
    <w:rsid w:val="00557DCB"/>
    <w:rsid w:val="00565E4E"/>
    <w:rsid w:val="005667BD"/>
    <w:rsid w:val="00570B81"/>
    <w:rsid w:val="00574F28"/>
    <w:rsid w:val="00575F74"/>
    <w:rsid w:val="005774B9"/>
    <w:rsid w:val="005774CF"/>
    <w:rsid w:val="0058291D"/>
    <w:rsid w:val="0058376F"/>
    <w:rsid w:val="00584ACE"/>
    <w:rsid w:val="00590E45"/>
    <w:rsid w:val="00591A2C"/>
    <w:rsid w:val="00594EA0"/>
    <w:rsid w:val="005951C0"/>
    <w:rsid w:val="005976E2"/>
    <w:rsid w:val="00597B3B"/>
    <w:rsid w:val="005A01CA"/>
    <w:rsid w:val="005A092E"/>
    <w:rsid w:val="005A2FAC"/>
    <w:rsid w:val="005A3180"/>
    <w:rsid w:val="005A3A4F"/>
    <w:rsid w:val="005A4FE7"/>
    <w:rsid w:val="005A572E"/>
    <w:rsid w:val="005A6EA1"/>
    <w:rsid w:val="005B26A0"/>
    <w:rsid w:val="005B3908"/>
    <w:rsid w:val="005B41FE"/>
    <w:rsid w:val="005B4218"/>
    <w:rsid w:val="005B46DD"/>
    <w:rsid w:val="005C034B"/>
    <w:rsid w:val="005C05BC"/>
    <w:rsid w:val="005C0BE3"/>
    <w:rsid w:val="005C0D6C"/>
    <w:rsid w:val="005C139A"/>
    <w:rsid w:val="005C20AF"/>
    <w:rsid w:val="005C3A30"/>
    <w:rsid w:val="005C7217"/>
    <w:rsid w:val="005D0917"/>
    <w:rsid w:val="005D199B"/>
    <w:rsid w:val="005D1E7A"/>
    <w:rsid w:val="005D2AA8"/>
    <w:rsid w:val="005D4D62"/>
    <w:rsid w:val="005E2F1E"/>
    <w:rsid w:val="005E535F"/>
    <w:rsid w:val="005E580A"/>
    <w:rsid w:val="005E70B0"/>
    <w:rsid w:val="005E7374"/>
    <w:rsid w:val="005E7B12"/>
    <w:rsid w:val="005E7F29"/>
    <w:rsid w:val="005F082E"/>
    <w:rsid w:val="005F3048"/>
    <w:rsid w:val="005F331A"/>
    <w:rsid w:val="005F38D0"/>
    <w:rsid w:val="005F5937"/>
    <w:rsid w:val="005F6973"/>
    <w:rsid w:val="0060053E"/>
    <w:rsid w:val="00600DE1"/>
    <w:rsid w:val="006010E4"/>
    <w:rsid w:val="006015BC"/>
    <w:rsid w:val="00601DCE"/>
    <w:rsid w:val="00604C4D"/>
    <w:rsid w:val="00604FD8"/>
    <w:rsid w:val="00607030"/>
    <w:rsid w:val="00607C1E"/>
    <w:rsid w:val="006100DE"/>
    <w:rsid w:val="0061081B"/>
    <w:rsid w:val="00612050"/>
    <w:rsid w:val="0061413A"/>
    <w:rsid w:val="0061587A"/>
    <w:rsid w:val="00616F83"/>
    <w:rsid w:val="0062024C"/>
    <w:rsid w:val="006203AF"/>
    <w:rsid w:val="00620DA9"/>
    <w:rsid w:val="006235A9"/>
    <w:rsid w:val="006250E3"/>
    <w:rsid w:val="00625D90"/>
    <w:rsid w:val="006301CF"/>
    <w:rsid w:val="00630BF3"/>
    <w:rsid w:val="00631590"/>
    <w:rsid w:val="00632D1E"/>
    <w:rsid w:val="00633053"/>
    <w:rsid w:val="0063611B"/>
    <w:rsid w:val="00640D9C"/>
    <w:rsid w:val="00641111"/>
    <w:rsid w:val="00641C21"/>
    <w:rsid w:val="00644CF6"/>
    <w:rsid w:val="00650E2C"/>
    <w:rsid w:val="00651548"/>
    <w:rsid w:val="00654246"/>
    <w:rsid w:val="00654476"/>
    <w:rsid w:val="006572F5"/>
    <w:rsid w:val="006577FE"/>
    <w:rsid w:val="00660288"/>
    <w:rsid w:val="006621B7"/>
    <w:rsid w:val="006639B1"/>
    <w:rsid w:val="00664B4E"/>
    <w:rsid w:val="00665032"/>
    <w:rsid w:val="00665494"/>
    <w:rsid w:val="00666C48"/>
    <w:rsid w:val="00666DF9"/>
    <w:rsid w:val="00672475"/>
    <w:rsid w:val="00673913"/>
    <w:rsid w:val="00673F90"/>
    <w:rsid w:val="0067413E"/>
    <w:rsid w:val="00674559"/>
    <w:rsid w:val="0067676E"/>
    <w:rsid w:val="00676903"/>
    <w:rsid w:val="00677888"/>
    <w:rsid w:val="00682A04"/>
    <w:rsid w:val="00684C3E"/>
    <w:rsid w:val="006877BE"/>
    <w:rsid w:val="00690169"/>
    <w:rsid w:val="00690E6A"/>
    <w:rsid w:val="006915D5"/>
    <w:rsid w:val="00694FB7"/>
    <w:rsid w:val="006971E9"/>
    <w:rsid w:val="006A0D78"/>
    <w:rsid w:val="006A42F7"/>
    <w:rsid w:val="006A478F"/>
    <w:rsid w:val="006A572D"/>
    <w:rsid w:val="006A5CE6"/>
    <w:rsid w:val="006A6155"/>
    <w:rsid w:val="006A6380"/>
    <w:rsid w:val="006A6FA1"/>
    <w:rsid w:val="006B1F98"/>
    <w:rsid w:val="006B2478"/>
    <w:rsid w:val="006B24D8"/>
    <w:rsid w:val="006B2AC8"/>
    <w:rsid w:val="006B2FA6"/>
    <w:rsid w:val="006B5390"/>
    <w:rsid w:val="006B56EE"/>
    <w:rsid w:val="006B62C1"/>
    <w:rsid w:val="006C0428"/>
    <w:rsid w:val="006C2F75"/>
    <w:rsid w:val="006C48D6"/>
    <w:rsid w:val="006C5874"/>
    <w:rsid w:val="006D3FD2"/>
    <w:rsid w:val="006D3FEB"/>
    <w:rsid w:val="006D4666"/>
    <w:rsid w:val="006D5589"/>
    <w:rsid w:val="006D7755"/>
    <w:rsid w:val="006E1EB4"/>
    <w:rsid w:val="006E2633"/>
    <w:rsid w:val="006E31F8"/>
    <w:rsid w:val="006E3818"/>
    <w:rsid w:val="006E3994"/>
    <w:rsid w:val="006E5E08"/>
    <w:rsid w:val="006E6068"/>
    <w:rsid w:val="006E67ED"/>
    <w:rsid w:val="006E7908"/>
    <w:rsid w:val="006F1009"/>
    <w:rsid w:val="006F113F"/>
    <w:rsid w:val="006F1974"/>
    <w:rsid w:val="00705459"/>
    <w:rsid w:val="007077F8"/>
    <w:rsid w:val="00707D9D"/>
    <w:rsid w:val="00712A9C"/>
    <w:rsid w:val="00713366"/>
    <w:rsid w:val="00716040"/>
    <w:rsid w:val="00716E21"/>
    <w:rsid w:val="00724E94"/>
    <w:rsid w:val="00725B08"/>
    <w:rsid w:val="00726C7A"/>
    <w:rsid w:val="007322E9"/>
    <w:rsid w:val="007342C6"/>
    <w:rsid w:val="0073518A"/>
    <w:rsid w:val="00742814"/>
    <w:rsid w:val="0074331B"/>
    <w:rsid w:val="00743F77"/>
    <w:rsid w:val="00745647"/>
    <w:rsid w:val="00746F67"/>
    <w:rsid w:val="00746FF2"/>
    <w:rsid w:val="00747121"/>
    <w:rsid w:val="00747317"/>
    <w:rsid w:val="00750640"/>
    <w:rsid w:val="00751187"/>
    <w:rsid w:val="00752C84"/>
    <w:rsid w:val="00754B2D"/>
    <w:rsid w:val="00754E9B"/>
    <w:rsid w:val="00756717"/>
    <w:rsid w:val="007603E0"/>
    <w:rsid w:val="007606EC"/>
    <w:rsid w:val="007611E2"/>
    <w:rsid w:val="00761DA0"/>
    <w:rsid w:val="00762BD6"/>
    <w:rsid w:val="00763E07"/>
    <w:rsid w:val="007665FE"/>
    <w:rsid w:val="007668DF"/>
    <w:rsid w:val="00767873"/>
    <w:rsid w:val="00771577"/>
    <w:rsid w:val="007722CF"/>
    <w:rsid w:val="0077300D"/>
    <w:rsid w:val="007771C9"/>
    <w:rsid w:val="00780D77"/>
    <w:rsid w:val="00781967"/>
    <w:rsid w:val="007823A7"/>
    <w:rsid w:val="00782B50"/>
    <w:rsid w:val="0078394D"/>
    <w:rsid w:val="00787E2D"/>
    <w:rsid w:val="00791D7D"/>
    <w:rsid w:val="00792CCD"/>
    <w:rsid w:val="00792E61"/>
    <w:rsid w:val="00795CD2"/>
    <w:rsid w:val="00796D2C"/>
    <w:rsid w:val="00797262"/>
    <w:rsid w:val="00797756"/>
    <w:rsid w:val="007A181F"/>
    <w:rsid w:val="007A1CEA"/>
    <w:rsid w:val="007A2708"/>
    <w:rsid w:val="007A3060"/>
    <w:rsid w:val="007A3B95"/>
    <w:rsid w:val="007A579B"/>
    <w:rsid w:val="007B0993"/>
    <w:rsid w:val="007B379D"/>
    <w:rsid w:val="007B54E4"/>
    <w:rsid w:val="007B689B"/>
    <w:rsid w:val="007B6C39"/>
    <w:rsid w:val="007C0DFF"/>
    <w:rsid w:val="007D181C"/>
    <w:rsid w:val="007D5FFE"/>
    <w:rsid w:val="007D6A7C"/>
    <w:rsid w:val="007E2286"/>
    <w:rsid w:val="007E37C8"/>
    <w:rsid w:val="007E7D26"/>
    <w:rsid w:val="007F0A4B"/>
    <w:rsid w:val="007F0BCE"/>
    <w:rsid w:val="007F3779"/>
    <w:rsid w:val="007F6E04"/>
    <w:rsid w:val="007F72F1"/>
    <w:rsid w:val="007F7962"/>
    <w:rsid w:val="008010F2"/>
    <w:rsid w:val="00805359"/>
    <w:rsid w:val="00805504"/>
    <w:rsid w:val="008060CD"/>
    <w:rsid w:val="00807DEA"/>
    <w:rsid w:val="0081022A"/>
    <w:rsid w:val="008110DE"/>
    <w:rsid w:val="00813D3A"/>
    <w:rsid w:val="00813EB7"/>
    <w:rsid w:val="00814490"/>
    <w:rsid w:val="00815E3B"/>
    <w:rsid w:val="008164FC"/>
    <w:rsid w:val="008200FB"/>
    <w:rsid w:val="00820582"/>
    <w:rsid w:val="00825A00"/>
    <w:rsid w:val="00825DCF"/>
    <w:rsid w:val="00830578"/>
    <w:rsid w:val="008306CB"/>
    <w:rsid w:val="008320E4"/>
    <w:rsid w:val="00832114"/>
    <w:rsid w:val="0083334A"/>
    <w:rsid w:val="008355B7"/>
    <w:rsid w:val="00836726"/>
    <w:rsid w:val="0084569D"/>
    <w:rsid w:val="00846C2C"/>
    <w:rsid w:val="00847C0E"/>
    <w:rsid w:val="00850EEE"/>
    <w:rsid w:val="00851445"/>
    <w:rsid w:val="00851890"/>
    <w:rsid w:val="00853887"/>
    <w:rsid w:val="00854EBF"/>
    <w:rsid w:val="008573A6"/>
    <w:rsid w:val="008613BC"/>
    <w:rsid w:val="00861C5C"/>
    <w:rsid w:val="008621ED"/>
    <w:rsid w:val="00862540"/>
    <w:rsid w:val="0086298A"/>
    <w:rsid w:val="00864632"/>
    <w:rsid w:val="008647C0"/>
    <w:rsid w:val="0086585B"/>
    <w:rsid w:val="008659BE"/>
    <w:rsid w:val="008660C5"/>
    <w:rsid w:val="008716E9"/>
    <w:rsid w:val="00872268"/>
    <w:rsid w:val="0087340B"/>
    <w:rsid w:val="008734D3"/>
    <w:rsid w:val="008761E7"/>
    <w:rsid w:val="008773F0"/>
    <w:rsid w:val="0088369C"/>
    <w:rsid w:val="00890748"/>
    <w:rsid w:val="00890C21"/>
    <w:rsid w:val="00891982"/>
    <w:rsid w:val="00891DB3"/>
    <w:rsid w:val="00893239"/>
    <w:rsid w:val="00896BC8"/>
    <w:rsid w:val="00897B47"/>
    <w:rsid w:val="008A1CC2"/>
    <w:rsid w:val="008A23DA"/>
    <w:rsid w:val="008A2CFB"/>
    <w:rsid w:val="008A4604"/>
    <w:rsid w:val="008A5C28"/>
    <w:rsid w:val="008B0A63"/>
    <w:rsid w:val="008B21DE"/>
    <w:rsid w:val="008B25D0"/>
    <w:rsid w:val="008B4282"/>
    <w:rsid w:val="008B5101"/>
    <w:rsid w:val="008B7B83"/>
    <w:rsid w:val="008C0656"/>
    <w:rsid w:val="008C07C9"/>
    <w:rsid w:val="008C0B82"/>
    <w:rsid w:val="008C16BF"/>
    <w:rsid w:val="008C2B5E"/>
    <w:rsid w:val="008C3636"/>
    <w:rsid w:val="008C4A5B"/>
    <w:rsid w:val="008C5810"/>
    <w:rsid w:val="008C5811"/>
    <w:rsid w:val="008C59B6"/>
    <w:rsid w:val="008C6332"/>
    <w:rsid w:val="008C6416"/>
    <w:rsid w:val="008C7EA7"/>
    <w:rsid w:val="008D25EF"/>
    <w:rsid w:val="008D2683"/>
    <w:rsid w:val="008D3403"/>
    <w:rsid w:val="008F087E"/>
    <w:rsid w:val="008F1A22"/>
    <w:rsid w:val="008F36D5"/>
    <w:rsid w:val="008F5A52"/>
    <w:rsid w:val="008F5FA3"/>
    <w:rsid w:val="008F7CB6"/>
    <w:rsid w:val="00904CC7"/>
    <w:rsid w:val="00905161"/>
    <w:rsid w:val="00905259"/>
    <w:rsid w:val="00906318"/>
    <w:rsid w:val="009101BD"/>
    <w:rsid w:val="00911B07"/>
    <w:rsid w:val="00911BEC"/>
    <w:rsid w:val="0091597B"/>
    <w:rsid w:val="0092176D"/>
    <w:rsid w:val="00924F92"/>
    <w:rsid w:val="00926D55"/>
    <w:rsid w:val="009308EC"/>
    <w:rsid w:val="00931530"/>
    <w:rsid w:val="00932BA1"/>
    <w:rsid w:val="00933D2D"/>
    <w:rsid w:val="0093447E"/>
    <w:rsid w:val="00935E67"/>
    <w:rsid w:val="00936FE3"/>
    <w:rsid w:val="00937B1B"/>
    <w:rsid w:val="00937EB9"/>
    <w:rsid w:val="00945AE2"/>
    <w:rsid w:val="00946A43"/>
    <w:rsid w:val="00947530"/>
    <w:rsid w:val="009513A7"/>
    <w:rsid w:val="0095319E"/>
    <w:rsid w:val="00953CE9"/>
    <w:rsid w:val="0095600E"/>
    <w:rsid w:val="00956E08"/>
    <w:rsid w:val="00960090"/>
    <w:rsid w:val="00960ABF"/>
    <w:rsid w:val="009616AF"/>
    <w:rsid w:val="009679AA"/>
    <w:rsid w:val="00971F82"/>
    <w:rsid w:val="00973B90"/>
    <w:rsid w:val="0097422E"/>
    <w:rsid w:val="009743E9"/>
    <w:rsid w:val="00974A4D"/>
    <w:rsid w:val="009756C9"/>
    <w:rsid w:val="00975E1B"/>
    <w:rsid w:val="0097637A"/>
    <w:rsid w:val="00977A1E"/>
    <w:rsid w:val="0098187B"/>
    <w:rsid w:val="00982030"/>
    <w:rsid w:val="00982CDD"/>
    <w:rsid w:val="00984AA1"/>
    <w:rsid w:val="00984AD4"/>
    <w:rsid w:val="00984B23"/>
    <w:rsid w:val="009941E5"/>
    <w:rsid w:val="00994650"/>
    <w:rsid w:val="009949F6"/>
    <w:rsid w:val="009A35BB"/>
    <w:rsid w:val="009A5BC1"/>
    <w:rsid w:val="009A668C"/>
    <w:rsid w:val="009A6B08"/>
    <w:rsid w:val="009B098B"/>
    <w:rsid w:val="009B0C08"/>
    <w:rsid w:val="009B0F00"/>
    <w:rsid w:val="009B294C"/>
    <w:rsid w:val="009B2AD5"/>
    <w:rsid w:val="009B44F8"/>
    <w:rsid w:val="009B4C4B"/>
    <w:rsid w:val="009B7CE1"/>
    <w:rsid w:val="009B7D35"/>
    <w:rsid w:val="009B7DA4"/>
    <w:rsid w:val="009C00AB"/>
    <w:rsid w:val="009C0719"/>
    <w:rsid w:val="009C3B6B"/>
    <w:rsid w:val="009C46AF"/>
    <w:rsid w:val="009C5977"/>
    <w:rsid w:val="009C7636"/>
    <w:rsid w:val="009D01DD"/>
    <w:rsid w:val="009D25FD"/>
    <w:rsid w:val="009D3EB9"/>
    <w:rsid w:val="009D74F7"/>
    <w:rsid w:val="009D7E31"/>
    <w:rsid w:val="009E233F"/>
    <w:rsid w:val="009E3866"/>
    <w:rsid w:val="009E38F6"/>
    <w:rsid w:val="009E3AA1"/>
    <w:rsid w:val="009E46B8"/>
    <w:rsid w:val="009E4C4B"/>
    <w:rsid w:val="009E71E3"/>
    <w:rsid w:val="009E737C"/>
    <w:rsid w:val="009F015C"/>
    <w:rsid w:val="009F2C20"/>
    <w:rsid w:val="009F38C0"/>
    <w:rsid w:val="009F4878"/>
    <w:rsid w:val="009F4B91"/>
    <w:rsid w:val="009F4E6D"/>
    <w:rsid w:val="00A0052D"/>
    <w:rsid w:val="00A00F6F"/>
    <w:rsid w:val="00A017F1"/>
    <w:rsid w:val="00A036D2"/>
    <w:rsid w:val="00A04833"/>
    <w:rsid w:val="00A048EF"/>
    <w:rsid w:val="00A04A42"/>
    <w:rsid w:val="00A05846"/>
    <w:rsid w:val="00A0620B"/>
    <w:rsid w:val="00A066A5"/>
    <w:rsid w:val="00A074BE"/>
    <w:rsid w:val="00A1056E"/>
    <w:rsid w:val="00A10CDB"/>
    <w:rsid w:val="00A11AB3"/>
    <w:rsid w:val="00A11F70"/>
    <w:rsid w:val="00A1324E"/>
    <w:rsid w:val="00A17E02"/>
    <w:rsid w:val="00A24BBD"/>
    <w:rsid w:val="00A267BF"/>
    <w:rsid w:val="00A2746B"/>
    <w:rsid w:val="00A274FD"/>
    <w:rsid w:val="00A27FAD"/>
    <w:rsid w:val="00A3405A"/>
    <w:rsid w:val="00A375A4"/>
    <w:rsid w:val="00A40B66"/>
    <w:rsid w:val="00A432B8"/>
    <w:rsid w:val="00A46D15"/>
    <w:rsid w:val="00A4751A"/>
    <w:rsid w:val="00A50242"/>
    <w:rsid w:val="00A52303"/>
    <w:rsid w:val="00A52433"/>
    <w:rsid w:val="00A5323B"/>
    <w:rsid w:val="00A53759"/>
    <w:rsid w:val="00A55D55"/>
    <w:rsid w:val="00A5702D"/>
    <w:rsid w:val="00A60963"/>
    <w:rsid w:val="00A6214E"/>
    <w:rsid w:val="00A632BF"/>
    <w:rsid w:val="00A65F27"/>
    <w:rsid w:val="00A662A5"/>
    <w:rsid w:val="00A66B72"/>
    <w:rsid w:val="00A67446"/>
    <w:rsid w:val="00A7101E"/>
    <w:rsid w:val="00A715A6"/>
    <w:rsid w:val="00A71F2F"/>
    <w:rsid w:val="00A72428"/>
    <w:rsid w:val="00A72B5B"/>
    <w:rsid w:val="00A72EFA"/>
    <w:rsid w:val="00A757FE"/>
    <w:rsid w:val="00A762FF"/>
    <w:rsid w:val="00A7642D"/>
    <w:rsid w:val="00A76B37"/>
    <w:rsid w:val="00A77C94"/>
    <w:rsid w:val="00A80074"/>
    <w:rsid w:val="00A82432"/>
    <w:rsid w:val="00A8304B"/>
    <w:rsid w:val="00A84D38"/>
    <w:rsid w:val="00A85AA2"/>
    <w:rsid w:val="00A860AA"/>
    <w:rsid w:val="00A87EF4"/>
    <w:rsid w:val="00A91609"/>
    <w:rsid w:val="00A91A61"/>
    <w:rsid w:val="00A921F9"/>
    <w:rsid w:val="00A92777"/>
    <w:rsid w:val="00A9464F"/>
    <w:rsid w:val="00A951D2"/>
    <w:rsid w:val="00AA0201"/>
    <w:rsid w:val="00AA0468"/>
    <w:rsid w:val="00AA1DFB"/>
    <w:rsid w:val="00AA2A6A"/>
    <w:rsid w:val="00AA4A7B"/>
    <w:rsid w:val="00AB0667"/>
    <w:rsid w:val="00AB0EE9"/>
    <w:rsid w:val="00AB1476"/>
    <w:rsid w:val="00AB2AE4"/>
    <w:rsid w:val="00AB58A6"/>
    <w:rsid w:val="00AB7CA1"/>
    <w:rsid w:val="00AB7F32"/>
    <w:rsid w:val="00AC16C7"/>
    <w:rsid w:val="00AC6131"/>
    <w:rsid w:val="00AC7FBF"/>
    <w:rsid w:val="00AD2608"/>
    <w:rsid w:val="00AD37CC"/>
    <w:rsid w:val="00AD56FC"/>
    <w:rsid w:val="00AD72E1"/>
    <w:rsid w:val="00AE0209"/>
    <w:rsid w:val="00AE14BC"/>
    <w:rsid w:val="00AF1065"/>
    <w:rsid w:val="00AF2CBB"/>
    <w:rsid w:val="00AF6157"/>
    <w:rsid w:val="00B01197"/>
    <w:rsid w:val="00B031D9"/>
    <w:rsid w:val="00B04F07"/>
    <w:rsid w:val="00B059A2"/>
    <w:rsid w:val="00B06105"/>
    <w:rsid w:val="00B07B3F"/>
    <w:rsid w:val="00B11F00"/>
    <w:rsid w:val="00B12261"/>
    <w:rsid w:val="00B13911"/>
    <w:rsid w:val="00B14969"/>
    <w:rsid w:val="00B16D4D"/>
    <w:rsid w:val="00B17399"/>
    <w:rsid w:val="00B20481"/>
    <w:rsid w:val="00B219A8"/>
    <w:rsid w:val="00B23284"/>
    <w:rsid w:val="00B23888"/>
    <w:rsid w:val="00B244D0"/>
    <w:rsid w:val="00B24D68"/>
    <w:rsid w:val="00B302AD"/>
    <w:rsid w:val="00B30D47"/>
    <w:rsid w:val="00B31B18"/>
    <w:rsid w:val="00B32904"/>
    <w:rsid w:val="00B34BD2"/>
    <w:rsid w:val="00B35BF4"/>
    <w:rsid w:val="00B370C6"/>
    <w:rsid w:val="00B40A9C"/>
    <w:rsid w:val="00B417B9"/>
    <w:rsid w:val="00B42EEB"/>
    <w:rsid w:val="00B45664"/>
    <w:rsid w:val="00B475BF"/>
    <w:rsid w:val="00B50704"/>
    <w:rsid w:val="00B51AE1"/>
    <w:rsid w:val="00B52A5F"/>
    <w:rsid w:val="00B52FCD"/>
    <w:rsid w:val="00B541C3"/>
    <w:rsid w:val="00B5521A"/>
    <w:rsid w:val="00B56508"/>
    <w:rsid w:val="00B56911"/>
    <w:rsid w:val="00B60945"/>
    <w:rsid w:val="00B61803"/>
    <w:rsid w:val="00B61F38"/>
    <w:rsid w:val="00B641BE"/>
    <w:rsid w:val="00B64476"/>
    <w:rsid w:val="00B64CB1"/>
    <w:rsid w:val="00B66638"/>
    <w:rsid w:val="00B67CFF"/>
    <w:rsid w:val="00B7139B"/>
    <w:rsid w:val="00B72700"/>
    <w:rsid w:val="00B7298D"/>
    <w:rsid w:val="00B729E1"/>
    <w:rsid w:val="00B7316C"/>
    <w:rsid w:val="00B73EF3"/>
    <w:rsid w:val="00B750C3"/>
    <w:rsid w:val="00B76681"/>
    <w:rsid w:val="00B76DF7"/>
    <w:rsid w:val="00B77359"/>
    <w:rsid w:val="00B80F7D"/>
    <w:rsid w:val="00B84664"/>
    <w:rsid w:val="00B87903"/>
    <w:rsid w:val="00B9046D"/>
    <w:rsid w:val="00B90BF2"/>
    <w:rsid w:val="00B91FC6"/>
    <w:rsid w:val="00B955F1"/>
    <w:rsid w:val="00BA08CB"/>
    <w:rsid w:val="00BA0D6B"/>
    <w:rsid w:val="00BA20FE"/>
    <w:rsid w:val="00BA2AAE"/>
    <w:rsid w:val="00BA32F5"/>
    <w:rsid w:val="00BA38D4"/>
    <w:rsid w:val="00BA3D07"/>
    <w:rsid w:val="00BB0D3C"/>
    <w:rsid w:val="00BB16AF"/>
    <w:rsid w:val="00BB29FB"/>
    <w:rsid w:val="00BB36F2"/>
    <w:rsid w:val="00BB3FE5"/>
    <w:rsid w:val="00BB5562"/>
    <w:rsid w:val="00BB57E3"/>
    <w:rsid w:val="00BC0E32"/>
    <w:rsid w:val="00BC1157"/>
    <w:rsid w:val="00BC2A95"/>
    <w:rsid w:val="00BD1EB6"/>
    <w:rsid w:val="00BD2A5C"/>
    <w:rsid w:val="00BD3E63"/>
    <w:rsid w:val="00BD61F3"/>
    <w:rsid w:val="00BD69F8"/>
    <w:rsid w:val="00BD6DED"/>
    <w:rsid w:val="00BD72BF"/>
    <w:rsid w:val="00BE106A"/>
    <w:rsid w:val="00BE22E2"/>
    <w:rsid w:val="00BE5AE4"/>
    <w:rsid w:val="00BF0947"/>
    <w:rsid w:val="00BF142F"/>
    <w:rsid w:val="00BF22A1"/>
    <w:rsid w:val="00BF404F"/>
    <w:rsid w:val="00BF4343"/>
    <w:rsid w:val="00BF58E3"/>
    <w:rsid w:val="00BF6371"/>
    <w:rsid w:val="00BF6B16"/>
    <w:rsid w:val="00C00C14"/>
    <w:rsid w:val="00C00FD8"/>
    <w:rsid w:val="00C02CF7"/>
    <w:rsid w:val="00C03F18"/>
    <w:rsid w:val="00C0767A"/>
    <w:rsid w:val="00C1066D"/>
    <w:rsid w:val="00C10AF4"/>
    <w:rsid w:val="00C10BAB"/>
    <w:rsid w:val="00C11833"/>
    <w:rsid w:val="00C127F1"/>
    <w:rsid w:val="00C13C1C"/>
    <w:rsid w:val="00C2054C"/>
    <w:rsid w:val="00C21298"/>
    <w:rsid w:val="00C218CC"/>
    <w:rsid w:val="00C21F70"/>
    <w:rsid w:val="00C220E6"/>
    <w:rsid w:val="00C23317"/>
    <w:rsid w:val="00C250DF"/>
    <w:rsid w:val="00C25282"/>
    <w:rsid w:val="00C27ADB"/>
    <w:rsid w:val="00C320D8"/>
    <w:rsid w:val="00C32518"/>
    <w:rsid w:val="00C35511"/>
    <w:rsid w:val="00C357FE"/>
    <w:rsid w:val="00C372BB"/>
    <w:rsid w:val="00C40086"/>
    <w:rsid w:val="00C40320"/>
    <w:rsid w:val="00C40893"/>
    <w:rsid w:val="00C41056"/>
    <w:rsid w:val="00C427E6"/>
    <w:rsid w:val="00C43324"/>
    <w:rsid w:val="00C44016"/>
    <w:rsid w:val="00C454A3"/>
    <w:rsid w:val="00C46EE1"/>
    <w:rsid w:val="00C47C01"/>
    <w:rsid w:val="00C50CE6"/>
    <w:rsid w:val="00C51270"/>
    <w:rsid w:val="00C515BA"/>
    <w:rsid w:val="00C52A0D"/>
    <w:rsid w:val="00C54405"/>
    <w:rsid w:val="00C552B0"/>
    <w:rsid w:val="00C57DC6"/>
    <w:rsid w:val="00C60B7D"/>
    <w:rsid w:val="00C60D73"/>
    <w:rsid w:val="00C61EF1"/>
    <w:rsid w:val="00C64876"/>
    <w:rsid w:val="00C65FCF"/>
    <w:rsid w:val="00C71DC8"/>
    <w:rsid w:val="00C832A0"/>
    <w:rsid w:val="00C83B94"/>
    <w:rsid w:val="00C85332"/>
    <w:rsid w:val="00C85484"/>
    <w:rsid w:val="00C85FE9"/>
    <w:rsid w:val="00C90470"/>
    <w:rsid w:val="00C913D3"/>
    <w:rsid w:val="00C938F0"/>
    <w:rsid w:val="00C93E4E"/>
    <w:rsid w:val="00C94155"/>
    <w:rsid w:val="00C95333"/>
    <w:rsid w:val="00C95C04"/>
    <w:rsid w:val="00C96843"/>
    <w:rsid w:val="00C96B6E"/>
    <w:rsid w:val="00C96E4A"/>
    <w:rsid w:val="00C97954"/>
    <w:rsid w:val="00CA00B1"/>
    <w:rsid w:val="00CA0BFC"/>
    <w:rsid w:val="00CA17C6"/>
    <w:rsid w:val="00CA3578"/>
    <w:rsid w:val="00CA4B91"/>
    <w:rsid w:val="00CA7FD7"/>
    <w:rsid w:val="00CB2E5C"/>
    <w:rsid w:val="00CC0365"/>
    <w:rsid w:val="00CC0794"/>
    <w:rsid w:val="00CC0DCF"/>
    <w:rsid w:val="00CC126D"/>
    <w:rsid w:val="00CC2303"/>
    <w:rsid w:val="00CC2AE2"/>
    <w:rsid w:val="00CC460D"/>
    <w:rsid w:val="00CC54AF"/>
    <w:rsid w:val="00CC56A8"/>
    <w:rsid w:val="00CD03FB"/>
    <w:rsid w:val="00CD4A3A"/>
    <w:rsid w:val="00CE032C"/>
    <w:rsid w:val="00CE10B0"/>
    <w:rsid w:val="00CE2CB7"/>
    <w:rsid w:val="00CE5633"/>
    <w:rsid w:val="00CE5818"/>
    <w:rsid w:val="00CE5E9D"/>
    <w:rsid w:val="00CE63FA"/>
    <w:rsid w:val="00CE6677"/>
    <w:rsid w:val="00CE6C6C"/>
    <w:rsid w:val="00CE6EB2"/>
    <w:rsid w:val="00CF0EE5"/>
    <w:rsid w:val="00CF3F03"/>
    <w:rsid w:val="00CF54C4"/>
    <w:rsid w:val="00CF5B13"/>
    <w:rsid w:val="00D015B8"/>
    <w:rsid w:val="00D01BD3"/>
    <w:rsid w:val="00D02181"/>
    <w:rsid w:val="00D052FD"/>
    <w:rsid w:val="00D07AEA"/>
    <w:rsid w:val="00D101D4"/>
    <w:rsid w:val="00D16B0E"/>
    <w:rsid w:val="00D20E4A"/>
    <w:rsid w:val="00D21C2E"/>
    <w:rsid w:val="00D25166"/>
    <w:rsid w:val="00D25650"/>
    <w:rsid w:val="00D2720C"/>
    <w:rsid w:val="00D301D0"/>
    <w:rsid w:val="00D3226B"/>
    <w:rsid w:val="00D32B8A"/>
    <w:rsid w:val="00D37E2A"/>
    <w:rsid w:val="00D448B8"/>
    <w:rsid w:val="00D44C96"/>
    <w:rsid w:val="00D470BB"/>
    <w:rsid w:val="00D50498"/>
    <w:rsid w:val="00D5204F"/>
    <w:rsid w:val="00D53A27"/>
    <w:rsid w:val="00D55D1D"/>
    <w:rsid w:val="00D57434"/>
    <w:rsid w:val="00D5746F"/>
    <w:rsid w:val="00D600BE"/>
    <w:rsid w:val="00D62971"/>
    <w:rsid w:val="00D6382F"/>
    <w:rsid w:val="00D64CDD"/>
    <w:rsid w:val="00D66C05"/>
    <w:rsid w:val="00D673A5"/>
    <w:rsid w:val="00D6771C"/>
    <w:rsid w:val="00D67B7A"/>
    <w:rsid w:val="00D67D8E"/>
    <w:rsid w:val="00D70851"/>
    <w:rsid w:val="00D70E96"/>
    <w:rsid w:val="00D724B4"/>
    <w:rsid w:val="00D72E0E"/>
    <w:rsid w:val="00D757FA"/>
    <w:rsid w:val="00D806F8"/>
    <w:rsid w:val="00D81FCB"/>
    <w:rsid w:val="00D82B4A"/>
    <w:rsid w:val="00D82EFE"/>
    <w:rsid w:val="00D83FAA"/>
    <w:rsid w:val="00D85EB0"/>
    <w:rsid w:val="00D865A4"/>
    <w:rsid w:val="00D901CA"/>
    <w:rsid w:val="00D91B2B"/>
    <w:rsid w:val="00D941EF"/>
    <w:rsid w:val="00D952A7"/>
    <w:rsid w:val="00D96E1B"/>
    <w:rsid w:val="00D97888"/>
    <w:rsid w:val="00DA04A8"/>
    <w:rsid w:val="00DA2561"/>
    <w:rsid w:val="00DA53EB"/>
    <w:rsid w:val="00DA54A5"/>
    <w:rsid w:val="00DA6E82"/>
    <w:rsid w:val="00DB0B92"/>
    <w:rsid w:val="00DB0E89"/>
    <w:rsid w:val="00DB18A8"/>
    <w:rsid w:val="00DB3032"/>
    <w:rsid w:val="00DB4CBD"/>
    <w:rsid w:val="00DC331D"/>
    <w:rsid w:val="00DC63C3"/>
    <w:rsid w:val="00DD05DC"/>
    <w:rsid w:val="00DD467A"/>
    <w:rsid w:val="00DD4968"/>
    <w:rsid w:val="00DD4B68"/>
    <w:rsid w:val="00DD4BA7"/>
    <w:rsid w:val="00DD50A4"/>
    <w:rsid w:val="00DD5D94"/>
    <w:rsid w:val="00DE0E91"/>
    <w:rsid w:val="00DE2949"/>
    <w:rsid w:val="00DE301B"/>
    <w:rsid w:val="00DE5033"/>
    <w:rsid w:val="00DE6FB0"/>
    <w:rsid w:val="00DE79BF"/>
    <w:rsid w:val="00DF03C3"/>
    <w:rsid w:val="00DF092C"/>
    <w:rsid w:val="00DF2BB7"/>
    <w:rsid w:val="00DF2FB4"/>
    <w:rsid w:val="00DF3C08"/>
    <w:rsid w:val="00DF42C8"/>
    <w:rsid w:val="00E0194F"/>
    <w:rsid w:val="00E02F3F"/>
    <w:rsid w:val="00E042A5"/>
    <w:rsid w:val="00E129F2"/>
    <w:rsid w:val="00E13A2C"/>
    <w:rsid w:val="00E14BD8"/>
    <w:rsid w:val="00E1538E"/>
    <w:rsid w:val="00E1680C"/>
    <w:rsid w:val="00E1782B"/>
    <w:rsid w:val="00E20042"/>
    <w:rsid w:val="00E23230"/>
    <w:rsid w:val="00E2447C"/>
    <w:rsid w:val="00E25E72"/>
    <w:rsid w:val="00E26218"/>
    <w:rsid w:val="00E311E2"/>
    <w:rsid w:val="00E33122"/>
    <w:rsid w:val="00E36643"/>
    <w:rsid w:val="00E4012F"/>
    <w:rsid w:val="00E4024E"/>
    <w:rsid w:val="00E40C2E"/>
    <w:rsid w:val="00E411CA"/>
    <w:rsid w:val="00E42E17"/>
    <w:rsid w:val="00E43854"/>
    <w:rsid w:val="00E43FFF"/>
    <w:rsid w:val="00E44E61"/>
    <w:rsid w:val="00E477C1"/>
    <w:rsid w:val="00E50DB0"/>
    <w:rsid w:val="00E517F6"/>
    <w:rsid w:val="00E5199F"/>
    <w:rsid w:val="00E51C5B"/>
    <w:rsid w:val="00E52DB7"/>
    <w:rsid w:val="00E53AFC"/>
    <w:rsid w:val="00E54C1B"/>
    <w:rsid w:val="00E602F9"/>
    <w:rsid w:val="00E614D0"/>
    <w:rsid w:val="00E637CB"/>
    <w:rsid w:val="00E64795"/>
    <w:rsid w:val="00E726F8"/>
    <w:rsid w:val="00E72F77"/>
    <w:rsid w:val="00E751BF"/>
    <w:rsid w:val="00E8224C"/>
    <w:rsid w:val="00E8264C"/>
    <w:rsid w:val="00E82EED"/>
    <w:rsid w:val="00E8446A"/>
    <w:rsid w:val="00E845C4"/>
    <w:rsid w:val="00E86BD9"/>
    <w:rsid w:val="00E902B0"/>
    <w:rsid w:val="00E922BD"/>
    <w:rsid w:val="00E92BE6"/>
    <w:rsid w:val="00E9434B"/>
    <w:rsid w:val="00E95269"/>
    <w:rsid w:val="00EA0A9F"/>
    <w:rsid w:val="00EA14A4"/>
    <w:rsid w:val="00EA2005"/>
    <w:rsid w:val="00EA20D9"/>
    <w:rsid w:val="00EA2B9E"/>
    <w:rsid w:val="00EA342F"/>
    <w:rsid w:val="00EA4716"/>
    <w:rsid w:val="00EA6377"/>
    <w:rsid w:val="00EA7A57"/>
    <w:rsid w:val="00EB375F"/>
    <w:rsid w:val="00EB4113"/>
    <w:rsid w:val="00EB492F"/>
    <w:rsid w:val="00EB6BB5"/>
    <w:rsid w:val="00EB6C64"/>
    <w:rsid w:val="00EB6E85"/>
    <w:rsid w:val="00EB7F83"/>
    <w:rsid w:val="00EC030B"/>
    <w:rsid w:val="00EC099D"/>
    <w:rsid w:val="00EC17B9"/>
    <w:rsid w:val="00EC6C68"/>
    <w:rsid w:val="00EC775E"/>
    <w:rsid w:val="00ED0235"/>
    <w:rsid w:val="00ED1398"/>
    <w:rsid w:val="00ED1A4F"/>
    <w:rsid w:val="00ED2EA6"/>
    <w:rsid w:val="00ED3DFD"/>
    <w:rsid w:val="00ED517F"/>
    <w:rsid w:val="00ED6B81"/>
    <w:rsid w:val="00ED7E03"/>
    <w:rsid w:val="00EE1808"/>
    <w:rsid w:val="00EE28F0"/>
    <w:rsid w:val="00EE3713"/>
    <w:rsid w:val="00EE37BC"/>
    <w:rsid w:val="00EE3A7C"/>
    <w:rsid w:val="00EE533D"/>
    <w:rsid w:val="00EE69FF"/>
    <w:rsid w:val="00EF1E98"/>
    <w:rsid w:val="00EF23A4"/>
    <w:rsid w:val="00EF29A8"/>
    <w:rsid w:val="00EF4741"/>
    <w:rsid w:val="00EF6475"/>
    <w:rsid w:val="00F0061C"/>
    <w:rsid w:val="00F0275B"/>
    <w:rsid w:val="00F03C22"/>
    <w:rsid w:val="00F0682D"/>
    <w:rsid w:val="00F07FCF"/>
    <w:rsid w:val="00F10947"/>
    <w:rsid w:val="00F10B26"/>
    <w:rsid w:val="00F121AE"/>
    <w:rsid w:val="00F13CB3"/>
    <w:rsid w:val="00F14331"/>
    <w:rsid w:val="00F17FA5"/>
    <w:rsid w:val="00F21369"/>
    <w:rsid w:val="00F27747"/>
    <w:rsid w:val="00F27B58"/>
    <w:rsid w:val="00F3123B"/>
    <w:rsid w:val="00F3147A"/>
    <w:rsid w:val="00F32F8C"/>
    <w:rsid w:val="00F34906"/>
    <w:rsid w:val="00F34D30"/>
    <w:rsid w:val="00F34E3D"/>
    <w:rsid w:val="00F3521E"/>
    <w:rsid w:val="00F36B90"/>
    <w:rsid w:val="00F37896"/>
    <w:rsid w:val="00F4024C"/>
    <w:rsid w:val="00F41ADF"/>
    <w:rsid w:val="00F434C1"/>
    <w:rsid w:val="00F4375B"/>
    <w:rsid w:val="00F47F25"/>
    <w:rsid w:val="00F52F16"/>
    <w:rsid w:val="00F53AE5"/>
    <w:rsid w:val="00F53F19"/>
    <w:rsid w:val="00F549FA"/>
    <w:rsid w:val="00F552FA"/>
    <w:rsid w:val="00F615E6"/>
    <w:rsid w:val="00F6173C"/>
    <w:rsid w:val="00F62D5E"/>
    <w:rsid w:val="00F652D3"/>
    <w:rsid w:val="00F66F64"/>
    <w:rsid w:val="00F708FD"/>
    <w:rsid w:val="00F70A60"/>
    <w:rsid w:val="00F7514D"/>
    <w:rsid w:val="00F77599"/>
    <w:rsid w:val="00F777FA"/>
    <w:rsid w:val="00F831F1"/>
    <w:rsid w:val="00F8469F"/>
    <w:rsid w:val="00F86BEF"/>
    <w:rsid w:val="00F87D21"/>
    <w:rsid w:val="00F908A0"/>
    <w:rsid w:val="00F96464"/>
    <w:rsid w:val="00F97F72"/>
    <w:rsid w:val="00FA0C62"/>
    <w:rsid w:val="00FA154D"/>
    <w:rsid w:val="00FA3885"/>
    <w:rsid w:val="00FA3CFC"/>
    <w:rsid w:val="00FA3F80"/>
    <w:rsid w:val="00FA7B66"/>
    <w:rsid w:val="00FB1C1D"/>
    <w:rsid w:val="00FC44D3"/>
    <w:rsid w:val="00FC6262"/>
    <w:rsid w:val="00FD16D1"/>
    <w:rsid w:val="00FD3874"/>
    <w:rsid w:val="00FD5682"/>
    <w:rsid w:val="00FD733B"/>
    <w:rsid w:val="00FE08C0"/>
    <w:rsid w:val="00FE24F7"/>
    <w:rsid w:val="00FE2AD8"/>
    <w:rsid w:val="00FE33A7"/>
    <w:rsid w:val="00FE3EDA"/>
    <w:rsid w:val="00FE5131"/>
    <w:rsid w:val="00FF06D2"/>
    <w:rsid w:val="00FF0729"/>
    <w:rsid w:val="00FF21A4"/>
    <w:rsid w:val="00FF224E"/>
    <w:rsid w:val="00FF3FEA"/>
    <w:rsid w:val="017F442F"/>
    <w:rsid w:val="017F7C9A"/>
    <w:rsid w:val="01F603CB"/>
    <w:rsid w:val="024B380A"/>
    <w:rsid w:val="02E650AB"/>
    <w:rsid w:val="034A7C63"/>
    <w:rsid w:val="04E35A1E"/>
    <w:rsid w:val="054451E8"/>
    <w:rsid w:val="06257970"/>
    <w:rsid w:val="070227DA"/>
    <w:rsid w:val="07766D28"/>
    <w:rsid w:val="07F46E28"/>
    <w:rsid w:val="08AB28A7"/>
    <w:rsid w:val="09216B15"/>
    <w:rsid w:val="09D96C75"/>
    <w:rsid w:val="0A656ED5"/>
    <w:rsid w:val="0AB07198"/>
    <w:rsid w:val="0B0652CD"/>
    <w:rsid w:val="0BBC2D4C"/>
    <w:rsid w:val="0BF7232B"/>
    <w:rsid w:val="0C6B05B7"/>
    <w:rsid w:val="0C9A4F32"/>
    <w:rsid w:val="0CA44945"/>
    <w:rsid w:val="0CB26B6B"/>
    <w:rsid w:val="0CB41A4E"/>
    <w:rsid w:val="0DA82DCF"/>
    <w:rsid w:val="0DF13F5A"/>
    <w:rsid w:val="0E1E1875"/>
    <w:rsid w:val="0E202A24"/>
    <w:rsid w:val="0E4E34EF"/>
    <w:rsid w:val="0E584961"/>
    <w:rsid w:val="0E6458BE"/>
    <w:rsid w:val="0F461C36"/>
    <w:rsid w:val="0F5739D0"/>
    <w:rsid w:val="0FA757F9"/>
    <w:rsid w:val="10D034EB"/>
    <w:rsid w:val="11964A99"/>
    <w:rsid w:val="124D1A5B"/>
    <w:rsid w:val="13307F6B"/>
    <w:rsid w:val="13BC290B"/>
    <w:rsid w:val="13FB2870"/>
    <w:rsid w:val="144D623B"/>
    <w:rsid w:val="15F312A9"/>
    <w:rsid w:val="1651030E"/>
    <w:rsid w:val="18165647"/>
    <w:rsid w:val="1AB65FD1"/>
    <w:rsid w:val="1AF5570C"/>
    <w:rsid w:val="1C8054A9"/>
    <w:rsid w:val="1CC378D6"/>
    <w:rsid w:val="1CDC1EAB"/>
    <w:rsid w:val="1CF517E1"/>
    <w:rsid w:val="1D0719CC"/>
    <w:rsid w:val="1E0D1ABD"/>
    <w:rsid w:val="1FB94F0F"/>
    <w:rsid w:val="1FBE07C2"/>
    <w:rsid w:val="1FC658C9"/>
    <w:rsid w:val="203E7E2D"/>
    <w:rsid w:val="206668CA"/>
    <w:rsid w:val="219C0FD7"/>
    <w:rsid w:val="21EF5DC0"/>
    <w:rsid w:val="21FC16F6"/>
    <w:rsid w:val="22246004"/>
    <w:rsid w:val="234A68AA"/>
    <w:rsid w:val="23BE37A7"/>
    <w:rsid w:val="24186F1C"/>
    <w:rsid w:val="24253E3F"/>
    <w:rsid w:val="2536704D"/>
    <w:rsid w:val="25673A91"/>
    <w:rsid w:val="25696CFE"/>
    <w:rsid w:val="25A03BD6"/>
    <w:rsid w:val="25AD6DA4"/>
    <w:rsid w:val="265D27FC"/>
    <w:rsid w:val="27410213"/>
    <w:rsid w:val="279623B0"/>
    <w:rsid w:val="284E41B3"/>
    <w:rsid w:val="2870640F"/>
    <w:rsid w:val="290966B1"/>
    <w:rsid w:val="290D0469"/>
    <w:rsid w:val="294E705B"/>
    <w:rsid w:val="2A3249D6"/>
    <w:rsid w:val="2A532E56"/>
    <w:rsid w:val="2A614B6C"/>
    <w:rsid w:val="2AB82B1A"/>
    <w:rsid w:val="2BCF4D5D"/>
    <w:rsid w:val="2C3D0DFD"/>
    <w:rsid w:val="2C604E7A"/>
    <w:rsid w:val="2D50004D"/>
    <w:rsid w:val="2DD90EBD"/>
    <w:rsid w:val="2EAA5469"/>
    <w:rsid w:val="2EB213A3"/>
    <w:rsid w:val="2F913968"/>
    <w:rsid w:val="2FC445DF"/>
    <w:rsid w:val="2FFA18AE"/>
    <w:rsid w:val="30314FE0"/>
    <w:rsid w:val="30E746BE"/>
    <w:rsid w:val="315F4C0F"/>
    <w:rsid w:val="31D23042"/>
    <w:rsid w:val="31E7188E"/>
    <w:rsid w:val="3229720D"/>
    <w:rsid w:val="324234D5"/>
    <w:rsid w:val="329A76FD"/>
    <w:rsid w:val="32BE5317"/>
    <w:rsid w:val="34A040CD"/>
    <w:rsid w:val="34EB5A57"/>
    <w:rsid w:val="35031AF0"/>
    <w:rsid w:val="35790BBE"/>
    <w:rsid w:val="371D73E7"/>
    <w:rsid w:val="37333F56"/>
    <w:rsid w:val="376D2176"/>
    <w:rsid w:val="37C16033"/>
    <w:rsid w:val="38385387"/>
    <w:rsid w:val="386135F8"/>
    <w:rsid w:val="3952320A"/>
    <w:rsid w:val="39DD000C"/>
    <w:rsid w:val="3C092611"/>
    <w:rsid w:val="3C833C6B"/>
    <w:rsid w:val="3D2B1091"/>
    <w:rsid w:val="3D4E26B8"/>
    <w:rsid w:val="3DAE26F8"/>
    <w:rsid w:val="3DC37409"/>
    <w:rsid w:val="3E364DA6"/>
    <w:rsid w:val="3E827885"/>
    <w:rsid w:val="3F2F2BC2"/>
    <w:rsid w:val="3F500B1A"/>
    <w:rsid w:val="406A0A51"/>
    <w:rsid w:val="40943360"/>
    <w:rsid w:val="40AE03D9"/>
    <w:rsid w:val="41112A98"/>
    <w:rsid w:val="41C2021F"/>
    <w:rsid w:val="42493241"/>
    <w:rsid w:val="432A3A44"/>
    <w:rsid w:val="432E20F7"/>
    <w:rsid w:val="434E04AA"/>
    <w:rsid w:val="465F59E2"/>
    <w:rsid w:val="46B00936"/>
    <w:rsid w:val="47325269"/>
    <w:rsid w:val="49023072"/>
    <w:rsid w:val="4A1A3FF4"/>
    <w:rsid w:val="4A932CC5"/>
    <w:rsid w:val="4ADF3B5F"/>
    <w:rsid w:val="4B243D21"/>
    <w:rsid w:val="4B95070B"/>
    <w:rsid w:val="4CF5766A"/>
    <w:rsid w:val="4D1E5F17"/>
    <w:rsid w:val="4D2C1A8C"/>
    <w:rsid w:val="4DD92D5C"/>
    <w:rsid w:val="4E1A5F71"/>
    <w:rsid w:val="4FCF69C4"/>
    <w:rsid w:val="4FFE4A87"/>
    <w:rsid w:val="50B45146"/>
    <w:rsid w:val="50BC78DB"/>
    <w:rsid w:val="529430D0"/>
    <w:rsid w:val="53DC67C8"/>
    <w:rsid w:val="53E63B1C"/>
    <w:rsid w:val="5547594A"/>
    <w:rsid w:val="55BF51BC"/>
    <w:rsid w:val="55FF3307"/>
    <w:rsid w:val="563B3C13"/>
    <w:rsid w:val="565E3DEE"/>
    <w:rsid w:val="56F97D56"/>
    <w:rsid w:val="573D4FE1"/>
    <w:rsid w:val="57C86117"/>
    <w:rsid w:val="584D7A3F"/>
    <w:rsid w:val="595D3C62"/>
    <w:rsid w:val="5A1B6236"/>
    <w:rsid w:val="5A2008B2"/>
    <w:rsid w:val="5A3100EC"/>
    <w:rsid w:val="5A832180"/>
    <w:rsid w:val="5AA7609A"/>
    <w:rsid w:val="5B8A0157"/>
    <w:rsid w:val="5B90473C"/>
    <w:rsid w:val="5C4C2D54"/>
    <w:rsid w:val="5E955F9F"/>
    <w:rsid w:val="5F1758A9"/>
    <w:rsid w:val="5F702B80"/>
    <w:rsid w:val="5F8959EF"/>
    <w:rsid w:val="5FAB66EB"/>
    <w:rsid w:val="60AF592A"/>
    <w:rsid w:val="613303B2"/>
    <w:rsid w:val="623F6EEB"/>
    <w:rsid w:val="625F16EE"/>
    <w:rsid w:val="62D63CB9"/>
    <w:rsid w:val="62EC5F8E"/>
    <w:rsid w:val="64C529E9"/>
    <w:rsid w:val="65A74E21"/>
    <w:rsid w:val="667402D1"/>
    <w:rsid w:val="66C33EDD"/>
    <w:rsid w:val="66D82A3B"/>
    <w:rsid w:val="68224C33"/>
    <w:rsid w:val="6C3B104D"/>
    <w:rsid w:val="6CBE5BE6"/>
    <w:rsid w:val="6D5E28C4"/>
    <w:rsid w:val="6E6E61C6"/>
    <w:rsid w:val="6E8757F0"/>
    <w:rsid w:val="6E91676A"/>
    <w:rsid w:val="6EAF1B3D"/>
    <w:rsid w:val="6F433DEC"/>
    <w:rsid w:val="6FC0720B"/>
    <w:rsid w:val="70182BA3"/>
    <w:rsid w:val="70494E54"/>
    <w:rsid w:val="70613034"/>
    <w:rsid w:val="71011A94"/>
    <w:rsid w:val="712E0A38"/>
    <w:rsid w:val="71664846"/>
    <w:rsid w:val="716767CC"/>
    <w:rsid w:val="72B04724"/>
    <w:rsid w:val="72F91D98"/>
    <w:rsid w:val="73A8444B"/>
    <w:rsid w:val="73D920D7"/>
    <w:rsid w:val="74BC2C75"/>
    <w:rsid w:val="75986535"/>
    <w:rsid w:val="76121DC0"/>
    <w:rsid w:val="77861935"/>
    <w:rsid w:val="779B3104"/>
    <w:rsid w:val="78A100B3"/>
    <w:rsid w:val="79AF3003"/>
    <w:rsid w:val="79D73D80"/>
    <w:rsid w:val="7B354232"/>
    <w:rsid w:val="7B3E2CE9"/>
    <w:rsid w:val="7BED649C"/>
    <w:rsid w:val="7C7119D8"/>
    <w:rsid w:val="7CA13F21"/>
    <w:rsid w:val="7CAE34C9"/>
    <w:rsid w:val="7CE40FEF"/>
    <w:rsid w:val="7E282B4B"/>
    <w:rsid w:val="7EED34B0"/>
    <w:rsid w:val="7EF877A1"/>
    <w:rsid w:val="7F146225"/>
    <w:rsid w:val="7F4B4290"/>
    <w:rsid w:val="7FE36B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34"/>
    <w:autoRedefine/>
    <w:qFormat/>
    <w:uiPriority w:val="0"/>
    <w:pPr>
      <w:keepNext/>
      <w:keepLines/>
      <w:spacing w:beforeLines="100" w:afterLines="100" w:line="360" w:lineRule="auto"/>
      <w:jc w:val="center"/>
      <w:outlineLvl w:val="0"/>
    </w:pPr>
    <w:rPr>
      <w:rFonts w:ascii="仿宋" w:hAnsi="仿宋" w:eastAsia="仿宋"/>
      <w:b/>
      <w:spacing w:val="8"/>
      <w:kern w:val="0"/>
      <w:sz w:val="28"/>
      <w:szCs w:val="28"/>
    </w:rPr>
  </w:style>
  <w:style w:type="paragraph" w:styleId="3">
    <w:name w:val="heading 2"/>
    <w:basedOn w:val="1"/>
    <w:next w:val="1"/>
    <w:link w:val="43"/>
    <w:autoRedefine/>
    <w:unhideWhenUsed/>
    <w:qFormat/>
    <w:uiPriority w:val="0"/>
    <w:pPr>
      <w:keepNext/>
      <w:keepLines/>
      <w:spacing w:before="100" w:beforeLines="100" w:after="100" w:afterLines="100" w:line="360" w:lineRule="auto"/>
      <w:jc w:val="center"/>
      <w:outlineLvl w:val="1"/>
    </w:pPr>
    <w:rPr>
      <w:rFonts w:eastAsia="仿宋" w:asciiTheme="majorHAnsi" w:hAnsiTheme="majorHAnsi" w:cstheme="majorBidi"/>
      <w:b/>
      <w:bCs/>
      <w:sz w:val="28"/>
      <w:szCs w:val="32"/>
    </w:rPr>
  </w:style>
  <w:style w:type="paragraph" w:styleId="4">
    <w:name w:val="heading 3"/>
    <w:basedOn w:val="1"/>
    <w:next w:val="1"/>
    <w:link w:val="48"/>
    <w:autoRedefine/>
    <w:qFormat/>
    <w:uiPriority w:val="0"/>
    <w:pPr>
      <w:keepNext/>
      <w:keepLines/>
      <w:spacing w:before="260" w:after="260" w:line="416" w:lineRule="auto"/>
      <w:jc w:val="center"/>
      <w:outlineLvl w:val="2"/>
    </w:pPr>
    <w:rPr>
      <w:rFonts w:ascii="Times New Roman" w:hAnsi="Times New Roman" w:eastAsia="仿宋"/>
      <w:b/>
      <w:bCs/>
      <w:sz w:val="28"/>
      <w:szCs w:val="32"/>
    </w:rPr>
  </w:style>
  <w:style w:type="paragraph" w:styleId="5">
    <w:name w:val="heading 4"/>
    <w:basedOn w:val="1"/>
    <w:next w:val="1"/>
    <w:link w:val="71"/>
    <w:autoRedefine/>
    <w:unhideWhenUsed/>
    <w:qFormat/>
    <w:uiPriority w:val="0"/>
    <w:pPr>
      <w:keepNext/>
      <w:keepLines/>
      <w:spacing w:before="280" w:after="290" w:line="376" w:lineRule="auto"/>
      <w:outlineLvl w:val="3"/>
    </w:pPr>
    <w:rPr>
      <w:rFonts w:ascii="Cambria" w:hAnsi="Cambria" w:eastAsia="宋体"/>
      <w:b/>
      <w:bCs/>
      <w:kern w:val="0"/>
      <w:sz w:val="28"/>
      <w:szCs w:val="28"/>
    </w:rPr>
  </w:style>
  <w:style w:type="paragraph" w:styleId="6">
    <w:name w:val="heading 5"/>
    <w:basedOn w:val="1"/>
    <w:next w:val="1"/>
    <w:link w:val="75"/>
    <w:autoRedefine/>
    <w:unhideWhenUsed/>
    <w:qFormat/>
    <w:uiPriority w:val="0"/>
    <w:pPr>
      <w:keepNext/>
      <w:keepLines/>
      <w:spacing w:before="280" w:after="290" w:line="372" w:lineRule="auto"/>
      <w:outlineLvl w:val="4"/>
    </w:pPr>
    <w:rPr>
      <w:b/>
      <w:sz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cstheme="minorBidi"/>
    </w:rPr>
  </w:style>
  <w:style w:type="paragraph" w:styleId="8">
    <w:name w:val="annotation text"/>
    <w:basedOn w:val="1"/>
    <w:link w:val="36"/>
    <w:autoRedefine/>
    <w:semiHidden/>
    <w:unhideWhenUsed/>
    <w:qFormat/>
    <w:uiPriority w:val="99"/>
    <w:pPr>
      <w:jc w:val="left"/>
    </w:pPr>
    <w:rPr>
      <w:rFonts w:ascii="等线" w:hAnsi="等线" w:eastAsia="等线"/>
    </w:rPr>
  </w:style>
  <w:style w:type="paragraph" w:styleId="9">
    <w:name w:val="Body Text"/>
    <w:basedOn w:val="1"/>
    <w:link w:val="45"/>
    <w:autoRedefine/>
    <w:qFormat/>
    <w:uiPriority w:val="0"/>
    <w:pPr>
      <w:ind w:left="535"/>
      <w:jc w:val="left"/>
    </w:pPr>
    <w:rPr>
      <w:rFonts w:ascii="宋体" w:hAnsi="宋体" w:eastAsia="宋体"/>
      <w:kern w:val="0"/>
      <w:sz w:val="20"/>
      <w:szCs w:val="20"/>
      <w:lang w:eastAsia="en-US"/>
    </w:rPr>
  </w:style>
  <w:style w:type="paragraph" w:styleId="10">
    <w:name w:val="Body Text Indent"/>
    <w:basedOn w:val="1"/>
    <w:link w:val="76"/>
    <w:autoRedefine/>
    <w:qFormat/>
    <w:uiPriority w:val="0"/>
    <w:pPr>
      <w:shd w:val="clear" w:color="auto" w:fill="FFFFFF"/>
      <w:spacing w:line="360" w:lineRule="auto"/>
      <w:ind w:firstLine="240" w:firstLineChars="100"/>
      <w:jc w:val="center"/>
    </w:pPr>
    <w:rPr>
      <w:sz w:val="24"/>
    </w:rPr>
  </w:style>
  <w:style w:type="paragraph" w:styleId="11">
    <w:name w:val="toc 5"/>
    <w:basedOn w:val="1"/>
    <w:next w:val="1"/>
    <w:autoRedefine/>
    <w:unhideWhenUsed/>
    <w:qFormat/>
    <w:uiPriority w:val="39"/>
    <w:pPr>
      <w:ind w:left="1680" w:leftChars="800"/>
    </w:pPr>
    <w:rPr>
      <w:rFonts w:cstheme="minorBidi"/>
    </w:rPr>
  </w:style>
  <w:style w:type="paragraph" w:styleId="12">
    <w:name w:val="toc 3"/>
    <w:basedOn w:val="1"/>
    <w:next w:val="1"/>
    <w:autoRedefine/>
    <w:unhideWhenUsed/>
    <w:qFormat/>
    <w:uiPriority w:val="39"/>
    <w:pPr>
      <w:widowControl/>
      <w:spacing w:after="100" w:line="276" w:lineRule="auto"/>
      <w:ind w:left="440"/>
      <w:jc w:val="left"/>
    </w:pPr>
    <w:rPr>
      <w:rFonts w:cstheme="minorBidi"/>
      <w:kern w:val="0"/>
      <w:sz w:val="22"/>
    </w:rPr>
  </w:style>
  <w:style w:type="paragraph" w:styleId="13">
    <w:name w:val="Plain Text"/>
    <w:basedOn w:val="1"/>
    <w:link w:val="77"/>
    <w:autoRedefine/>
    <w:qFormat/>
    <w:uiPriority w:val="0"/>
    <w:rPr>
      <w:rFonts w:ascii="宋体" w:hAnsi="Courier New" w:eastAsia="宋体" w:cs="Courier New"/>
      <w:szCs w:val="21"/>
    </w:rPr>
  </w:style>
  <w:style w:type="paragraph" w:styleId="14">
    <w:name w:val="toc 8"/>
    <w:basedOn w:val="1"/>
    <w:next w:val="1"/>
    <w:autoRedefine/>
    <w:unhideWhenUsed/>
    <w:qFormat/>
    <w:uiPriority w:val="39"/>
    <w:pPr>
      <w:ind w:left="2940" w:leftChars="1400"/>
    </w:pPr>
    <w:rPr>
      <w:rFonts w:cstheme="minorBidi"/>
    </w:rPr>
  </w:style>
  <w:style w:type="paragraph" w:styleId="15">
    <w:name w:val="Date"/>
    <w:basedOn w:val="1"/>
    <w:next w:val="1"/>
    <w:link w:val="53"/>
    <w:autoRedefine/>
    <w:semiHidden/>
    <w:unhideWhenUsed/>
    <w:qFormat/>
    <w:uiPriority w:val="99"/>
    <w:pPr>
      <w:ind w:left="100" w:leftChars="2500"/>
    </w:pPr>
    <w:rPr>
      <w:rFonts w:ascii="等线" w:hAnsi="等线" w:eastAsia="等线"/>
    </w:rPr>
  </w:style>
  <w:style w:type="paragraph" w:styleId="16">
    <w:name w:val="Balloon Text"/>
    <w:basedOn w:val="1"/>
    <w:link w:val="38"/>
    <w:autoRedefine/>
    <w:unhideWhenUsed/>
    <w:qFormat/>
    <w:uiPriority w:val="0"/>
    <w:rPr>
      <w:sz w:val="18"/>
      <w:szCs w:val="18"/>
    </w:rPr>
  </w:style>
  <w:style w:type="paragraph" w:styleId="17">
    <w:name w:val="footer"/>
    <w:basedOn w:val="1"/>
    <w:link w:val="40"/>
    <w:autoRedefine/>
    <w:unhideWhenUsed/>
    <w:qFormat/>
    <w:uiPriority w:val="99"/>
    <w:pPr>
      <w:tabs>
        <w:tab w:val="center" w:pos="4153"/>
        <w:tab w:val="right" w:pos="8306"/>
      </w:tabs>
      <w:snapToGrid w:val="0"/>
      <w:jc w:val="left"/>
    </w:pPr>
    <w:rPr>
      <w:sz w:val="18"/>
      <w:szCs w:val="18"/>
    </w:rPr>
  </w:style>
  <w:style w:type="paragraph" w:styleId="18">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cstheme="minorBidi"/>
      <w:kern w:val="0"/>
      <w:sz w:val="22"/>
    </w:rPr>
  </w:style>
  <w:style w:type="paragraph" w:styleId="20">
    <w:name w:val="toc 4"/>
    <w:basedOn w:val="1"/>
    <w:next w:val="1"/>
    <w:autoRedefine/>
    <w:qFormat/>
    <w:uiPriority w:val="39"/>
    <w:pPr>
      <w:ind w:left="1260" w:leftChars="600"/>
    </w:pPr>
  </w:style>
  <w:style w:type="paragraph" w:styleId="21">
    <w:name w:val="toc 6"/>
    <w:basedOn w:val="1"/>
    <w:next w:val="1"/>
    <w:autoRedefine/>
    <w:unhideWhenUsed/>
    <w:qFormat/>
    <w:uiPriority w:val="39"/>
    <w:pPr>
      <w:ind w:left="2100" w:leftChars="1000"/>
    </w:pPr>
    <w:rPr>
      <w:rFonts w:cstheme="minorBidi"/>
    </w:rPr>
  </w:style>
  <w:style w:type="paragraph" w:styleId="22">
    <w:name w:val="toc 2"/>
    <w:basedOn w:val="1"/>
    <w:next w:val="1"/>
    <w:autoRedefine/>
    <w:unhideWhenUsed/>
    <w:qFormat/>
    <w:uiPriority w:val="39"/>
    <w:pPr>
      <w:widowControl/>
      <w:spacing w:after="100" w:line="276" w:lineRule="auto"/>
      <w:ind w:left="220"/>
      <w:jc w:val="left"/>
    </w:pPr>
    <w:rPr>
      <w:rFonts w:cstheme="minorBidi"/>
      <w:kern w:val="0"/>
      <w:sz w:val="22"/>
    </w:rPr>
  </w:style>
  <w:style w:type="paragraph" w:styleId="23">
    <w:name w:val="toc 9"/>
    <w:basedOn w:val="1"/>
    <w:next w:val="1"/>
    <w:autoRedefine/>
    <w:unhideWhenUsed/>
    <w:qFormat/>
    <w:uiPriority w:val="39"/>
    <w:pPr>
      <w:ind w:left="3360" w:leftChars="1600"/>
    </w:pPr>
    <w:rPr>
      <w:rFonts w:cstheme="minorBidi"/>
    </w:rPr>
  </w:style>
  <w:style w:type="paragraph" w:styleId="24">
    <w:name w:val="Body Text 2"/>
    <w:basedOn w:val="1"/>
    <w:link w:val="78"/>
    <w:autoRedefine/>
    <w:qFormat/>
    <w:uiPriority w:val="0"/>
    <w:rPr>
      <w:sz w:val="24"/>
    </w:rPr>
  </w:style>
  <w:style w:type="paragraph" w:styleId="25">
    <w:name w:val="Normal (Web)"/>
    <w:basedOn w:val="1"/>
    <w:autoRedefine/>
    <w:unhideWhenUsed/>
    <w:qFormat/>
    <w:uiPriority w:val="99"/>
    <w:pPr>
      <w:spacing w:beforeAutospacing="1" w:afterAutospacing="1"/>
      <w:jc w:val="left"/>
    </w:pPr>
    <w:rPr>
      <w:kern w:val="0"/>
      <w:sz w:val="24"/>
    </w:rPr>
  </w:style>
  <w:style w:type="paragraph" w:styleId="26">
    <w:name w:val="annotation subject"/>
    <w:basedOn w:val="8"/>
    <w:next w:val="8"/>
    <w:link w:val="50"/>
    <w:autoRedefine/>
    <w:semiHidden/>
    <w:unhideWhenUsed/>
    <w:qFormat/>
    <w:uiPriority w:val="99"/>
    <w:rPr>
      <w:b/>
      <w:bCs/>
      <w:kern w:val="0"/>
      <w:sz w:val="20"/>
      <w:szCs w:val="20"/>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rPr>
  </w:style>
  <w:style w:type="character" w:styleId="31">
    <w:name w:val="page number"/>
    <w:autoRedefine/>
    <w:qFormat/>
    <w:uiPriority w:val="0"/>
    <w:rPr>
      <w:rFonts w:ascii="Times New Roman" w:hAnsi="Times New Roman" w:eastAsia="宋体"/>
      <w:sz w:val="18"/>
    </w:rPr>
  </w:style>
  <w:style w:type="character" w:styleId="32">
    <w:name w:val="Hyperlink"/>
    <w:basedOn w:val="29"/>
    <w:autoRedefine/>
    <w:unhideWhenUsed/>
    <w:qFormat/>
    <w:uiPriority w:val="99"/>
    <w:rPr>
      <w:color w:val="0563C1" w:themeColor="hyperlink"/>
      <w:u w:val="single"/>
      <w14:textFill>
        <w14:solidFill>
          <w14:schemeClr w14:val="hlink"/>
        </w14:solidFill>
      </w14:textFill>
    </w:rPr>
  </w:style>
  <w:style w:type="character" w:styleId="33">
    <w:name w:val="annotation reference"/>
    <w:basedOn w:val="29"/>
    <w:autoRedefine/>
    <w:semiHidden/>
    <w:unhideWhenUsed/>
    <w:qFormat/>
    <w:uiPriority w:val="99"/>
    <w:rPr>
      <w:sz w:val="21"/>
    </w:rPr>
  </w:style>
  <w:style w:type="character" w:customStyle="1" w:styleId="34">
    <w:name w:val="标题 1 字符"/>
    <w:basedOn w:val="29"/>
    <w:link w:val="2"/>
    <w:autoRedefine/>
    <w:qFormat/>
    <w:locked/>
    <w:uiPriority w:val="0"/>
    <w:rPr>
      <w:rFonts w:ascii="仿宋" w:hAnsi="仿宋" w:eastAsia="仿宋"/>
      <w:b/>
      <w:spacing w:val="8"/>
      <w:sz w:val="28"/>
      <w:szCs w:val="28"/>
    </w:rPr>
  </w:style>
  <w:style w:type="paragraph" w:customStyle="1" w:styleId="35">
    <w:name w:val="正文正文"/>
    <w:basedOn w:val="1"/>
    <w:link w:val="37"/>
    <w:autoRedefine/>
    <w:qFormat/>
    <w:uiPriority w:val="0"/>
    <w:rPr>
      <w:rFonts w:ascii="宋体" w:hAnsi="宋体"/>
      <w:sz w:val="28"/>
      <w:szCs w:val="28"/>
    </w:rPr>
  </w:style>
  <w:style w:type="character" w:customStyle="1" w:styleId="36">
    <w:name w:val="批注文字 字符"/>
    <w:basedOn w:val="29"/>
    <w:link w:val="8"/>
    <w:autoRedefine/>
    <w:semiHidden/>
    <w:qFormat/>
    <w:locked/>
    <w:uiPriority w:val="99"/>
    <w:rPr>
      <w:rFonts w:ascii="等线" w:hAnsi="等线" w:eastAsia="等线" w:cs="Times New Roman"/>
    </w:rPr>
  </w:style>
  <w:style w:type="character" w:customStyle="1" w:styleId="37">
    <w:name w:val="正文正文 字符"/>
    <w:link w:val="35"/>
    <w:autoRedefine/>
    <w:qFormat/>
    <w:locked/>
    <w:uiPriority w:val="0"/>
    <w:rPr>
      <w:rFonts w:ascii="宋体" w:eastAsia="宋体"/>
      <w:sz w:val="28"/>
    </w:rPr>
  </w:style>
  <w:style w:type="character" w:customStyle="1" w:styleId="38">
    <w:name w:val="批注框文本 字符"/>
    <w:basedOn w:val="29"/>
    <w:link w:val="16"/>
    <w:autoRedefine/>
    <w:qFormat/>
    <w:locked/>
    <w:uiPriority w:val="0"/>
    <w:rPr>
      <w:rFonts w:cs="Times New Roman"/>
      <w:sz w:val="18"/>
      <w:szCs w:val="18"/>
    </w:rPr>
  </w:style>
  <w:style w:type="character" w:customStyle="1" w:styleId="39">
    <w:name w:val="页眉 字符"/>
    <w:basedOn w:val="29"/>
    <w:link w:val="18"/>
    <w:autoRedefine/>
    <w:qFormat/>
    <w:uiPriority w:val="0"/>
    <w:rPr>
      <w:sz w:val="18"/>
      <w:szCs w:val="18"/>
    </w:rPr>
  </w:style>
  <w:style w:type="character" w:customStyle="1" w:styleId="40">
    <w:name w:val="页脚 字符"/>
    <w:basedOn w:val="29"/>
    <w:link w:val="17"/>
    <w:autoRedefine/>
    <w:qFormat/>
    <w:uiPriority w:val="99"/>
    <w:rPr>
      <w:sz w:val="18"/>
      <w:szCs w:val="18"/>
    </w:rPr>
  </w:style>
  <w:style w:type="paragraph" w:customStyle="1" w:styleId="41">
    <w:name w:val="段"/>
    <w:link w:val="4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42">
    <w:name w:val="段 Char"/>
    <w:link w:val="41"/>
    <w:autoRedefine/>
    <w:qFormat/>
    <w:uiPriority w:val="0"/>
    <w:rPr>
      <w:rFonts w:ascii="宋体" w:hAnsi="Times New Roman" w:eastAsia="宋体"/>
      <w:szCs w:val="22"/>
    </w:rPr>
  </w:style>
  <w:style w:type="character" w:customStyle="1" w:styleId="43">
    <w:name w:val="标题 2 字符"/>
    <w:basedOn w:val="29"/>
    <w:link w:val="3"/>
    <w:autoRedefine/>
    <w:qFormat/>
    <w:uiPriority w:val="0"/>
    <w:rPr>
      <w:rFonts w:eastAsia="仿宋" w:asciiTheme="majorHAnsi" w:hAnsiTheme="majorHAnsi" w:cstheme="majorBidi"/>
      <w:b/>
      <w:bCs/>
      <w:kern w:val="2"/>
      <w:sz w:val="28"/>
      <w:szCs w:val="32"/>
    </w:rPr>
  </w:style>
  <w:style w:type="character" w:customStyle="1" w:styleId="44">
    <w:name w:val="正文文本 Char"/>
    <w:basedOn w:val="29"/>
    <w:autoRedefine/>
    <w:qFormat/>
    <w:uiPriority w:val="0"/>
    <w:rPr>
      <w:szCs w:val="22"/>
    </w:rPr>
  </w:style>
  <w:style w:type="character" w:customStyle="1" w:styleId="45">
    <w:name w:val="正文文本 字符"/>
    <w:link w:val="9"/>
    <w:autoRedefine/>
    <w:qFormat/>
    <w:uiPriority w:val="0"/>
    <w:rPr>
      <w:rFonts w:ascii="宋体" w:hAnsi="宋体" w:eastAsia="宋体"/>
      <w:kern w:val="0"/>
      <w:sz w:val="20"/>
      <w:szCs w:val="20"/>
      <w:lang w:eastAsia="en-US"/>
    </w:rPr>
  </w:style>
  <w:style w:type="paragraph" w:customStyle="1" w:styleId="46">
    <w:name w:val="正文正文正文"/>
    <w:basedOn w:val="35"/>
    <w:link w:val="47"/>
    <w:autoRedefine/>
    <w:qFormat/>
    <w:uiPriority w:val="0"/>
    <w:pPr>
      <w:ind w:firstLine="560" w:firstLineChars="200"/>
    </w:pPr>
    <w:rPr>
      <w:rFonts w:eastAsia="宋体" w:asciiTheme="minorEastAsia" w:hAnsiTheme="minorEastAsia"/>
    </w:rPr>
  </w:style>
  <w:style w:type="character" w:customStyle="1" w:styleId="47">
    <w:name w:val="正文正文正文 字符"/>
    <w:basedOn w:val="37"/>
    <w:link w:val="46"/>
    <w:autoRedefine/>
    <w:qFormat/>
    <w:uiPriority w:val="0"/>
    <w:rPr>
      <w:rFonts w:eastAsia="宋体" w:asciiTheme="minorEastAsia" w:hAnsiTheme="minorEastAsia"/>
      <w:sz w:val="28"/>
      <w:szCs w:val="28"/>
    </w:rPr>
  </w:style>
  <w:style w:type="character" w:customStyle="1" w:styleId="48">
    <w:name w:val="标题 3 字符"/>
    <w:basedOn w:val="29"/>
    <w:link w:val="4"/>
    <w:autoRedefine/>
    <w:qFormat/>
    <w:uiPriority w:val="0"/>
    <w:rPr>
      <w:rFonts w:ascii="Times New Roman" w:hAnsi="Times New Roman" w:eastAsia="仿宋"/>
      <w:b/>
      <w:bCs/>
      <w:sz w:val="28"/>
      <w:szCs w:val="32"/>
    </w:rPr>
  </w:style>
  <w:style w:type="character" w:customStyle="1" w:styleId="49">
    <w:name w:val="批注文字 Char1"/>
    <w:autoRedefine/>
    <w:semiHidden/>
    <w:qFormat/>
    <w:uiPriority w:val="99"/>
    <w:rPr>
      <w:rFonts w:ascii="等线" w:hAnsi="等线" w:eastAsia="等线" w:cs="Times New Roman"/>
    </w:rPr>
  </w:style>
  <w:style w:type="character" w:customStyle="1" w:styleId="50">
    <w:name w:val="批注主题 字符"/>
    <w:basedOn w:val="36"/>
    <w:link w:val="26"/>
    <w:autoRedefine/>
    <w:semiHidden/>
    <w:qFormat/>
    <w:uiPriority w:val="99"/>
    <w:rPr>
      <w:rFonts w:ascii="等线" w:hAnsi="等线" w:eastAsia="等线" w:cs="Times New Roman"/>
      <w:b/>
      <w:bCs/>
      <w:kern w:val="0"/>
      <w:sz w:val="20"/>
      <w:szCs w:val="20"/>
    </w:rPr>
  </w:style>
  <w:style w:type="table" w:customStyle="1" w:styleId="51">
    <w:name w:val="无格式表格 12"/>
    <w:basedOn w:val="27"/>
    <w:autoRedefine/>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2">
    <w:name w:val="11111"/>
    <w:basedOn w:val="2"/>
    <w:link w:val="54"/>
    <w:autoRedefine/>
    <w:qFormat/>
    <w:uiPriority w:val="0"/>
  </w:style>
  <w:style w:type="character" w:customStyle="1" w:styleId="53">
    <w:name w:val="日期 字符"/>
    <w:basedOn w:val="29"/>
    <w:link w:val="15"/>
    <w:autoRedefine/>
    <w:semiHidden/>
    <w:qFormat/>
    <w:uiPriority w:val="99"/>
    <w:rPr>
      <w:rFonts w:ascii="等线" w:hAnsi="等线" w:eastAsia="等线"/>
      <w:szCs w:val="22"/>
    </w:rPr>
  </w:style>
  <w:style w:type="character" w:customStyle="1" w:styleId="54">
    <w:name w:val="11111 字符"/>
    <w:basedOn w:val="34"/>
    <w:link w:val="52"/>
    <w:autoRedefine/>
    <w:qFormat/>
    <w:uiPriority w:val="0"/>
    <w:rPr>
      <w:rFonts w:ascii="仿宋" w:hAnsi="仿宋" w:eastAsia="仿宋"/>
      <w:color w:val="FF0000"/>
      <w:spacing w:val="8"/>
      <w:kern w:val="0"/>
      <w:sz w:val="28"/>
      <w:szCs w:val="28"/>
    </w:rPr>
  </w:style>
  <w:style w:type="paragraph" w:customStyle="1" w:styleId="55">
    <w:name w:val="TOC 标题1"/>
    <w:basedOn w:val="2"/>
    <w:next w:val="1"/>
    <w:autoRedefine/>
    <w:unhideWhenUsed/>
    <w:qFormat/>
    <w:uiPriority w:val="39"/>
    <w:pPr>
      <w:widowControl/>
      <w:spacing w:beforeLines="0" w:afterLines="0" w:line="276" w:lineRule="auto"/>
      <w:jc w:val="left"/>
      <w:outlineLvl w:val="9"/>
    </w:pPr>
    <w:rPr>
      <w:rFonts w:asciiTheme="majorHAnsi" w:hAnsiTheme="majorHAnsi" w:eastAsiaTheme="majorEastAsia" w:cstheme="majorBidi"/>
      <w:bCs/>
      <w:color w:val="2F5597" w:themeColor="accent1" w:themeShade="BF"/>
      <w:spacing w:val="0"/>
    </w:rPr>
  </w:style>
  <w:style w:type="paragraph" w:customStyle="1" w:styleId="56">
    <w:name w:val="附录图标题"/>
    <w:basedOn w:val="1"/>
    <w:next w:val="41"/>
    <w:autoRedefine/>
    <w:qFormat/>
    <w:uiPriority w:val="0"/>
    <w:pPr>
      <w:spacing w:beforeLines="50" w:afterLines="50"/>
      <w:jc w:val="center"/>
    </w:pPr>
    <w:rPr>
      <w:rFonts w:ascii="黑体" w:hAnsi="Times New Roman" w:eastAsia="黑体"/>
      <w:szCs w:val="21"/>
    </w:rPr>
  </w:style>
  <w:style w:type="character" w:customStyle="1" w:styleId="57">
    <w:name w:val="前言 字符"/>
    <w:link w:val="58"/>
    <w:autoRedefine/>
    <w:qFormat/>
    <w:locked/>
    <w:uiPriority w:val="0"/>
    <w:rPr>
      <w:sz w:val="28"/>
      <w:szCs w:val="28"/>
    </w:rPr>
  </w:style>
  <w:style w:type="paragraph" w:customStyle="1" w:styleId="58">
    <w:name w:val="前言"/>
    <w:basedOn w:val="1"/>
    <w:link w:val="57"/>
    <w:autoRedefine/>
    <w:qFormat/>
    <w:uiPriority w:val="0"/>
    <w:pPr>
      <w:spacing w:line="360" w:lineRule="auto"/>
      <w:ind w:firstLine="200" w:firstLineChars="200"/>
    </w:pPr>
    <w:rPr>
      <w:sz w:val="28"/>
      <w:szCs w:val="28"/>
    </w:rPr>
  </w:style>
  <w:style w:type="paragraph" w:customStyle="1" w:styleId="59">
    <w:name w:val="正文强条"/>
    <w:basedOn w:val="1"/>
    <w:link w:val="60"/>
    <w:autoRedefine/>
    <w:qFormat/>
    <w:uiPriority w:val="0"/>
    <w:pPr>
      <w:spacing w:line="360" w:lineRule="auto"/>
      <w:ind w:firstLine="482" w:firstLineChars="200"/>
    </w:pPr>
    <w:rPr>
      <w:rFonts w:ascii="黑体" w:hAnsi="Times New Roman" w:eastAsia="黑体" w:cs="宋体"/>
      <w:b/>
      <w:bCs/>
      <w:sz w:val="24"/>
      <w:szCs w:val="20"/>
    </w:rPr>
  </w:style>
  <w:style w:type="character" w:customStyle="1" w:styleId="60">
    <w:name w:val="正文强条 Char"/>
    <w:link w:val="59"/>
    <w:autoRedefine/>
    <w:qFormat/>
    <w:locked/>
    <w:uiPriority w:val="0"/>
    <w:rPr>
      <w:rFonts w:ascii="黑体" w:hAnsi="Times New Roman" w:eastAsia="黑体" w:cs="宋体"/>
      <w:b/>
      <w:bCs/>
      <w:sz w:val="24"/>
      <w:szCs w:val="20"/>
    </w:rPr>
  </w:style>
  <w:style w:type="paragraph" w:customStyle="1" w:styleId="61">
    <w:name w:val="（正文强条 +表格+字体居中）"/>
    <w:basedOn w:val="1"/>
    <w:autoRedefine/>
    <w:qFormat/>
    <w:uiPriority w:val="99"/>
    <w:pPr>
      <w:spacing w:line="312" w:lineRule="auto"/>
      <w:jc w:val="center"/>
    </w:pPr>
    <w:rPr>
      <w:rFonts w:ascii="Times New Roman" w:hAnsi="Times New Roman" w:eastAsia="黑体" w:cs="宋体"/>
      <w:b/>
      <w:bCs/>
      <w:szCs w:val="20"/>
    </w:rPr>
  </w:style>
  <w:style w:type="paragraph" w:customStyle="1" w:styleId="62">
    <w:name w:val="标准书眉_偶数页"/>
    <w:basedOn w:val="1"/>
    <w:next w:val="1"/>
    <w:autoRedefine/>
    <w:qFormat/>
    <w:uiPriority w:val="0"/>
    <w:pPr>
      <w:widowControl/>
      <w:tabs>
        <w:tab w:val="center" w:pos="4154"/>
        <w:tab w:val="right" w:pos="8306"/>
      </w:tabs>
      <w:spacing w:after="220"/>
      <w:jc w:val="left"/>
    </w:pPr>
    <w:rPr>
      <w:rFonts w:ascii="黑体" w:eastAsia="黑体"/>
      <w:kern w:val="0"/>
      <w:szCs w:val="21"/>
    </w:rPr>
  </w:style>
  <w:style w:type="paragraph" w:customStyle="1" w:styleId="6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table" w:customStyle="1" w:styleId="64">
    <w:name w:val="网格型1"/>
    <w:basedOn w:val="2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5">
    <w:name w:val="标题 41"/>
    <w:basedOn w:val="1"/>
    <w:next w:val="1"/>
    <w:autoRedefine/>
    <w:semiHidden/>
    <w:unhideWhenUsed/>
    <w:qFormat/>
    <w:uiPriority w:val="9"/>
    <w:pPr>
      <w:keepNext/>
      <w:keepLines/>
      <w:adjustRightInd w:val="0"/>
      <w:snapToGrid w:val="0"/>
      <w:spacing w:before="280" w:after="290" w:line="376" w:lineRule="auto"/>
      <w:outlineLvl w:val="3"/>
    </w:pPr>
    <w:rPr>
      <w:rFonts w:ascii="Cambria" w:hAnsi="Cambria" w:eastAsia="宋体"/>
      <w:b/>
      <w:bCs/>
      <w:sz w:val="28"/>
      <w:szCs w:val="28"/>
    </w:rPr>
  </w:style>
  <w:style w:type="paragraph" w:styleId="66">
    <w:name w:val="List Paragraph"/>
    <w:basedOn w:val="1"/>
    <w:autoRedefine/>
    <w:qFormat/>
    <w:uiPriority w:val="99"/>
    <w:pPr>
      <w:ind w:firstLine="420" w:firstLineChars="200"/>
    </w:pPr>
  </w:style>
  <w:style w:type="table" w:customStyle="1" w:styleId="67">
    <w:name w:val="网格型2"/>
    <w:basedOn w:val="2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8">
    <w:name w:val="Table Paragraph"/>
    <w:basedOn w:val="1"/>
    <w:autoRedefine/>
    <w:qFormat/>
    <w:uiPriority w:val="1"/>
    <w:rPr>
      <w:szCs w:val="24"/>
    </w:rPr>
  </w:style>
  <w:style w:type="paragraph" w:customStyle="1" w:styleId="69">
    <w:name w:val="列表段落1"/>
    <w:basedOn w:val="1"/>
    <w:autoRedefine/>
    <w:qFormat/>
    <w:uiPriority w:val="0"/>
    <w:pPr>
      <w:ind w:firstLine="420" w:firstLineChars="200"/>
    </w:pPr>
    <w:rPr>
      <w:rFonts w:ascii="Times New Roman" w:hAnsi="Times New Roman" w:eastAsia="宋体"/>
      <w:szCs w:val="21"/>
    </w:rPr>
  </w:style>
  <w:style w:type="table" w:customStyle="1" w:styleId="70">
    <w:name w:val="Table Normal"/>
    <w:autoRedefine/>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71">
    <w:name w:val="标题 4 字符"/>
    <w:basedOn w:val="29"/>
    <w:link w:val="5"/>
    <w:autoRedefine/>
    <w:semiHidden/>
    <w:qFormat/>
    <w:uiPriority w:val="9"/>
    <w:rPr>
      <w:rFonts w:ascii="Cambria" w:hAnsi="Cambria" w:eastAsia="宋体" w:cs="Times New Roman"/>
      <w:b/>
      <w:bCs/>
      <w:sz w:val="28"/>
      <w:szCs w:val="28"/>
    </w:rPr>
  </w:style>
  <w:style w:type="paragraph" w:customStyle="1" w:styleId="72">
    <w:name w:val="标题 2节"/>
    <w:basedOn w:val="3"/>
    <w:next w:val="17"/>
    <w:autoRedefine/>
    <w:qFormat/>
    <w:uiPriority w:val="0"/>
    <w:pPr>
      <w:widowControl/>
      <w:adjustRightInd w:val="0"/>
      <w:snapToGrid w:val="0"/>
      <w:spacing w:before="120" w:afterLines="30" w:line="240" w:lineRule="auto"/>
    </w:pPr>
    <w:rPr>
      <w:rFonts w:ascii="Times New Roman" w:hAnsi="Times New Roman" w:eastAsia="宋体" w:cs="Times New Roman"/>
      <w:szCs w:val="28"/>
    </w:rPr>
  </w:style>
  <w:style w:type="paragraph" w:customStyle="1" w:styleId="73">
    <w:name w:val="TOC 标题2"/>
    <w:basedOn w:val="2"/>
    <w:next w:val="1"/>
    <w:autoRedefine/>
    <w:unhideWhenUsed/>
    <w:qFormat/>
    <w:uiPriority w:val="39"/>
    <w:pPr>
      <w:widowControl/>
      <w:spacing w:beforeLines="0" w:afterLines="0" w:line="259" w:lineRule="auto"/>
      <w:jc w:val="left"/>
      <w:outlineLvl w:val="9"/>
    </w:pPr>
    <w:rPr>
      <w:rFonts w:ascii="Cambria" w:hAnsi="Cambria" w:eastAsia="宋体"/>
      <w:b w:val="0"/>
      <w:color w:val="365F91"/>
      <w:spacing w:val="0"/>
      <w:sz w:val="32"/>
      <w:szCs w:val="32"/>
    </w:rPr>
  </w:style>
  <w:style w:type="character" w:customStyle="1" w:styleId="74">
    <w:name w:val="标题 4 Char1"/>
    <w:basedOn w:val="29"/>
    <w:autoRedefine/>
    <w:semiHidden/>
    <w:qFormat/>
    <w:uiPriority w:val="9"/>
    <w:rPr>
      <w:rFonts w:asciiTheme="majorHAnsi" w:hAnsiTheme="majorHAnsi" w:eastAsiaTheme="majorEastAsia" w:cstheme="majorBidi"/>
      <w:b/>
      <w:bCs/>
      <w:kern w:val="2"/>
      <w:sz w:val="28"/>
      <w:szCs w:val="28"/>
    </w:rPr>
  </w:style>
  <w:style w:type="character" w:customStyle="1" w:styleId="75">
    <w:name w:val="标题 5 字符"/>
    <w:basedOn w:val="29"/>
    <w:link w:val="6"/>
    <w:autoRedefine/>
    <w:qFormat/>
    <w:uiPriority w:val="0"/>
    <w:rPr>
      <w:rFonts w:asciiTheme="minorHAnsi" w:hAnsiTheme="minorHAnsi" w:eastAsiaTheme="minorEastAsia"/>
      <w:b/>
      <w:kern w:val="2"/>
      <w:sz w:val="28"/>
      <w:szCs w:val="22"/>
    </w:rPr>
  </w:style>
  <w:style w:type="character" w:customStyle="1" w:styleId="76">
    <w:name w:val="正文文本缩进 字符"/>
    <w:basedOn w:val="29"/>
    <w:link w:val="10"/>
    <w:autoRedefine/>
    <w:qFormat/>
    <w:uiPriority w:val="0"/>
    <w:rPr>
      <w:rFonts w:asciiTheme="minorHAnsi" w:hAnsiTheme="minorHAnsi" w:eastAsiaTheme="minorEastAsia"/>
      <w:kern w:val="2"/>
      <w:sz w:val="24"/>
      <w:szCs w:val="22"/>
      <w:shd w:val="clear" w:color="auto" w:fill="FFFFFF"/>
    </w:rPr>
  </w:style>
  <w:style w:type="character" w:customStyle="1" w:styleId="77">
    <w:name w:val="纯文本 字符"/>
    <w:basedOn w:val="29"/>
    <w:link w:val="13"/>
    <w:autoRedefine/>
    <w:qFormat/>
    <w:uiPriority w:val="0"/>
    <w:rPr>
      <w:rFonts w:ascii="宋体" w:hAnsi="Courier New" w:cs="Courier New"/>
      <w:kern w:val="2"/>
      <w:sz w:val="21"/>
      <w:szCs w:val="21"/>
    </w:rPr>
  </w:style>
  <w:style w:type="character" w:customStyle="1" w:styleId="78">
    <w:name w:val="正文文本 2 字符"/>
    <w:basedOn w:val="29"/>
    <w:link w:val="24"/>
    <w:autoRedefine/>
    <w:qFormat/>
    <w:uiPriority w:val="0"/>
    <w:rPr>
      <w:rFonts w:asciiTheme="minorHAnsi" w:hAnsiTheme="minorHAnsi" w:eastAsiaTheme="minorEastAsia"/>
      <w:kern w:val="2"/>
      <w:sz w:val="24"/>
      <w:szCs w:val="22"/>
    </w:rPr>
  </w:style>
  <w:style w:type="table" w:customStyle="1" w:styleId="79">
    <w:name w:val="网格型3"/>
    <w:basedOn w:val="2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Body text|231"/>
    <w:basedOn w:val="1"/>
    <w:link w:val="82"/>
    <w:autoRedefine/>
    <w:qFormat/>
    <w:uiPriority w:val="0"/>
    <w:pPr>
      <w:shd w:val="clear" w:color="auto" w:fill="FFFFFF"/>
      <w:spacing w:before="340" w:after="1040" w:line="200" w:lineRule="exact"/>
      <w:ind w:hanging="2100"/>
      <w:jc w:val="center"/>
    </w:pPr>
    <w:rPr>
      <w:rFonts w:ascii="PMingLiU" w:hAnsi="PMingLiU" w:eastAsia="PMingLiU" w:cs="PMingLiU"/>
      <w:sz w:val="20"/>
      <w:szCs w:val="20"/>
    </w:rPr>
  </w:style>
  <w:style w:type="character" w:customStyle="1" w:styleId="81">
    <w:name w:val="Body text|2 + Bold"/>
    <w:basedOn w:val="82"/>
    <w:autoRedefine/>
    <w:unhideWhenUsed/>
    <w:qFormat/>
    <w:uiPriority w:val="0"/>
    <w:rPr>
      <w:rFonts w:ascii="PMingLiU" w:hAnsi="PMingLiU" w:eastAsia="PMingLiU" w:cs="PMingLiU"/>
      <w:b/>
      <w:bCs/>
      <w:color w:val="000000"/>
      <w:spacing w:val="10"/>
      <w:w w:val="100"/>
      <w:kern w:val="2"/>
      <w:position w:val="0"/>
      <w:shd w:val="clear" w:color="auto" w:fill="FFFFFF"/>
      <w:lang w:val="en-US" w:eastAsia="en-US" w:bidi="en-US"/>
    </w:rPr>
  </w:style>
  <w:style w:type="character" w:customStyle="1" w:styleId="82">
    <w:name w:val="Body text|2_"/>
    <w:basedOn w:val="29"/>
    <w:link w:val="80"/>
    <w:autoRedefine/>
    <w:qFormat/>
    <w:uiPriority w:val="0"/>
    <w:rPr>
      <w:rFonts w:ascii="PMingLiU" w:hAnsi="PMingLiU" w:eastAsia="PMingLiU" w:cs="PMingLiU"/>
      <w:kern w:val="2"/>
      <w:shd w:val="clear" w:color="auto" w:fill="FFFFFF"/>
    </w:rPr>
  </w:style>
  <w:style w:type="paragraph" w:customStyle="1" w:styleId="83">
    <w:name w:val="Table caption|2"/>
    <w:basedOn w:val="1"/>
    <w:autoRedefine/>
    <w:qFormat/>
    <w:uiPriority w:val="0"/>
    <w:pPr>
      <w:shd w:val="clear" w:color="auto" w:fill="FFFFFF"/>
      <w:spacing w:line="170" w:lineRule="exact"/>
    </w:pPr>
    <w:rPr>
      <w:rFonts w:ascii="PMingLiU" w:hAnsi="PMingLiU" w:eastAsia="PMingLiU" w:cs="PMingLiU"/>
      <w:b/>
      <w:bCs/>
      <w:spacing w:val="20"/>
      <w:sz w:val="17"/>
      <w:szCs w:val="17"/>
    </w:rPr>
  </w:style>
  <w:style w:type="character" w:customStyle="1" w:styleId="84">
    <w:name w:val="Body text|2 + 7.5 pt1"/>
    <w:basedOn w:val="82"/>
    <w:autoRedefine/>
    <w:unhideWhenUsed/>
    <w:qFormat/>
    <w:uiPriority w:val="0"/>
    <w:rPr>
      <w:rFonts w:ascii="PMingLiU" w:hAnsi="PMingLiU" w:eastAsia="PMingLiU" w:cs="PMingLiU"/>
      <w:color w:val="000000"/>
      <w:spacing w:val="0"/>
      <w:w w:val="100"/>
      <w:kern w:val="2"/>
      <w:position w:val="0"/>
      <w:sz w:val="15"/>
      <w:szCs w:val="15"/>
      <w:shd w:val="clear" w:color="auto" w:fill="FFFFFF"/>
      <w:lang w:val="zh-CN" w:eastAsia="zh-CN" w:bidi="zh-CN"/>
    </w:rPr>
  </w:style>
  <w:style w:type="character" w:customStyle="1" w:styleId="85">
    <w:name w:val="Body text|2 + Times New Roman9"/>
    <w:basedOn w:val="82"/>
    <w:autoRedefine/>
    <w:unhideWhenUsed/>
    <w:qFormat/>
    <w:uiPriority w:val="0"/>
    <w:rPr>
      <w:rFonts w:ascii="Times New Roman" w:hAnsi="Times New Roman" w:eastAsia="Times New Roman" w:cs="Times New Roman"/>
      <w:b/>
      <w:bCs/>
      <w:color w:val="000000"/>
      <w:spacing w:val="20"/>
      <w:w w:val="100"/>
      <w:kern w:val="2"/>
      <w:position w:val="0"/>
      <w:shd w:val="clear" w:color="auto" w:fill="FFFFFF"/>
      <w:lang w:val="en-US" w:eastAsia="en-US" w:bidi="en-US"/>
    </w:rPr>
  </w:style>
  <w:style w:type="paragraph" w:customStyle="1" w:styleId="86">
    <w:name w:val="Picture caption|2"/>
    <w:basedOn w:val="1"/>
    <w:link w:val="89"/>
    <w:autoRedefine/>
    <w:qFormat/>
    <w:uiPriority w:val="0"/>
    <w:pPr>
      <w:shd w:val="clear" w:color="auto" w:fill="FFFFFF"/>
      <w:spacing w:line="271" w:lineRule="exact"/>
      <w:jc w:val="center"/>
    </w:pPr>
    <w:rPr>
      <w:rFonts w:ascii="PMingLiU" w:hAnsi="PMingLiU" w:eastAsia="PMingLiU" w:cs="PMingLiU"/>
      <w:sz w:val="18"/>
      <w:szCs w:val="18"/>
    </w:rPr>
  </w:style>
  <w:style w:type="character" w:customStyle="1" w:styleId="87">
    <w:name w:val="Picture caption|2 Exact"/>
    <w:basedOn w:val="29"/>
    <w:autoRedefine/>
    <w:unhideWhenUsed/>
    <w:qFormat/>
    <w:uiPriority w:val="0"/>
    <w:rPr>
      <w:rFonts w:ascii="PMingLiU" w:hAnsi="PMingLiU" w:eastAsia="PMingLiU" w:cs="PMingLiU"/>
      <w:sz w:val="18"/>
      <w:szCs w:val="18"/>
      <w:u w:val="none"/>
    </w:rPr>
  </w:style>
  <w:style w:type="character" w:customStyle="1" w:styleId="88">
    <w:name w:val="Picture caption|2 + 10 pt Exact"/>
    <w:basedOn w:val="89"/>
    <w:autoRedefine/>
    <w:unhideWhenUsed/>
    <w:qFormat/>
    <w:uiPriority w:val="0"/>
    <w:rPr>
      <w:rFonts w:ascii="PMingLiU" w:hAnsi="PMingLiU" w:eastAsia="PMingLiU" w:cs="PMingLiU"/>
      <w:kern w:val="2"/>
      <w:sz w:val="20"/>
      <w:szCs w:val="20"/>
      <w:shd w:val="clear" w:color="auto" w:fill="FFFFFF"/>
      <w:lang w:val="en-US" w:eastAsia="en-US" w:bidi="en-US"/>
    </w:rPr>
  </w:style>
  <w:style w:type="character" w:customStyle="1" w:styleId="89">
    <w:name w:val="Picture caption|2_"/>
    <w:basedOn w:val="29"/>
    <w:link w:val="86"/>
    <w:autoRedefine/>
    <w:qFormat/>
    <w:uiPriority w:val="0"/>
    <w:rPr>
      <w:rFonts w:ascii="PMingLiU" w:hAnsi="PMingLiU" w:eastAsia="PMingLiU" w:cs="PMingLiU"/>
      <w:kern w:val="2"/>
      <w:sz w:val="18"/>
      <w:szCs w:val="18"/>
      <w:shd w:val="clear" w:color="auto" w:fill="FFFFFF"/>
    </w:rPr>
  </w:style>
  <w:style w:type="paragraph" w:customStyle="1" w:styleId="90">
    <w:name w:val="Body text|14"/>
    <w:basedOn w:val="1"/>
    <w:link w:val="92"/>
    <w:autoRedefine/>
    <w:qFormat/>
    <w:uiPriority w:val="0"/>
    <w:pPr>
      <w:shd w:val="clear" w:color="auto" w:fill="FFFFFF"/>
      <w:spacing w:before="460" w:line="266" w:lineRule="exact"/>
      <w:jc w:val="center"/>
    </w:pPr>
    <w:rPr>
      <w:rFonts w:ascii="PMingLiU" w:hAnsi="PMingLiU" w:eastAsia="PMingLiU" w:cs="PMingLiU"/>
      <w:sz w:val="18"/>
      <w:szCs w:val="18"/>
    </w:rPr>
  </w:style>
  <w:style w:type="character" w:customStyle="1" w:styleId="91">
    <w:name w:val="Body text|14 + 10 pt"/>
    <w:basedOn w:val="92"/>
    <w:autoRedefine/>
    <w:unhideWhenUsed/>
    <w:qFormat/>
    <w:uiPriority w:val="0"/>
    <w:rPr>
      <w:rFonts w:ascii="PMingLiU" w:hAnsi="PMingLiU" w:eastAsia="PMingLiU" w:cs="PMingLiU"/>
      <w:color w:val="000000"/>
      <w:spacing w:val="0"/>
      <w:w w:val="100"/>
      <w:kern w:val="2"/>
      <w:position w:val="0"/>
      <w:sz w:val="20"/>
      <w:szCs w:val="20"/>
      <w:shd w:val="clear" w:color="auto" w:fill="FFFFFF"/>
      <w:lang w:val="en-US" w:eastAsia="en-US" w:bidi="en-US"/>
    </w:rPr>
  </w:style>
  <w:style w:type="character" w:customStyle="1" w:styleId="92">
    <w:name w:val="Body text|14_"/>
    <w:basedOn w:val="29"/>
    <w:link w:val="90"/>
    <w:autoRedefine/>
    <w:qFormat/>
    <w:uiPriority w:val="0"/>
    <w:rPr>
      <w:rFonts w:ascii="PMingLiU" w:hAnsi="PMingLiU" w:eastAsia="PMingLiU" w:cs="PMingLiU"/>
      <w:kern w:val="2"/>
      <w:sz w:val="18"/>
      <w:szCs w:val="18"/>
      <w:shd w:val="clear" w:color="auto" w:fill="FFFFFF"/>
    </w:rPr>
  </w:style>
  <w:style w:type="character" w:customStyle="1" w:styleId="93">
    <w:name w:val="Picture caption|2 + 10 pt"/>
    <w:basedOn w:val="89"/>
    <w:autoRedefine/>
    <w:unhideWhenUsed/>
    <w:qFormat/>
    <w:uiPriority w:val="0"/>
    <w:rPr>
      <w:rFonts w:ascii="PMingLiU" w:hAnsi="PMingLiU" w:eastAsia="PMingLiU" w:cs="PMingLiU"/>
      <w:color w:val="000000"/>
      <w:spacing w:val="0"/>
      <w:w w:val="100"/>
      <w:kern w:val="2"/>
      <w:position w:val="0"/>
      <w:sz w:val="20"/>
      <w:szCs w:val="20"/>
      <w:shd w:val="clear" w:color="auto" w:fill="FFFFFF"/>
      <w:lang w:val="en-US" w:eastAsia="en-US" w:bidi="en-US"/>
    </w:rPr>
  </w:style>
  <w:style w:type="character" w:customStyle="1" w:styleId="94">
    <w:name w:val="Body text|2 + 8 pt"/>
    <w:basedOn w:val="82"/>
    <w:autoRedefine/>
    <w:unhideWhenUsed/>
    <w:qFormat/>
    <w:uiPriority w:val="0"/>
    <w:rPr>
      <w:rFonts w:ascii="PMingLiU" w:hAnsi="PMingLiU" w:eastAsia="PMingLiU" w:cs="PMingLiU"/>
      <w:color w:val="000000"/>
      <w:spacing w:val="0"/>
      <w:w w:val="100"/>
      <w:kern w:val="2"/>
      <w:position w:val="0"/>
      <w:sz w:val="16"/>
      <w:szCs w:val="16"/>
      <w:shd w:val="clear" w:color="auto" w:fill="FFFFFF"/>
      <w:lang w:val="zh-CN" w:eastAsia="zh-CN" w:bidi="zh-CN"/>
    </w:rPr>
  </w:style>
  <w:style w:type="character" w:customStyle="1" w:styleId="95">
    <w:name w:val="Body text|2 + 9 pt"/>
    <w:basedOn w:val="82"/>
    <w:autoRedefine/>
    <w:unhideWhenUsed/>
    <w:qFormat/>
    <w:uiPriority w:val="0"/>
    <w:rPr>
      <w:rFonts w:ascii="PMingLiU" w:hAnsi="PMingLiU" w:eastAsia="PMingLiU" w:cs="PMingLiU"/>
      <w:color w:val="000000"/>
      <w:spacing w:val="0"/>
      <w:w w:val="100"/>
      <w:kern w:val="2"/>
      <w:position w:val="0"/>
      <w:sz w:val="18"/>
      <w:szCs w:val="18"/>
      <w:shd w:val="clear" w:color="auto" w:fill="FFFFFF"/>
      <w:lang w:val="zh-CN" w:eastAsia="zh-CN" w:bidi="zh-CN"/>
    </w:rPr>
  </w:style>
  <w:style w:type="character" w:customStyle="1" w:styleId="96">
    <w:name w:val="Body text|2 + 8 pt1"/>
    <w:basedOn w:val="82"/>
    <w:autoRedefine/>
    <w:unhideWhenUsed/>
    <w:qFormat/>
    <w:uiPriority w:val="0"/>
    <w:rPr>
      <w:rFonts w:ascii="PMingLiU" w:hAnsi="PMingLiU" w:eastAsia="PMingLiU" w:cs="PMingLiU"/>
      <w:color w:val="000000"/>
      <w:spacing w:val="20"/>
      <w:w w:val="100"/>
      <w:kern w:val="2"/>
      <w:position w:val="0"/>
      <w:sz w:val="16"/>
      <w:szCs w:val="16"/>
      <w:shd w:val="clear" w:color="auto" w:fill="FFFFFF"/>
      <w:lang w:val="en-US" w:eastAsia="en-US" w:bidi="en-US"/>
    </w:rPr>
  </w:style>
  <w:style w:type="paragraph" w:customStyle="1" w:styleId="97">
    <w:name w:val="Body text|11"/>
    <w:basedOn w:val="1"/>
    <w:link w:val="99"/>
    <w:autoRedefine/>
    <w:qFormat/>
    <w:uiPriority w:val="0"/>
    <w:pPr>
      <w:shd w:val="clear" w:color="auto" w:fill="FFFFFF"/>
      <w:spacing w:after="120" w:line="200" w:lineRule="exact"/>
      <w:ind w:hanging="420"/>
    </w:pPr>
    <w:rPr>
      <w:rFonts w:ascii="PMingLiU" w:hAnsi="PMingLiU" w:eastAsia="PMingLiU" w:cs="PMingLiU"/>
      <w:sz w:val="20"/>
      <w:szCs w:val="20"/>
      <w:lang w:eastAsia="en-US" w:bidi="en-US"/>
    </w:rPr>
  </w:style>
  <w:style w:type="character" w:customStyle="1" w:styleId="98">
    <w:name w:val="Body text|11 + 9 pt"/>
    <w:basedOn w:val="99"/>
    <w:autoRedefine/>
    <w:unhideWhenUsed/>
    <w:qFormat/>
    <w:uiPriority w:val="0"/>
    <w:rPr>
      <w:rFonts w:ascii="PMingLiU" w:hAnsi="PMingLiU" w:eastAsia="PMingLiU" w:cs="PMingLiU"/>
      <w:color w:val="000000"/>
      <w:spacing w:val="0"/>
      <w:w w:val="100"/>
      <w:kern w:val="2"/>
      <w:position w:val="0"/>
      <w:sz w:val="18"/>
      <w:szCs w:val="18"/>
      <w:shd w:val="clear" w:color="auto" w:fill="FFFFFF"/>
      <w:lang w:val="zh-CN" w:eastAsia="zh-CN" w:bidi="zh-CN"/>
    </w:rPr>
  </w:style>
  <w:style w:type="character" w:customStyle="1" w:styleId="99">
    <w:name w:val="Body text|11_"/>
    <w:basedOn w:val="29"/>
    <w:link w:val="97"/>
    <w:autoRedefine/>
    <w:qFormat/>
    <w:uiPriority w:val="0"/>
    <w:rPr>
      <w:rFonts w:ascii="PMingLiU" w:hAnsi="PMingLiU" w:eastAsia="PMingLiU" w:cs="PMingLiU"/>
      <w:kern w:val="2"/>
      <w:shd w:val="clear" w:color="auto" w:fill="FFFFFF"/>
      <w:lang w:eastAsia="en-US" w:bidi="en-US"/>
    </w:rPr>
  </w:style>
  <w:style w:type="paragraph" w:customStyle="1" w:styleId="100">
    <w:name w:val="Table caption|1"/>
    <w:basedOn w:val="1"/>
    <w:autoRedefine/>
    <w:qFormat/>
    <w:uiPriority w:val="0"/>
    <w:pPr>
      <w:shd w:val="clear" w:color="auto" w:fill="FFFFFF"/>
      <w:spacing w:line="150" w:lineRule="exact"/>
      <w:ind w:hanging="340"/>
    </w:pPr>
    <w:rPr>
      <w:rFonts w:ascii="PMingLiU" w:hAnsi="PMingLiU" w:eastAsia="PMingLiU" w:cs="PMingLiU"/>
      <w:sz w:val="15"/>
      <w:szCs w:val="15"/>
    </w:rPr>
  </w:style>
  <w:style w:type="paragraph" w:customStyle="1" w:styleId="101">
    <w:name w:val="Picture caption|1"/>
    <w:basedOn w:val="1"/>
    <w:link w:val="103"/>
    <w:autoRedefine/>
    <w:qFormat/>
    <w:uiPriority w:val="0"/>
    <w:pPr>
      <w:shd w:val="clear" w:color="auto" w:fill="FFFFFF"/>
      <w:spacing w:line="264" w:lineRule="exact"/>
      <w:jc w:val="center"/>
    </w:pPr>
    <w:rPr>
      <w:rFonts w:ascii="PMingLiU" w:hAnsi="PMingLiU" w:eastAsia="PMingLiU" w:cs="PMingLiU"/>
      <w:sz w:val="15"/>
      <w:szCs w:val="15"/>
    </w:rPr>
  </w:style>
  <w:style w:type="character" w:customStyle="1" w:styleId="102">
    <w:name w:val="Picture caption|1 + 9 pt Exact"/>
    <w:basedOn w:val="103"/>
    <w:autoRedefine/>
    <w:unhideWhenUsed/>
    <w:qFormat/>
    <w:uiPriority w:val="0"/>
    <w:rPr>
      <w:rFonts w:ascii="PMingLiU" w:hAnsi="PMingLiU" w:eastAsia="PMingLiU" w:cs="PMingLiU"/>
      <w:kern w:val="2"/>
      <w:sz w:val="18"/>
      <w:szCs w:val="18"/>
      <w:shd w:val="clear" w:color="auto" w:fill="FFFFFF"/>
    </w:rPr>
  </w:style>
  <w:style w:type="character" w:customStyle="1" w:styleId="103">
    <w:name w:val="Picture caption|1_"/>
    <w:basedOn w:val="29"/>
    <w:link w:val="101"/>
    <w:autoRedefine/>
    <w:qFormat/>
    <w:uiPriority w:val="0"/>
    <w:rPr>
      <w:rFonts w:ascii="PMingLiU" w:hAnsi="PMingLiU" w:eastAsia="PMingLiU" w:cs="PMingLiU"/>
      <w:kern w:val="2"/>
      <w:sz w:val="15"/>
      <w:szCs w:val="15"/>
      <w:shd w:val="clear" w:color="auto" w:fill="FFFFFF"/>
    </w:rPr>
  </w:style>
  <w:style w:type="character" w:customStyle="1" w:styleId="104">
    <w:name w:val="Picture caption|1 + 10 pt Exact"/>
    <w:basedOn w:val="103"/>
    <w:autoRedefine/>
    <w:unhideWhenUsed/>
    <w:qFormat/>
    <w:uiPriority w:val="0"/>
    <w:rPr>
      <w:rFonts w:ascii="PMingLiU" w:hAnsi="PMingLiU" w:eastAsia="PMingLiU" w:cs="PMingLiU"/>
      <w:kern w:val="2"/>
      <w:sz w:val="20"/>
      <w:szCs w:val="20"/>
      <w:shd w:val="clear" w:color="auto" w:fill="FFFFFF"/>
      <w:lang w:val="en-US" w:eastAsia="en-US" w:bidi="en-US"/>
    </w:rPr>
  </w:style>
  <w:style w:type="character" w:customStyle="1" w:styleId="105">
    <w:name w:val="Picture caption|1 Exact"/>
    <w:basedOn w:val="29"/>
    <w:autoRedefine/>
    <w:unhideWhenUsed/>
    <w:qFormat/>
    <w:uiPriority w:val="0"/>
    <w:rPr>
      <w:rFonts w:ascii="PMingLiU" w:hAnsi="PMingLiU" w:eastAsia="PMingLiU" w:cs="PMingLiU"/>
      <w:sz w:val="15"/>
      <w:szCs w:val="15"/>
      <w:u w:val="none"/>
      <w:lang w:val="en-US" w:eastAsia="en-US" w:bidi="en-US"/>
    </w:rPr>
  </w:style>
  <w:style w:type="paragraph" w:customStyle="1" w:styleId="106">
    <w:name w:val="标题 #4"/>
    <w:basedOn w:val="1"/>
    <w:link w:val="108"/>
    <w:autoRedefine/>
    <w:qFormat/>
    <w:uiPriority w:val="0"/>
    <w:pPr>
      <w:shd w:val="clear" w:color="auto" w:fill="FFFFFF"/>
      <w:spacing w:before="60" w:after="180" w:line="0" w:lineRule="atLeast"/>
      <w:outlineLvl w:val="3"/>
    </w:pPr>
    <w:rPr>
      <w:rFonts w:ascii="宋体" w:hAnsi="宋体" w:eastAsia="宋体" w:cs="宋体"/>
      <w:spacing w:val="-20"/>
      <w:sz w:val="25"/>
      <w:szCs w:val="25"/>
    </w:rPr>
  </w:style>
  <w:style w:type="character" w:customStyle="1" w:styleId="107">
    <w:name w:val="标题 #4 + Times New Roman"/>
    <w:basedOn w:val="108"/>
    <w:autoRedefine/>
    <w:qFormat/>
    <w:uiPriority w:val="0"/>
    <w:rPr>
      <w:rFonts w:ascii="Times New Roman" w:hAnsi="Times New Roman" w:eastAsia="Times New Roman" w:cs="Times New Roman"/>
      <w:b/>
      <w:bCs/>
      <w:color w:val="000000"/>
      <w:spacing w:val="20"/>
      <w:w w:val="100"/>
      <w:kern w:val="2"/>
      <w:position w:val="0"/>
      <w:sz w:val="24"/>
      <w:szCs w:val="24"/>
      <w:shd w:val="clear" w:color="auto" w:fill="FFFFFF"/>
      <w:lang w:val="en-US"/>
    </w:rPr>
  </w:style>
  <w:style w:type="character" w:customStyle="1" w:styleId="108">
    <w:name w:val="标题 #4_"/>
    <w:basedOn w:val="29"/>
    <w:link w:val="106"/>
    <w:autoRedefine/>
    <w:qFormat/>
    <w:uiPriority w:val="0"/>
    <w:rPr>
      <w:rFonts w:ascii="宋体" w:hAnsi="宋体" w:cs="宋体"/>
      <w:spacing w:val="-20"/>
      <w:kern w:val="2"/>
      <w:sz w:val="25"/>
      <w:szCs w:val="25"/>
      <w:shd w:val="clear" w:color="auto" w:fill="FFFFFF"/>
    </w:rPr>
  </w:style>
  <w:style w:type="character" w:customStyle="1" w:styleId="109">
    <w:name w:val="标题 #4 + Verdana"/>
    <w:basedOn w:val="108"/>
    <w:autoRedefine/>
    <w:qFormat/>
    <w:uiPriority w:val="0"/>
    <w:rPr>
      <w:rFonts w:ascii="Verdana" w:hAnsi="Verdana" w:eastAsia="Verdana" w:cs="Verdana"/>
      <w:b/>
      <w:bCs/>
      <w:color w:val="000000"/>
      <w:spacing w:val="0"/>
      <w:w w:val="100"/>
      <w:kern w:val="2"/>
      <w:position w:val="0"/>
      <w:sz w:val="23"/>
      <w:szCs w:val="23"/>
      <w:shd w:val="clear" w:color="auto" w:fill="FFFFFF"/>
      <w:lang w:val="zh-CN"/>
    </w:rPr>
  </w:style>
  <w:style w:type="paragraph" w:customStyle="1" w:styleId="110">
    <w:name w:val="正文文本1"/>
    <w:basedOn w:val="1"/>
    <w:link w:val="112"/>
    <w:autoRedefine/>
    <w:qFormat/>
    <w:uiPriority w:val="0"/>
    <w:pPr>
      <w:shd w:val="clear" w:color="auto" w:fill="FFFFFF"/>
      <w:spacing w:line="313" w:lineRule="exact"/>
    </w:pPr>
    <w:rPr>
      <w:rFonts w:ascii="宋体" w:hAnsi="宋体" w:eastAsia="宋体" w:cs="宋体"/>
      <w:sz w:val="20"/>
      <w:szCs w:val="20"/>
    </w:rPr>
  </w:style>
  <w:style w:type="character" w:customStyle="1" w:styleId="111">
    <w:name w:val="正文文本 + Malgun Gothic"/>
    <w:basedOn w:val="112"/>
    <w:autoRedefine/>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12">
    <w:name w:val="正文文本_"/>
    <w:basedOn w:val="29"/>
    <w:link w:val="110"/>
    <w:autoRedefine/>
    <w:qFormat/>
    <w:uiPriority w:val="0"/>
    <w:rPr>
      <w:rFonts w:ascii="宋体" w:hAnsi="宋体" w:cs="宋体"/>
      <w:kern w:val="2"/>
      <w:shd w:val="clear" w:color="auto" w:fill="FFFFFF"/>
    </w:rPr>
  </w:style>
  <w:style w:type="character" w:customStyle="1" w:styleId="113">
    <w:name w:val="正文文本 + 8 pt"/>
    <w:basedOn w:val="112"/>
    <w:autoRedefine/>
    <w:qFormat/>
    <w:uiPriority w:val="0"/>
    <w:rPr>
      <w:rFonts w:ascii="宋体" w:hAnsi="宋体" w:cs="宋体"/>
      <w:color w:val="000000"/>
      <w:spacing w:val="0"/>
      <w:w w:val="100"/>
      <w:kern w:val="2"/>
      <w:position w:val="0"/>
      <w:sz w:val="16"/>
      <w:szCs w:val="16"/>
      <w:shd w:val="clear" w:color="auto" w:fill="FFFFFF"/>
      <w:lang w:val="zh-TW"/>
    </w:rPr>
  </w:style>
  <w:style w:type="character" w:customStyle="1" w:styleId="114">
    <w:name w:val="正文文本 + MS Gothic"/>
    <w:basedOn w:val="112"/>
    <w:autoRedefine/>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15">
    <w:name w:val="正文文本 (25) + SimSun"/>
    <w:basedOn w:val="116"/>
    <w:autoRedefine/>
    <w:qFormat/>
    <w:uiPriority w:val="0"/>
    <w:rPr>
      <w:rFonts w:ascii="宋体" w:hAnsi="宋体" w:eastAsia="宋体" w:cs="宋体"/>
      <w:color w:val="000000"/>
      <w:spacing w:val="0"/>
      <w:w w:val="100"/>
      <w:position w:val="0"/>
      <w:sz w:val="18"/>
      <w:szCs w:val="18"/>
      <w:shd w:val="clear" w:color="auto" w:fill="FFFFFF"/>
      <w:lang w:val="zh-TW"/>
    </w:rPr>
  </w:style>
  <w:style w:type="character" w:customStyle="1" w:styleId="116">
    <w:name w:val="正文文本 (25)_"/>
    <w:basedOn w:val="29"/>
    <w:link w:val="117"/>
    <w:autoRedefine/>
    <w:qFormat/>
    <w:uiPriority w:val="0"/>
    <w:rPr>
      <w:rFonts w:eastAsia="Times New Roman"/>
      <w:spacing w:val="-10"/>
      <w:sz w:val="18"/>
      <w:szCs w:val="18"/>
      <w:shd w:val="clear" w:color="auto" w:fill="FFFFFF"/>
    </w:rPr>
  </w:style>
  <w:style w:type="paragraph" w:customStyle="1" w:styleId="117">
    <w:name w:val="正文文本 (25)"/>
    <w:basedOn w:val="1"/>
    <w:link w:val="116"/>
    <w:autoRedefine/>
    <w:qFormat/>
    <w:uiPriority w:val="0"/>
    <w:pPr>
      <w:shd w:val="clear" w:color="auto" w:fill="FFFFFF"/>
      <w:spacing w:before="240" w:after="60" w:line="0" w:lineRule="atLeast"/>
    </w:pPr>
    <w:rPr>
      <w:rFonts w:ascii="Times New Roman" w:hAnsi="Times New Roman" w:eastAsia="Times New Roman"/>
      <w:spacing w:val="-10"/>
      <w:kern w:val="0"/>
      <w:sz w:val="18"/>
      <w:szCs w:val="18"/>
    </w:rPr>
  </w:style>
  <w:style w:type="paragraph" w:customStyle="1" w:styleId="118">
    <w:name w:val="正文文本 (19)"/>
    <w:basedOn w:val="1"/>
    <w:link w:val="135"/>
    <w:autoRedefine/>
    <w:qFormat/>
    <w:uiPriority w:val="0"/>
    <w:pPr>
      <w:shd w:val="clear" w:color="auto" w:fill="FFFFFF"/>
      <w:spacing w:before="360" w:after="300" w:line="0" w:lineRule="atLeast"/>
      <w:jc w:val="center"/>
    </w:pPr>
    <w:rPr>
      <w:rFonts w:ascii="宋体" w:hAnsi="宋体" w:eastAsia="宋体" w:cs="宋体"/>
      <w:sz w:val="16"/>
      <w:szCs w:val="16"/>
    </w:rPr>
  </w:style>
  <w:style w:type="paragraph" w:customStyle="1" w:styleId="119">
    <w:name w:val="正文文本 (11)1"/>
    <w:basedOn w:val="1"/>
    <w:link w:val="121"/>
    <w:autoRedefine/>
    <w:qFormat/>
    <w:uiPriority w:val="0"/>
    <w:pPr>
      <w:shd w:val="clear" w:color="auto" w:fill="FFFFFF"/>
      <w:spacing w:before="240" w:after="240" w:line="0" w:lineRule="atLeast"/>
      <w:jc w:val="center"/>
    </w:pPr>
    <w:rPr>
      <w:rFonts w:ascii="宋体" w:hAnsi="宋体" w:eastAsia="宋体" w:cs="宋体"/>
      <w:sz w:val="18"/>
      <w:szCs w:val="18"/>
    </w:rPr>
  </w:style>
  <w:style w:type="character" w:customStyle="1" w:styleId="120">
    <w:name w:val="正文文本 (11) + Times New Roman"/>
    <w:basedOn w:val="121"/>
    <w:autoRedefine/>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21">
    <w:name w:val="正文文本 (11)_"/>
    <w:basedOn w:val="29"/>
    <w:link w:val="119"/>
    <w:autoRedefine/>
    <w:qFormat/>
    <w:uiPriority w:val="0"/>
    <w:rPr>
      <w:rFonts w:ascii="宋体" w:hAnsi="宋体" w:cs="宋体"/>
      <w:kern w:val="2"/>
      <w:sz w:val="18"/>
      <w:szCs w:val="18"/>
      <w:shd w:val="clear" w:color="auto" w:fill="FFFFFF"/>
    </w:rPr>
  </w:style>
  <w:style w:type="character" w:customStyle="1" w:styleId="122">
    <w:name w:val="正文文本 + Book Antiqua"/>
    <w:basedOn w:val="112"/>
    <w:autoRedefine/>
    <w:qFormat/>
    <w:uiPriority w:val="0"/>
    <w:rPr>
      <w:rFonts w:ascii="Book Antiqua" w:hAnsi="Book Antiqua" w:eastAsia="Book Antiqua" w:cs="Book Antiqua"/>
      <w:i/>
      <w:iCs/>
      <w:color w:val="000000"/>
      <w:spacing w:val="0"/>
      <w:w w:val="100"/>
      <w:kern w:val="2"/>
      <w:position w:val="0"/>
      <w:sz w:val="15"/>
      <w:szCs w:val="15"/>
      <w:shd w:val="clear" w:color="auto" w:fill="FFFFFF"/>
      <w:lang w:val="en-US"/>
    </w:rPr>
  </w:style>
  <w:style w:type="paragraph" w:customStyle="1" w:styleId="123">
    <w:name w:val="表格标题 (6)1"/>
    <w:basedOn w:val="1"/>
    <w:link w:val="125"/>
    <w:autoRedefine/>
    <w:qFormat/>
    <w:uiPriority w:val="0"/>
    <w:pPr>
      <w:shd w:val="clear" w:color="auto" w:fill="FFFFFF"/>
      <w:spacing w:line="0" w:lineRule="atLeast"/>
    </w:pPr>
    <w:rPr>
      <w:rFonts w:ascii="MS Gothic" w:hAnsi="MS Gothic" w:eastAsia="MS Gothic" w:cs="MS Gothic"/>
      <w:sz w:val="14"/>
      <w:szCs w:val="14"/>
    </w:rPr>
  </w:style>
  <w:style w:type="character" w:customStyle="1" w:styleId="124">
    <w:name w:val="表格标题 (6) + SimSun"/>
    <w:basedOn w:val="125"/>
    <w:autoRedefine/>
    <w:qFormat/>
    <w:uiPriority w:val="0"/>
    <w:rPr>
      <w:rFonts w:ascii="宋体" w:hAnsi="宋体" w:eastAsia="宋体" w:cs="宋体"/>
      <w:color w:val="000000"/>
      <w:spacing w:val="0"/>
      <w:w w:val="100"/>
      <w:kern w:val="2"/>
      <w:position w:val="0"/>
      <w:sz w:val="16"/>
      <w:szCs w:val="16"/>
      <w:shd w:val="clear" w:color="auto" w:fill="FFFFFF"/>
      <w:lang w:val="zh-TW"/>
    </w:rPr>
  </w:style>
  <w:style w:type="character" w:customStyle="1" w:styleId="125">
    <w:name w:val="表格标题 (6)_"/>
    <w:basedOn w:val="29"/>
    <w:link w:val="123"/>
    <w:autoRedefine/>
    <w:qFormat/>
    <w:uiPriority w:val="0"/>
    <w:rPr>
      <w:rFonts w:ascii="MS Gothic" w:hAnsi="MS Gothic" w:eastAsia="MS Gothic" w:cs="MS Gothic"/>
      <w:kern w:val="2"/>
      <w:sz w:val="14"/>
      <w:szCs w:val="14"/>
      <w:shd w:val="clear" w:color="auto" w:fill="FFFFFF"/>
    </w:rPr>
  </w:style>
  <w:style w:type="paragraph" w:customStyle="1" w:styleId="126">
    <w:name w:val="表格标题1"/>
    <w:basedOn w:val="1"/>
    <w:autoRedefine/>
    <w:qFormat/>
    <w:uiPriority w:val="0"/>
    <w:pPr>
      <w:shd w:val="clear" w:color="auto" w:fill="FFFFFF"/>
      <w:spacing w:line="0" w:lineRule="atLeast"/>
      <w:ind w:hanging="320"/>
    </w:pPr>
    <w:rPr>
      <w:rFonts w:ascii="宋体" w:hAnsi="宋体" w:eastAsia="宋体" w:cs="宋体"/>
      <w:sz w:val="16"/>
      <w:szCs w:val="16"/>
    </w:rPr>
  </w:style>
  <w:style w:type="character" w:customStyle="1" w:styleId="127">
    <w:name w:val="表格标题 + MS Gothic"/>
    <w:basedOn w:val="128"/>
    <w:autoRedefine/>
    <w:qFormat/>
    <w:uiPriority w:val="0"/>
    <w:rPr>
      <w:rFonts w:ascii="MS Gothic" w:hAnsi="MS Gothic" w:eastAsia="MS Gothic" w:cs="MS Gothic"/>
      <w:color w:val="000000"/>
      <w:spacing w:val="0"/>
      <w:w w:val="100"/>
      <w:position w:val="0"/>
      <w:sz w:val="14"/>
      <w:szCs w:val="14"/>
      <w:u w:val="none"/>
      <w:shd w:val="clear" w:color="auto" w:fill="FFFFFF"/>
      <w:lang w:val="en-US"/>
    </w:rPr>
  </w:style>
  <w:style w:type="character" w:customStyle="1" w:styleId="128">
    <w:name w:val="表格标题_"/>
    <w:basedOn w:val="29"/>
    <w:link w:val="129"/>
    <w:autoRedefine/>
    <w:qFormat/>
    <w:uiPriority w:val="0"/>
    <w:rPr>
      <w:rFonts w:ascii="黑体" w:hAnsi="黑体" w:eastAsia="黑体"/>
      <w:sz w:val="14"/>
      <w:shd w:val="clear" w:color="auto" w:fill="FFFFFF"/>
    </w:rPr>
  </w:style>
  <w:style w:type="paragraph" w:customStyle="1" w:styleId="129">
    <w:name w:val="表格标题"/>
    <w:basedOn w:val="1"/>
    <w:link w:val="128"/>
    <w:autoRedefine/>
    <w:unhideWhenUsed/>
    <w:qFormat/>
    <w:uiPriority w:val="0"/>
    <w:pPr>
      <w:shd w:val="clear" w:color="auto" w:fill="FFFFFF"/>
      <w:spacing w:line="234" w:lineRule="exact"/>
      <w:jc w:val="center"/>
    </w:pPr>
    <w:rPr>
      <w:rFonts w:hint="eastAsia" w:ascii="黑体" w:hAnsi="黑体" w:eastAsia="黑体"/>
      <w:kern w:val="0"/>
      <w:sz w:val="14"/>
      <w:szCs w:val="20"/>
    </w:rPr>
  </w:style>
  <w:style w:type="paragraph" w:customStyle="1" w:styleId="130">
    <w:name w:val="正文文本 (3)4"/>
    <w:basedOn w:val="1"/>
    <w:autoRedefine/>
    <w:qFormat/>
    <w:uiPriority w:val="0"/>
    <w:pPr>
      <w:shd w:val="clear" w:color="auto" w:fill="FFFFFF"/>
      <w:spacing w:line="0" w:lineRule="atLeast"/>
      <w:ind w:hanging="540"/>
    </w:pPr>
    <w:rPr>
      <w:rFonts w:ascii="Malgun Gothic" w:hAnsi="Malgun Gothic" w:eastAsia="Malgun Gothic" w:cs="Malgun Gothic"/>
      <w:b/>
      <w:bCs/>
      <w:sz w:val="18"/>
      <w:szCs w:val="18"/>
    </w:rPr>
  </w:style>
  <w:style w:type="character" w:customStyle="1" w:styleId="131">
    <w:name w:val="正文文本 (3) + SimSun"/>
    <w:basedOn w:val="132"/>
    <w:autoRedefine/>
    <w:qFormat/>
    <w:uiPriority w:val="0"/>
    <w:rPr>
      <w:rFonts w:ascii="宋体" w:hAnsi="宋体" w:eastAsia="宋体" w:cs="宋体"/>
      <w:color w:val="000000"/>
      <w:spacing w:val="0"/>
      <w:w w:val="100"/>
      <w:position w:val="0"/>
      <w:sz w:val="20"/>
      <w:szCs w:val="20"/>
      <w:u w:val="none"/>
      <w:shd w:val="clear" w:color="auto" w:fill="FFFFFF"/>
      <w:lang w:val="zh-TW"/>
    </w:rPr>
  </w:style>
  <w:style w:type="character" w:customStyle="1" w:styleId="132">
    <w:name w:val="正文文本 (3)_"/>
    <w:basedOn w:val="29"/>
    <w:link w:val="133"/>
    <w:autoRedefine/>
    <w:qFormat/>
    <w:uiPriority w:val="0"/>
    <w:rPr>
      <w:rFonts w:ascii="黑体" w:hAnsi="黑体" w:eastAsia="黑体"/>
      <w:sz w:val="14"/>
      <w:shd w:val="clear" w:color="auto" w:fill="FFFFFF"/>
    </w:rPr>
  </w:style>
  <w:style w:type="paragraph" w:customStyle="1" w:styleId="133">
    <w:name w:val="正文文本 (3)"/>
    <w:basedOn w:val="1"/>
    <w:link w:val="132"/>
    <w:autoRedefine/>
    <w:unhideWhenUsed/>
    <w:qFormat/>
    <w:uiPriority w:val="0"/>
    <w:pPr>
      <w:shd w:val="clear" w:color="auto" w:fill="FFFFFF"/>
      <w:spacing w:line="240" w:lineRule="atLeast"/>
    </w:pPr>
    <w:rPr>
      <w:rFonts w:hint="eastAsia" w:ascii="黑体" w:hAnsi="黑体" w:eastAsia="黑体"/>
      <w:kern w:val="0"/>
      <w:sz w:val="14"/>
      <w:szCs w:val="20"/>
    </w:rPr>
  </w:style>
  <w:style w:type="character" w:customStyle="1" w:styleId="134">
    <w:name w:val="正文文本 (19) + MS Gothic"/>
    <w:basedOn w:val="135"/>
    <w:autoRedefine/>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35">
    <w:name w:val="正文文本 (19)_"/>
    <w:basedOn w:val="29"/>
    <w:link w:val="118"/>
    <w:autoRedefine/>
    <w:qFormat/>
    <w:uiPriority w:val="0"/>
    <w:rPr>
      <w:rFonts w:ascii="宋体" w:hAnsi="宋体" w:cs="宋体"/>
      <w:kern w:val="2"/>
      <w:sz w:val="16"/>
      <w:szCs w:val="16"/>
      <w:shd w:val="clear" w:color="auto" w:fill="FFFFFF"/>
    </w:rPr>
  </w:style>
  <w:style w:type="character" w:customStyle="1" w:styleId="136">
    <w:name w:val="正文文本 (19) + Book Antiqua"/>
    <w:basedOn w:val="135"/>
    <w:autoRedefine/>
    <w:qFormat/>
    <w:uiPriority w:val="0"/>
    <w:rPr>
      <w:rFonts w:ascii="Book Antiqua" w:hAnsi="Book Antiqua" w:eastAsia="Book Antiqua" w:cs="Book Antiqua"/>
      <w:i/>
      <w:iCs/>
      <w:color w:val="000000"/>
      <w:spacing w:val="0"/>
      <w:w w:val="100"/>
      <w:kern w:val="2"/>
      <w:position w:val="0"/>
      <w:sz w:val="15"/>
      <w:szCs w:val="15"/>
      <w:shd w:val="clear" w:color="auto" w:fill="FFFFFF"/>
      <w:lang w:val="en-US"/>
    </w:rPr>
  </w:style>
  <w:style w:type="paragraph" w:customStyle="1" w:styleId="137">
    <w:name w:val="表格标题 (2)1"/>
    <w:basedOn w:val="1"/>
    <w:link w:val="139"/>
    <w:autoRedefine/>
    <w:qFormat/>
    <w:uiPriority w:val="0"/>
    <w:pPr>
      <w:shd w:val="clear" w:color="auto" w:fill="FFFFFF"/>
      <w:spacing w:line="0" w:lineRule="atLeast"/>
    </w:pPr>
    <w:rPr>
      <w:rFonts w:ascii="宋体" w:hAnsi="宋体" w:eastAsia="宋体" w:cs="宋体"/>
      <w:sz w:val="18"/>
      <w:szCs w:val="18"/>
    </w:rPr>
  </w:style>
  <w:style w:type="character" w:customStyle="1" w:styleId="138">
    <w:name w:val="表格标题 (2) + Times New Roman"/>
    <w:basedOn w:val="139"/>
    <w:autoRedefine/>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39">
    <w:name w:val="表格标题 (2)_"/>
    <w:basedOn w:val="29"/>
    <w:link w:val="137"/>
    <w:autoRedefine/>
    <w:qFormat/>
    <w:uiPriority w:val="0"/>
    <w:rPr>
      <w:rFonts w:ascii="宋体" w:hAnsi="宋体" w:cs="宋体"/>
      <w:kern w:val="2"/>
      <w:sz w:val="18"/>
      <w:szCs w:val="18"/>
      <w:shd w:val="clear" w:color="auto" w:fill="FFFFFF"/>
    </w:rPr>
  </w:style>
  <w:style w:type="character" w:customStyle="1" w:styleId="140">
    <w:name w:val="正文文本 + Times New Roman"/>
    <w:basedOn w:val="112"/>
    <w:autoRedefine/>
    <w:qFormat/>
    <w:uiPriority w:val="99"/>
    <w:rPr>
      <w:rFonts w:ascii="Times New Roman" w:hAnsi="Times New Roman" w:eastAsia="Times New Roman" w:cs="Times New Roman"/>
      <w:color w:val="000000"/>
      <w:spacing w:val="0"/>
      <w:w w:val="100"/>
      <w:kern w:val="2"/>
      <w:position w:val="0"/>
      <w:shd w:val="clear" w:color="auto" w:fill="FFFFFF"/>
      <w:lang w:val="en-US"/>
    </w:rPr>
  </w:style>
  <w:style w:type="paragraph" w:customStyle="1" w:styleId="141">
    <w:name w:val="表格标题 (4)1"/>
    <w:basedOn w:val="1"/>
    <w:autoRedefine/>
    <w:qFormat/>
    <w:uiPriority w:val="0"/>
    <w:pPr>
      <w:shd w:val="clear" w:color="auto" w:fill="FFFFFF"/>
      <w:spacing w:line="317" w:lineRule="exact"/>
    </w:pPr>
    <w:rPr>
      <w:rFonts w:ascii="宋体" w:hAnsi="宋体" w:eastAsia="宋体" w:cs="宋体"/>
      <w:sz w:val="20"/>
      <w:szCs w:val="20"/>
    </w:rPr>
  </w:style>
  <w:style w:type="character" w:customStyle="1" w:styleId="142">
    <w:name w:val="正文文本 + MS Gothic1"/>
    <w:basedOn w:val="112"/>
    <w:autoRedefine/>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43">
    <w:name w:val="正文文本 + Book Antiqua3"/>
    <w:basedOn w:val="112"/>
    <w:autoRedefine/>
    <w:qFormat/>
    <w:uiPriority w:val="0"/>
    <w:rPr>
      <w:rFonts w:ascii="Book Antiqua" w:hAnsi="Book Antiqua" w:eastAsia="Book Antiqua" w:cs="Book Antiqua"/>
      <w:i/>
      <w:iCs/>
      <w:color w:val="000000"/>
      <w:spacing w:val="30"/>
      <w:w w:val="100"/>
      <w:kern w:val="2"/>
      <w:position w:val="0"/>
      <w:sz w:val="15"/>
      <w:szCs w:val="15"/>
      <w:shd w:val="clear" w:color="auto" w:fill="FFFFFF"/>
      <w:lang w:val="en-US"/>
    </w:rPr>
  </w:style>
  <w:style w:type="character" w:customStyle="1" w:styleId="144">
    <w:name w:val="表格标题 + MS Gothic1"/>
    <w:basedOn w:val="128"/>
    <w:autoRedefine/>
    <w:qFormat/>
    <w:uiPriority w:val="0"/>
    <w:rPr>
      <w:rFonts w:ascii="MS Gothic" w:hAnsi="MS Gothic" w:eastAsia="MS Gothic" w:cs="MS Gothic"/>
      <w:color w:val="000000"/>
      <w:spacing w:val="0"/>
      <w:w w:val="100"/>
      <w:position w:val="0"/>
      <w:sz w:val="14"/>
      <w:szCs w:val="14"/>
      <w:u w:val="none"/>
      <w:shd w:val="clear" w:color="auto" w:fill="FFFFFF"/>
      <w:lang w:val="en-US"/>
    </w:rPr>
  </w:style>
  <w:style w:type="character" w:customStyle="1" w:styleId="145">
    <w:name w:val="正文文本 (19) + MS Gothic1"/>
    <w:basedOn w:val="135"/>
    <w:autoRedefine/>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46">
    <w:name w:val="正文文本 + Times New Roman5"/>
    <w:basedOn w:val="112"/>
    <w:autoRedefine/>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47">
    <w:name w:val="正文文本 + 8 pt21"/>
    <w:basedOn w:val="112"/>
    <w:autoRedefine/>
    <w:qFormat/>
    <w:uiPriority w:val="0"/>
    <w:rPr>
      <w:rFonts w:ascii="宋体" w:hAnsi="宋体" w:cs="宋体"/>
      <w:color w:val="000000"/>
      <w:spacing w:val="30"/>
      <w:w w:val="100"/>
      <w:kern w:val="2"/>
      <w:position w:val="0"/>
      <w:sz w:val="16"/>
      <w:szCs w:val="16"/>
      <w:shd w:val="clear" w:color="auto" w:fill="FFFFFF"/>
      <w:lang w:val="zh-TW"/>
    </w:rPr>
  </w:style>
  <w:style w:type="character" w:customStyle="1" w:styleId="148">
    <w:name w:val="正文文本 + Malgun Gothic5"/>
    <w:basedOn w:val="112"/>
    <w:autoRedefine/>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49">
    <w:name w:val="正文文本 + Malgun Gothic7"/>
    <w:basedOn w:val="112"/>
    <w:autoRedefine/>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50">
    <w:name w:val="正文文本 + 11.5 pt"/>
    <w:basedOn w:val="112"/>
    <w:autoRedefine/>
    <w:qFormat/>
    <w:uiPriority w:val="0"/>
    <w:rPr>
      <w:rFonts w:ascii="宋体" w:hAnsi="宋体" w:cs="宋体"/>
      <w:color w:val="000000"/>
      <w:spacing w:val="0"/>
      <w:w w:val="100"/>
      <w:kern w:val="2"/>
      <w:position w:val="0"/>
      <w:sz w:val="23"/>
      <w:szCs w:val="23"/>
      <w:shd w:val="clear" w:color="auto" w:fill="FFFFFF"/>
      <w:lang w:val="zh-CN"/>
    </w:rPr>
  </w:style>
  <w:style w:type="character" w:customStyle="1" w:styleId="151">
    <w:name w:val="正文文本 Exact"/>
    <w:basedOn w:val="29"/>
    <w:autoRedefine/>
    <w:qFormat/>
    <w:uiPriority w:val="0"/>
    <w:rPr>
      <w:rFonts w:ascii="宋体" w:hAnsi="宋体" w:eastAsia="宋体" w:cs="宋体"/>
      <w:spacing w:val="1"/>
      <w:sz w:val="19"/>
      <w:szCs w:val="19"/>
      <w:u w:val="none"/>
    </w:rPr>
  </w:style>
  <w:style w:type="character" w:customStyle="1" w:styleId="152">
    <w:name w:val="正文文本 + Times New Roman6"/>
    <w:basedOn w:val="112"/>
    <w:autoRedefine/>
    <w:qFormat/>
    <w:uiPriority w:val="0"/>
    <w:rPr>
      <w:rFonts w:ascii="Times New Roman" w:hAnsi="Times New Roman" w:eastAsia="Times New Roman" w:cs="Times New Roman"/>
      <w:color w:val="000000"/>
      <w:spacing w:val="6"/>
      <w:w w:val="100"/>
      <w:kern w:val="2"/>
      <w:position w:val="0"/>
      <w:sz w:val="19"/>
      <w:szCs w:val="19"/>
      <w:shd w:val="clear" w:color="auto" w:fill="FFFFFF"/>
      <w:lang w:val="en-US"/>
    </w:rPr>
  </w:style>
  <w:style w:type="character" w:customStyle="1" w:styleId="153">
    <w:name w:val="正文文本 + MS Gothic9"/>
    <w:basedOn w:val="112"/>
    <w:autoRedefine/>
    <w:qFormat/>
    <w:uiPriority w:val="0"/>
    <w:rPr>
      <w:rFonts w:ascii="MS Gothic" w:hAnsi="MS Gothic" w:eastAsia="MS Gothic" w:cs="MS Gothic"/>
      <w:color w:val="000000"/>
      <w:spacing w:val="-1"/>
      <w:w w:val="100"/>
      <w:kern w:val="2"/>
      <w:position w:val="0"/>
      <w:sz w:val="13"/>
      <w:szCs w:val="13"/>
      <w:shd w:val="clear" w:color="auto" w:fill="FFFFFF"/>
      <w:lang w:val="en-US"/>
    </w:rPr>
  </w:style>
  <w:style w:type="character" w:customStyle="1" w:styleId="154">
    <w:name w:val="正文文本 + Malgun Gothic1"/>
    <w:basedOn w:val="112"/>
    <w:autoRedefine/>
    <w:qFormat/>
    <w:uiPriority w:val="0"/>
    <w:rPr>
      <w:rFonts w:ascii="Malgun Gothic" w:hAnsi="Malgun Gothic" w:eastAsia="Malgun Gothic" w:cs="Malgun Gothic"/>
      <w:b/>
      <w:bCs/>
      <w:color w:val="000000"/>
      <w:spacing w:val="1"/>
      <w:w w:val="100"/>
      <w:kern w:val="2"/>
      <w:position w:val="0"/>
      <w:sz w:val="17"/>
      <w:szCs w:val="17"/>
      <w:shd w:val="clear" w:color="auto" w:fill="FFFFFF"/>
      <w:lang w:val="en-US"/>
    </w:rPr>
  </w:style>
  <w:style w:type="character" w:customStyle="1" w:styleId="155">
    <w:name w:val="正文文本 + Malgun Gothic8"/>
    <w:basedOn w:val="112"/>
    <w:autoRedefine/>
    <w:qFormat/>
    <w:uiPriority w:val="0"/>
    <w:rPr>
      <w:rFonts w:ascii="Malgun Gothic" w:hAnsi="Malgun Gothic" w:eastAsia="Malgun Gothic" w:cs="Malgun Gothic"/>
      <w:b/>
      <w:bCs/>
      <w:color w:val="000000"/>
      <w:spacing w:val="0"/>
      <w:w w:val="100"/>
      <w:kern w:val="2"/>
      <w:position w:val="0"/>
      <w:sz w:val="15"/>
      <w:szCs w:val="15"/>
      <w:shd w:val="clear" w:color="auto" w:fill="FFFFFF"/>
      <w:lang w:val="en-US"/>
    </w:rPr>
  </w:style>
  <w:style w:type="character" w:customStyle="1" w:styleId="156">
    <w:name w:val="正文文本 + Candara1"/>
    <w:basedOn w:val="112"/>
    <w:autoRedefine/>
    <w:qFormat/>
    <w:uiPriority w:val="0"/>
    <w:rPr>
      <w:rFonts w:ascii="Candara" w:hAnsi="Candara" w:eastAsia="Candara" w:cs="Candara"/>
      <w:color w:val="000000"/>
      <w:spacing w:val="20"/>
      <w:w w:val="100"/>
      <w:kern w:val="2"/>
      <w:position w:val="0"/>
      <w:sz w:val="17"/>
      <w:szCs w:val="17"/>
      <w:shd w:val="clear" w:color="auto" w:fill="FFFFFF"/>
      <w:lang w:val="en-US"/>
    </w:rPr>
  </w:style>
  <w:style w:type="character" w:customStyle="1" w:styleId="157">
    <w:name w:val="正文文本 + MS Gothic4"/>
    <w:basedOn w:val="112"/>
    <w:autoRedefine/>
    <w:qFormat/>
    <w:uiPriority w:val="0"/>
    <w:rPr>
      <w:rFonts w:ascii="MS Gothic" w:hAnsi="MS Gothic" w:eastAsia="MS Gothic" w:cs="MS Gothic"/>
      <w:i/>
      <w:iCs/>
      <w:color w:val="000000"/>
      <w:spacing w:val="-20"/>
      <w:w w:val="150"/>
      <w:kern w:val="2"/>
      <w:position w:val="0"/>
      <w:sz w:val="17"/>
      <w:szCs w:val="17"/>
      <w:shd w:val="clear" w:color="auto" w:fill="FFFFFF"/>
      <w:lang w:val="en-US"/>
    </w:rPr>
  </w:style>
  <w:style w:type="character" w:customStyle="1" w:styleId="158">
    <w:name w:val="正文文本 + 间距 -1 pt"/>
    <w:basedOn w:val="112"/>
    <w:autoRedefine/>
    <w:qFormat/>
    <w:uiPriority w:val="0"/>
    <w:rPr>
      <w:rFonts w:ascii="宋体" w:hAnsi="宋体" w:cs="宋体"/>
      <w:color w:val="000000"/>
      <w:spacing w:val="-30"/>
      <w:w w:val="100"/>
      <w:kern w:val="2"/>
      <w:position w:val="0"/>
      <w:shd w:val="clear" w:color="auto" w:fill="FFFFFF"/>
      <w:lang w:val="zh-TW"/>
    </w:rPr>
  </w:style>
  <w:style w:type="character" w:customStyle="1" w:styleId="159">
    <w:name w:val="正文文本 + Malgun Gothic9"/>
    <w:basedOn w:val="112"/>
    <w:autoRedefine/>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60">
    <w:name w:val="正文文本 + 间距 1 pt"/>
    <w:basedOn w:val="112"/>
    <w:autoRedefine/>
    <w:qFormat/>
    <w:uiPriority w:val="0"/>
    <w:rPr>
      <w:rFonts w:ascii="宋体" w:hAnsi="宋体" w:cs="宋体"/>
      <w:color w:val="000000"/>
      <w:spacing w:val="30"/>
      <w:w w:val="100"/>
      <w:kern w:val="2"/>
      <w:position w:val="0"/>
      <w:shd w:val="clear" w:color="auto" w:fill="FFFFFF"/>
      <w:lang w:val="zh-TW"/>
    </w:rPr>
  </w:style>
  <w:style w:type="paragraph" w:customStyle="1" w:styleId="161">
    <w:name w:val="标题 #4 (3)"/>
    <w:basedOn w:val="1"/>
    <w:link w:val="163"/>
    <w:autoRedefine/>
    <w:qFormat/>
    <w:uiPriority w:val="0"/>
    <w:pPr>
      <w:shd w:val="clear" w:color="auto" w:fill="FFFFFF"/>
      <w:spacing w:before="120" w:after="240" w:line="0" w:lineRule="atLeast"/>
      <w:outlineLvl w:val="3"/>
    </w:pPr>
    <w:rPr>
      <w:rFonts w:ascii="Times New Roman" w:hAnsi="Times New Roman" w:eastAsia="Times New Roman"/>
      <w:b/>
      <w:bCs/>
      <w:spacing w:val="50"/>
      <w:sz w:val="26"/>
      <w:szCs w:val="26"/>
    </w:rPr>
  </w:style>
  <w:style w:type="character" w:customStyle="1" w:styleId="162">
    <w:name w:val="标题 #4 (3) + MS Gothic"/>
    <w:basedOn w:val="163"/>
    <w:autoRedefine/>
    <w:qFormat/>
    <w:uiPriority w:val="0"/>
    <w:rPr>
      <w:rFonts w:ascii="MS Gothic" w:hAnsi="MS Gothic" w:eastAsia="MS Gothic" w:cs="MS Gothic"/>
      <w:color w:val="000000"/>
      <w:spacing w:val="0"/>
      <w:w w:val="100"/>
      <w:kern w:val="2"/>
      <w:position w:val="0"/>
      <w:sz w:val="46"/>
      <w:szCs w:val="46"/>
      <w:shd w:val="clear" w:color="auto" w:fill="FFFFFF"/>
      <w:lang w:val="zh-CN"/>
    </w:rPr>
  </w:style>
  <w:style w:type="character" w:customStyle="1" w:styleId="163">
    <w:name w:val="标题 #4 (3)_"/>
    <w:basedOn w:val="29"/>
    <w:link w:val="161"/>
    <w:autoRedefine/>
    <w:qFormat/>
    <w:uiPriority w:val="0"/>
    <w:rPr>
      <w:rFonts w:eastAsia="Times New Roman"/>
      <w:b/>
      <w:bCs/>
      <w:spacing w:val="50"/>
      <w:kern w:val="2"/>
      <w:sz w:val="26"/>
      <w:szCs w:val="26"/>
      <w:shd w:val="clear" w:color="auto" w:fill="FFFFFF"/>
    </w:rPr>
  </w:style>
  <w:style w:type="character" w:customStyle="1" w:styleId="164">
    <w:name w:val="标题 #4 (3) + SimSun"/>
    <w:basedOn w:val="163"/>
    <w:autoRedefine/>
    <w:qFormat/>
    <w:uiPriority w:val="0"/>
    <w:rPr>
      <w:rFonts w:ascii="宋体" w:hAnsi="宋体" w:eastAsia="宋体" w:cs="宋体"/>
      <w:color w:val="000000"/>
      <w:spacing w:val="20"/>
      <w:w w:val="100"/>
      <w:kern w:val="2"/>
      <w:position w:val="0"/>
      <w:sz w:val="28"/>
      <w:szCs w:val="28"/>
      <w:shd w:val="clear" w:color="auto" w:fill="FFFFFF"/>
      <w:lang w:val="zh-TW"/>
    </w:rPr>
  </w:style>
  <w:style w:type="character" w:customStyle="1" w:styleId="165">
    <w:name w:val="正文文本 + Malgun Gothic10"/>
    <w:basedOn w:val="112"/>
    <w:autoRedefine/>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66">
    <w:name w:val="正文文本 + 间距 -1 pt1"/>
    <w:basedOn w:val="112"/>
    <w:autoRedefine/>
    <w:qFormat/>
    <w:uiPriority w:val="0"/>
    <w:rPr>
      <w:rFonts w:ascii="宋体" w:hAnsi="宋体" w:cs="宋体"/>
      <w:color w:val="000000"/>
      <w:spacing w:val="-30"/>
      <w:w w:val="100"/>
      <w:kern w:val="2"/>
      <w:position w:val="0"/>
      <w:shd w:val="clear" w:color="auto" w:fill="FFFFFF"/>
      <w:lang w:val="zh-TW"/>
    </w:rPr>
  </w:style>
  <w:style w:type="paragraph" w:customStyle="1" w:styleId="167">
    <w:name w:val="标题 #7 (3)"/>
    <w:basedOn w:val="1"/>
    <w:link w:val="169"/>
    <w:autoRedefine/>
    <w:qFormat/>
    <w:uiPriority w:val="0"/>
    <w:pPr>
      <w:shd w:val="clear" w:color="auto" w:fill="FFFFFF"/>
      <w:spacing w:before="120" w:after="240" w:line="0" w:lineRule="atLeast"/>
      <w:jc w:val="distribute"/>
      <w:outlineLvl w:val="6"/>
    </w:pPr>
    <w:rPr>
      <w:rFonts w:ascii="宋体" w:hAnsi="宋体" w:eastAsia="宋体" w:cs="宋体"/>
      <w:spacing w:val="-20"/>
      <w:sz w:val="25"/>
      <w:szCs w:val="25"/>
    </w:rPr>
  </w:style>
  <w:style w:type="character" w:customStyle="1" w:styleId="168">
    <w:name w:val="标题 #7 (3) + Times New Roman"/>
    <w:basedOn w:val="169"/>
    <w:autoRedefine/>
    <w:qFormat/>
    <w:uiPriority w:val="0"/>
    <w:rPr>
      <w:rFonts w:ascii="Times New Roman" w:hAnsi="Times New Roman" w:eastAsia="Times New Roman" w:cs="Times New Roman"/>
      <w:b/>
      <w:bCs/>
      <w:color w:val="000000"/>
      <w:spacing w:val="20"/>
      <w:w w:val="100"/>
      <w:kern w:val="2"/>
      <w:position w:val="0"/>
      <w:sz w:val="24"/>
      <w:szCs w:val="24"/>
      <w:shd w:val="clear" w:color="auto" w:fill="FFFFFF"/>
      <w:lang w:val="en-US"/>
    </w:rPr>
  </w:style>
  <w:style w:type="character" w:customStyle="1" w:styleId="169">
    <w:name w:val="标题 #7 (3)_"/>
    <w:basedOn w:val="29"/>
    <w:link w:val="167"/>
    <w:autoRedefine/>
    <w:qFormat/>
    <w:uiPriority w:val="0"/>
    <w:rPr>
      <w:rFonts w:ascii="宋体" w:hAnsi="宋体" w:cs="宋体"/>
      <w:spacing w:val="-20"/>
      <w:kern w:val="2"/>
      <w:sz w:val="25"/>
      <w:szCs w:val="25"/>
      <w:shd w:val="clear" w:color="auto" w:fill="FFFFFF"/>
    </w:rPr>
  </w:style>
  <w:style w:type="paragraph" w:customStyle="1" w:styleId="170">
    <w:name w:val="标题 #8 (2)"/>
    <w:basedOn w:val="1"/>
    <w:autoRedefine/>
    <w:qFormat/>
    <w:uiPriority w:val="0"/>
    <w:pPr>
      <w:shd w:val="clear" w:color="auto" w:fill="FFFFFF"/>
      <w:spacing w:after="180" w:line="0" w:lineRule="atLeast"/>
      <w:outlineLvl w:val="7"/>
    </w:pPr>
    <w:rPr>
      <w:rFonts w:ascii="宋体" w:hAnsi="宋体" w:eastAsia="宋体" w:cs="宋体"/>
      <w:spacing w:val="-10"/>
      <w:sz w:val="25"/>
      <w:szCs w:val="25"/>
    </w:rPr>
  </w:style>
  <w:style w:type="character" w:customStyle="1" w:styleId="171">
    <w:name w:val="正文文本 + MS Gothic2"/>
    <w:basedOn w:val="112"/>
    <w:autoRedefine/>
    <w:qFormat/>
    <w:uiPriority w:val="0"/>
    <w:rPr>
      <w:rFonts w:ascii="MS Gothic" w:hAnsi="MS Gothic" w:eastAsia="MS Gothic" w:cs="MS Gothic"/>
      <w:color w:val="000000"/>
      <w:spacing w:val="0"/>
      <w:w w:val="100"/>
      <w:kern w:val="2"/>
      <w:position w:val="0"/>
      <w:sz w:val="19"/>
      <w:szCs w:val="19"/>
      <w:shd w:val="clear" w:color="auto" w:fill="FFFFFF"/>
      <w:lang w:val="en-US"/>
    </w:rPr>
  </w:style>
  <w:style w:type="character" w:customStyle="1" w:styleId="172">
    <w:name w:val="正文文本 (4)_"/>
    <w:link w:val="173"/>
    <w:autoRedefine/>
    <w:qFormat/>
    <w:uiPriority w:val="0"/>
    <w:rPr>
      <w:rFonts w:ascii="宋体" w:hAnsi="宋体" w:cs="宋体"/>
      <w:sz w:val="18"/>
      <w:szCs w:val="18"/>
      <w:shd w:val="clear" w:color="auto" w:fill="FFFFFF"/>
    </w:rPr>
  </w:style>
  <w:style w:type="paragraph" w:customStyle="1" w:styleId="173">
    <w:name w:val="正文文本 (4)"/>
    <w:basedOn w:val="1"/>
    <w:link w:val="172"/>
    <w:autoRedefine/>
    <w:qFormat/>
    <w:uiPriority w:val="0"/>
    <w:pPr>
      <w:shd w:val="clear" w:color="auto" w:fill="FFFFFF"/>
      <w:spacing w:line="227" w:lineRule="exact"/>
      <w:jc w:val="left"/>
    </w:pPr>
    <w:rPr>
      <w:rFonts w:ascii="宋体" w:hAnsi="宋体" w:eastAsia="宋体" w:cs="宋体"/>
      <w:kern w:val="0"/>
      <w:sz w:val="18"/>
      <w:szCs w:val="18"/>
    </w:rPr>
  </w:style>
  <w:style w:type="character" w:customStyle="1" w:styleId="174">
    <w:name w:val="正文文本 (4) + 间距 1 pt"/>
    <w:autoRedefine/>
    <w:qFormat/>
    <w:uiPriority w:val="0"/>
    <w:rPr>
      <w:rFonts w:ascii="宋体" w:hAnsi="宋体" w:eastAsia="宋体" w:cs="宋体"/>
      <w:color w:val="000000"/>
      <w:spacing w:val="30"/>
      <w:w w:val="100"/>
      <w:position w:val="0"/>
      <w:sz w:val="18"/>
      <w:szCs w:val="18"/>
      <w:u w:val="none"/>
      <w:lang w:val="zh-TW"/>
    </w:rPr>
  </w:style>
  <w:style w:type="paragraph" w:customStyle="1" w:styleId="175">
    <w:name w:val="正文文本6"/>
    <w:basedOn w:val="1"/>
    <w:autoRedefine/>
    <w:qFormat/>
    <w:uiPriority w:val="0"/>
    <w:pPr>
      <w:shd w:val="clear" w:color="auto" w:fill="FFFFFF"/>
      <w:spacing w:line="317" w:lineRule="exact"/>
      <w:ind w:hanging="1600"/>
      <w:jc w:val="distribute"/>
    </w:pPr>
    <w:rPr>
      <w:rFonts w:ascii="宋体" w:hAnsi="宋体" w:eastAsia="宋体" w:cs="宋体"/>
      <w:kern w:val="0"/>
      <w:szCs w:val="21"/>
    </w:rPr>
  </w:style>
  <w:style w:type="character" w:customStyle="1" w:styleId="176">
    <w:name w:val="页眉或页脚_"/>
    <w:basedOn w:val="29"/>
    <w:autoRedefine/>
    <w:qFormat/>
    <w:uiPriority w:val="0"/>
    <w:rPr>
      <w:rFonts w:ascii="宋体" w:hAnsi="宋体" w:eastAsia="宋体" w:cs="宋体"/>
      <w:sz w:val="21"/>
      <w:szCs w:val="21"/>
      <w:u w:val="none"/>
    </w:rPr>
  </w:style>
  <w:style w:type="character" w:customStyle="1" w:styleId="177">
    <w:name w:val="页眉或页脚 + Segoe UI"/>
    <w:basedOn w:val="176"/>
    <w:autoRedefine/>
    <w:qFormat/>
    <w:uiPriority w:val="0"/>
    <w:rPr>
      <w:rFonts w:ascii="Segoe UI" w:hAnsi="Segoe UI" w:eastAsia="Segoe UI" w:cs="Segoe UI"/>
      <w:i/>
      <w:iCs/>
      <w:color w:val="000000"/>
      <w:spacing w:val="0"/>
      <w:w w:val="100"/>
      <w:position w:val="0"/>
      <w:sz w:val="22"/>
      <w:szCs w:val="22"/>
      <w:u w:val="none"/>
    </w:rPr>
  </w:style>
  <w:style w:type="character" w:customStyle="1" w:styleId="178">
    <w:name w:val="正文文本 (2)_"/>
    <w:basedOn w:val="29"/>
    <w:link w:val="179"/>
    <w:autoRedefine/>
    <w:qFormat/>
    <w:uiPriority w:val="99"/>
    <w:rPr>
      <w:rFonts w:ascii="宋体" w:hAnsi="宋体" w:cs="宋体"/>
      <w:sz w:val="17"/>
      <w:szCs w:val="17"/>
      <w:shd w:val="clear" w:color="auto" w:fill="FFFFFF"/>
    </w:rPr>
  </w:style>
  <w:style w:type="paragraph" w:customStyle="1" w:styleId="179">
    <w:name w:val="正文文本 (2)1"/>
    <w:basedOn w:val="1"/>
    <w:link w:val="178"/>
    <w:autoRedefine/>
    <w:qFormat/>
    <w:uiPriority w:val="99"/>
    <w:pPr>
      <w:shd w:val="clear" w:color="auto" w:fill="FFFFFF"/>
      <w:spacing w:line="263" w:lineRule="exact"/>
      <w:ind w:hanging="380"/>
      <w:jc w:val="left"/>
    </w:pPr>
    <w:rPr>
      <w:rFonts w:ascii="宋体" w:hAnsi="宋体" w:eastAsia="宋体" w:cs="宋体"/>
      <w:kern w:val="0"/>
      <w:sz w:val="17"/>
      <w:szCs w:val="17"/>
    </w:rPr>
  </w:style>
  <w:style w:type="character" w:customStyle="1" w:styleId="180">
    <w:name w:val="正文文本 (2)"/>
    <w:basedOn w:val="178"/>
    <w:autoRedefine/>
    <w:qFormat/>
    <w:uiPriority w:val="0"/>
    <w:rPr>
      <w:rFonts w:ascii="宋体" w:hAnsi="宋体" w:cs="宋体"/>
      <w:color w:val="000000"/>
      <w:spacing w:val="0"/>
      <w:w w:val="100"/>
      <w:position w:val="0"/>
      <w:sz w:val="17"/>
      <w:szCs w:val="17"/>
      <w:shd w:val="clear" w:color="auto" w:fill="FFFFFF"/>
      <w:lang w:val="en-US"/>
    </w:rPr>
  </w:style>
  <w:style w:type="character" w:customStyle="1" w:styleId="181">
    <w:name w:val="页眉或页脚"/>
    <w:basedOn w:val="176"/>
    <w:autoRedefine/>
    <w:qFormat/>
    <w:uiPriority w:val="0"/>
    <w:rPr>
      <w:rFonts w:ascii="宋体" w:hAnsi="宋体" w:eastAsia="宋体" w:cs="宋体"/>
      <w:color w:val="000000"/>
      <w:spacing w:val="0"/>
      <w:w w:val="100"/>
      <w:position w:val="0"/>
      <w:sz w:val="21"/>
      <w:szCs w:val="21"/>
      <w:u w:val="none"/>
      <w:lang w:val="zh-TW"/>
    </w:rPr>
  </w:style>
  <w:style w:type="character" w:customStyle="1" w:styleId="182">
    <w:name w:val="页眉或页脚 + Malgun Gothic"/>
    <w:basedOn w:val="176"/>
    <w:autoRedefine/>
    <w:qFormat/>
    <w:uiPriority w:val="99"/>
    <w:rPr>
      <w:rFonts w:ascii="Malgun Gothic" w:hAnsi="Malgun Gothic" w:eastAsia="Malgun Gothic" w:cs="Malgun Gothic"/>
      <w:b/>
      <w:bCs/>
      <w:color w:val="000000"/>
      <w:spacing w:val="30"/>
      <w:w w:val="100"/>
      <w:position w:val="0"/>
      <w:sz w:val="20"/>
      <w:szCs w:val="20"/>
      <w:u w:val="none"/>
      <w:lang w:val="en-US"/>
    </w:rPr>
  </w:style>
  <w:style w:type="character" w:customStyle="1" w:styleId="183">
    <w:name w:val="正文文本 (9) Exact"/>
    <w:basedOn w:val="29"/>
    <w:autoRedefine/>
    <w:qFormat/>
    <w:uiPriority w:val="0"/>
    <w:rPr>
      <w:rFonts w:ascii="宋体" w:hAnsi="宋体" w:eastAsia="宋体" w:cs="宋体"/>
      <w:sz w:val="13"/>
      <w:szCs w:val="13"/>
      <w:u w:val="none"/>
      <w:lang w:val="en-US"/>
    </w:rPr>
  </w:style>
  <w:style w:type="paragraph" w:customStyle="1" w:styleId="184">
    <w:name w:val="正文文本 (9)"/>
    <w:basedOn w:val="1"/>
    <w:link w:val="213"/>
    <w:autoRedefine/>
    <w:qFormat/>
    <w:uiPriority w:val="0"/>
    <w:pPr>
      <w:shd w:val="clear" w:color="auto" w:fill="FFFFFF"/>
      <w:spacing w:line="0" w:lineRule="atLeast"/>
      <w:jc w:val="left"/>
    </w:pPr>
    <w:rPr>
      <w:rFonts w:ascii="宋体" w:hAnsi="宋体" w:eastAsia="宋体" w:cs="宋体"/>
      <w:kern w:val="0"/>
      <w:sz w:val="15"/>
      <w:szCs w:val="15"/>
    </w:rPr>
  </w:style>
  <w:style w:type="character" w:customStyle="1" w:styleId="185">
    <w:name w:val="正文文本 (7)_"/>
    <w:basedOn w:val="29"/>
    <w:link w:val="186"/>
    <w:autoRedefine/>
    <w:qFormat/>
    <w:uiPriority w:val="0"/>
    <w:rPr>
      <w:rFonts w:ascii="宋体" w:hAnsi="宋体" w:cs="宋体"/>
      <w:b/>
      <w:bCs/>
      <w:sz w:val="16"/>
      <w:szCs w:val="16"/>
      <w:shd w:val="clear" w:color="auto" w:fill="FFFFFF"/>
    </w:rPr>
  </w:style>
  <w:style w:type="paragraph" w:customStyle="1" w:styleId="186">
    <w:name w:val="正文文本 (7)2"/>
    <w:basedOn w:val="1"/>
    <w:link w:val="185"/>
    <w:autoRedefine/>
    <w:qFormat/>
    <w:uiPriority w:val="0"/>
    <w:pPr>
      <w:shd w:val="clear" w:color="auto" w:fill="FFFFFF"/>
      <w:spacing w:after="240" w:line="248" w:lineRule="exact"/>
      <w:jc w:val="center"/>
    </w:pPr>
    <w:rPr>
      <w:rFonts w:ascii="宋体" w:hAnsi="宋体" w:eastAsia="宋体" w:cs="宋体"/>
      <w:b/>
      <w:bCs/>
      <w:kern w:val="0"/>
      <w:sz w:val="16"/>
      <w:szCs w:val="16"/>
    </w:rPr>
  </w:style>
  <w:style w:type="paragraph" w:customStyle="1" w:styleId="187">
    <w:name w:val="正文文本 (7)"/>
    <w:basedOn w:val="1"/>
    <w:autoRedefine/>
    <w:qFormat/>
    <w:uiPriority w:val="0"/>
    <w:pPr>
      <w:shd w:val="clear" w:color="auto" w:fill="FFFFFF"/>
      <w:spacing w:after="240" w:line="248" w:lineRule="exact"/>
      <w:jc w:val="center"/>
    </w:pPr>
    <w:rPr>
      <w:rFonts w:ascii="宋体" w:hAnsi="宋体" w:eastAsia="宋体" w:cs="宋体"/>
      <w:b/>
      <w:bCs/>
      <w:kern w:val="0"/>
      <w:sz w:val="16"/>
      <w:szCs w:val="16"/>
    </w:rPr>
  </w:style>
  <w:style w:type="character" w:customStyle="1" w:styleId="188">
    <w:name w:val="正文文本 (7) + MS Gothic"/>
    <w:basedOn w:val="185"/>
    <w:autoRedefine/>
    <w:qFormat/>
    <w:uiPriority w:val="0"/>
    <w:rPr>
      <w:rFonts w:ascii="MS Gothic" w:hAnsi="MS Gothic" w:eastAsia="MS Gothic" w:cs="MS Gothic"/>
      <w:color w:val="000000"/>
      <w:spacing w:val="0"/>
      <w:w w:val="100"/>
      <w:position w:val="0"/>
      <w:sz w:val="14"/>
      <w:szCs w:val="14"/>
      <w:shd w:val="clear" w:color="auto" w:fill="FFFFFF"/>
      <w:lang w:val="en-US"/>
    </w:rPr>
  </w:style>
  <w:style w:type="character" w:customStyle="1" w:styleId="189">
    <w:name w:val="正文文本 (7) + 8.5 pt"/>
    <w:basedOn w:val="185"/>
    <w:autoRedefine/>
    <w:qFormat/>
    <w:uiPriority w:val="0"/>
    <w:rPr>
      <w:rFonts w:ascii="宋体" w:hAnsi="宋体" w:cs="宋体"/>
      <w:color w:val="000000"/>
      <w:spacing w:val="0"/>
      <w:w w:val="100"/>
      <w:position w:val="0"/>
      <w:sz w:val="17"/>
      <w:szCs w:val="17"/>
      <w:shd w:val="clear" w:color="auto" w:fill="FFFFFF"/>
      <w:lang w:val="zh-TW"/>
    </w:rPr>
  </w:style>
  <w:style w:type="character" w:customStyle="1" w:styleId="190">
    <w:name w:val="正文文本 (7) Exact"/>
    <w:basedOn w:val="29"/>
    <w:autoRedefine/>
    <w:qFormat/>
    <w:uiPriority w:val="0"/>
    <w:rPr>
      <w:rFonts w:ascii="宋体" w:hAnsi="宋体" w:eastAsia="宋体" w:cs="宋体"/>
      <w:b/>
      <w:bCs/>
      <w:sz w:val="14"/>
      <w:szCs w:val="14"/>
      <w:u w:val="none"/>
    </w:rPr>
  </w:style>
  <w:style w:type="character" w:customStyle="1" w:styleId="191">
    <w:name w:val="图片标题_"/>
    <w:basedOn w:val="29"/>
    <w:link w:val="192"/>
    <w:autoRedefine/>
    <w:qFormat/>
    <w:uiPriority w:val="0"/>
    <w:rPr>
      <w:rFonts w:ascii="宋体" w:hAnsi="宋体" w:cs="宋体"/>
      <w:b/>
      <w:bCs/>
      <w:sz w:val="16"/>
      <w:szCs w:val="16"/>
      <w:shd w:val="clear" w:color="auto" w:fill="FFFFFF"/>
    </w:rPr>
  </w:style>
  <w:style w:type="paragraph" w:customStyle="1" w:styleId="192">
    <w:name w:val="图片标题"/>
    <w:basedOn w:val="1"/>
    <w:link w:val="191"/>
    <w:autoRedefine/>
    <w:qFormat/>
    <w:uiPriority w:val="0"/>
    <w:pPr>
      <w:shd w:val="clear" w:color="auto" w:fill="FFFFFF"/>
      <w:spacing w:line="0" w:lineRule="atLeast"/>
      <w:ind w:hanging="1420"/>
      <w:jc w:val="left"/>
    </w:pPr>
    <w:rPr>
      <w:rFonts w:ascii="宋体" w:hAnsi="宋体" w:eastAsia="宋体" w:cs="宋体"/>
      <w:b/>
      <w:bCs/>
      <w:kern w:val="0"/>
      <w:sz w:val="16"/>
      <w:szCs w:val="16"/>
    </w:rPr>
  </w:style>
  <w:style w:type="character" w:customStyle="1" w:styleId="193">
    <w:name w:val="图片标题 Exact"/>
    <w:basedOn w:val="191"/>
    <w:autoRedefine/>
    <w:qFormat/>
    <w:uiPriority w:val="0"/>
    <w:rPr>
      <w:rFonts w:ascii="宋体" w:hAnsi="宋体" w:cs="宋体"/>
      <w:sz w:val="14"/>
      <w:szCs w:val="14"/>
      <w:u w:val="none"/>
      <w:shd w:val="clear" w:color="auto" w:fill="FFFFFF"/>
    </w:rPr>
  </w:style>
  <w:style w:type="character" w:customStyle="1" w:styleId="194">
    <w:name w:val="正文文本 (18)_"/>
    <w:basedOn w:val="29"/>
    <w:link w:val="195"/>
    <w:autoRedefine/>
    <w:qFormat/>
    <w:uiPriority w:val="0"/>
    <w:rPr>
      <w:rFonts w:ascii="宋体" w:hAnsi="宋体" w:cs="宋体"/>
      <w:spacing w:val="-20"/>
      <w:sz w:val="26"/>
      <w:szCs w:val="26"/>
      <w:shd w:val="clear" w:color="auto" w:fill="FFFFFF"/>
    </w:rPr>
  </w:style>
  <w:style w:type="paragraph" w:customStyle="1" w:styleId="195">
    <w:name w:val="正文文本 (18)"/>
    <w:basedOn w:val="1"/>
    <w:link w:val="194"/>
    <w:autoRedefine/>
    <w:qFormat/>
    <w:uiPriority w:val="0"/>
    <w:pPr>
      <w:shd w:val="clear" w:color="auto" w:fill="FFFFFF"/>
      <w:spacing w:before="180" w:after="240" w:line="0" w:lineRule="atLeast"/>
      <w:jc w:val="left"/>
    </w:pPr>
    <w:rPr>
      <w:rFonts w:ascii="宋体" w:hAnsi="宋体" w:eastAsia="宋体" w:cs="宋体"/>
      <w:spacing w:val="-20"/>
      <w:kern w:val="0"/>
      <w:sz w:val="26"/>
      <w:szCs w:val="26"/>
    </w:rPr>
  </w:style>
  <w:style w:type="character" w:customStyle="1" w:styleId="196">
    <w:name w:val="正文文本 (18) + MS Reference Sans Serif"/>
    <w:basedOn w:val="194"/>
    <w:autoRedefine/>
    <w:qFormat/>
    <w:uiPriority w:val="0"/>
    <w:rPr>
      <w:rFonts w:ascii="MS Reference Sans Serif" w:hAnsi="MS Reference Sans Serif" w:eastAsia="MS Reference Sans Serif" w:cs="MS Reference Sans Serif"/>
      <w:color w:val="000000"/>
      <w:spacing w:val="0"/>
      <w:w w:val="100"/>
      <w:position w:val="0"/>
      <w:sz w:val="21"/>
      <w:szCs w:val="21"/>
      <w:shd w:val="clear" w:color="auto" w:fill="FFFFFF"/>
      <w:lang w:val="en-US"/>
    </w:rPr>
  </w:style>
  <w:style w:type="character" w:customStyle="1" w:styleId="197">
    <w:name w:val="页眉或页脚 + MS Reference Sans Serif"/>
    <w:basedOn w:val="176"/>
    <w:autoRedefine/>
    <w:qFormat/>
    <w:uiPriority w:val="0"/>
    <w:rPr>
      <w:rFonts w:ascii="MS Reference Sans Serif" w:hAnsi="MS Reference Sans Serif" w:eastAsia="MS Reference Sans Serif" w:cs="MS Reference Sans Serif"/>
      <w:color w:val="000000"/>
      <w:spacing w:val="0"/>
      <w:w w:val="100"/>
      <w:position w:val="0"/>
      <w:sz w:val="15"/>
      <w:szCs w:val="15"/>
      <w:u w:val="none"/>
    </w:rPr>
  </w:style>
  <w:style w:type="character" w:customStyle="1" w:styleId="198">
    <w:name w:val="图片标题 (6)_"/>
    <w:basedOn w:val="29"/>
    <w:autoRedefine/>
    <w:qFormat/>
    <w:uiPriority w:val="0"/>
    <w:rPr>
      <w:rFonts w:ascii="宋体" w:hAnsi="宋体" w:eastAsia="宋体" w:cs="宋体"/>
      <w:sz w:val="15"/>
      <w:szCs w:val="15"/>
      <w:u w:val="none"/>
      <w:lang w:val="en-US"/>
    </w:rPr>
  </w:style>
  <w:style w:type="character" w:customStyle="1" w:styleId="199">
    <w:name w:val="图片标题 (7)_"/>
    <w:basedOn w:val="29"/>
    <w:autoRedefine/>
    <w:qFormat/>
    <w:uiPriority w:val="0"/>
    <w:rPr>
      <w:rFonts w:ascii="宋体" w:hAnsi="宋体" w:eastAsia="宋体" w:cs="宋体"/>
      <w:sz w:val="17"/>
      <w:szCs w:val="17"/>
      <w:shd w:val="clear" w:color="auto" w:fill="FFFFFF"/>
    </w:rPr>
  </w:style>
  <w:style w:type="paragraph" w:customStyle="1" w:styleId="200">
    <w:name w:val="图片标题 (7)"/>
    <w:basedOn w:val="1"/>
    <w:link w:val="203"/>
    <w:autoRedefine/>
    <w:qFormat/>
    <w:uiPriority w:val="0"/>
    <w:pPr>
      <w:shd w:val="clear" w:color="auto" w:fill="FFFFFF"/>
      <w:spacing w:line="0" w:lineRule="atLeast"/>
      <w:ind w:hanging="580"/>
      <w:jc w:val="left"/>
    </w:pPr>
    <w:rPr>
      <w:rFonts w:ascii="宋体" w:hAnsi="宋体" w:eastAsia="宋体" w:cs="宋体"/>
      <w:kern w:val="0"/>
      <w:sz w:val="17"/>
      <w:szCs w:val="17"/>
    </w:rPr>
  </w:style>
  <w:style w:type="character" w:customStyle="1" w:styleId="201">
    <w:name w:val="表格标题 (4)_"/>
    <w:basedOn w:val="29"/>
    <w:link w:val="202"/>
    <w:autoRedefine/>
    <w:qFormat/>
    <w:uiPriority w:val="0"/>
    <w:rPr>
      <w:rFonts w:ascii="宋体" w:hAnsi="宋体" w:cs="宋体"/>
      <w:sz w:val="15"/>
      <w:szCs w:val="15"/>
      <w:shd w:val="clear" w:color="auto" w:fill="FFFFFF"/>
    </w:rPr>
  </w:style>
  <w:style w:type="paragraph" w:customStyle="1" w:styleId="202">
    <w:name w:val="表格标题 (4)"/>
    <w:basedOn w:val="1"/>
    <w:link w:val="201"/>
    <w:autoRedefine/>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03">
    <w:name w:val="图片标题 (7) Exact"/>
    <w:basedOn w:val="29"/>
    <w:link w:val="200"/>
    <w:autoRedefine/>
    <w:qFormat/>
    <w:uiPriority w:val="0"/>
    <w:rPr>
      <w:rFonts w:ascii="宋体" w:hAnsi="宋体" w:cs="宋体"/>
      <w:sz w:val="17"/>
      <w:szCs w:val="17"/>
      <w:shd w:val="clear" w:color="auto" w:fill="FFFFFF"/>
    </w:rPr>
  </w:style>
  <w:style w:type="character" w:customStyle="1" w:styleId="204">
    <w:name w:val="图片标题 (7) + 间距 0 pt Exact"/>
    <w:basedOn w:val="199"/>
    <w:autoRedefine/>
    <w:qFormat/>
    <w:uiPriority w:val="0"/>
    <w:rPr>
      <w:rFonts w:ascii="宋体" w:hAnsi="宋体" w:eastAsia="宋体" w:cs="宋体"/>
      <w:color w:val="000000"/>
      <w:spacing w:val="-4"/>
      <w:w w:val="100"/>
      <w:position w:val="0"/>
      <w:sz w:val="16"/>
      <w:szCs w:val="16"/>
      <w:shd w:val="clear" w:color="auto" w:fill="FFFFFF"/>
      <w:lang w:val="en-US"/>
    </w:rPr>
  </w:style>
  <w:style w:type="character" w:customStyle="1" w:styleId="205">
    <w:name w:val="图片标题 + 间距 3 pt Exact"/>
    <w:basedOn w:val="191"/>
    <w:autoRedefine/>
    <w:qFormat/>
    <w:uiPriority w:val="0"/>
    <w:rPr>
      <w:rFonts w:ascii="宋体" w:hAnsi="宋体" w:cs="宋体"/>
      <w:color w:val="000000"/>
      <w:spacing w:val="62"/>
      <w:w w:val="100"/>
      <w:position w:val="0"/>
      <w:sz w:val="14"/>
      <w:szCs w:val="14"/>
      <w:shd w:val="clear" w:color="auto" w:fill="FFFFFF"/>
      <w:lang w:val="zh-TW"/>
    </w:rPr>
  </w:style>
  <w:style w:type="character" w:customStyle="1" w:styleId="206">
    <w:name w:val="图片标题 (14) Exact"/>
    <w:basedOn w:val="29"/>
    <w:link w:val="207"/>
    <w:autoRedefine/>
    <w:qFormat/>
    <w:uiPriority w:val="0"/>
    <w:rPr>
      <w:rFonts w:ascii="Segoe UI" w:hAnsi="Segoe UI" w:eastAsia="Segoe UI" w:cs="Segoe UI"/>
      <w:b/>
      <w:bCs/>
      <w:spacing w:val="-2"/>
      <w:sz w:val="12"/>
      <w:szCs w:val="12"/>
      <w:shd w:val="clear" w:color="auto" w:fill="FFFFFF"/>
    </w:rPr>
  </w:style>
  <w:style w:type="paragraph" w:customStyle="1" w:styleId="207">
    <w:name w:val="图片标题 (14)"/>
    <w:basedOn w:val="1"/>
    <w:link w:val="206"/>
    <w:autoRedefine/>
    <w:qFormat/>
    <w:uiPriority w:val="0"/>
    <w:pPr>
      <w:shd w:val="clear" w:color="auto" w:fill="FFFFFF"/>
      <w:spacing w:line="0" w:lineRule="atLeast"/>
      <w:jc w:val="left"/>
    </w:pPr>
    <w:rPr>
      <w:rFonts w:ascii="Segoe UI" w:hAnsi="Segoe UI" w:eastAsia="Segoe UI" w:cs="Segoe UI"/>
      <w:b/>
      <w:bCs/>
      <w:spacing w:val="-2"/>
      <w:kern w:val="0"/>
      <w:sz w:val="12"/>
      <w:szCs w:val="12"/>
    </w:rPr>
  </w:style>
  <w:style w:type="character" w:customStyle="1" w:styleId="208">
    <w:name w:val="图片标题 (13)_"/>
    <w:basedOn w:val="29"/>
    <w:autoRedefine/>
    <w:qFormat/>
    <w:uiPriority w:val="0"/>
    <w:rPr>
      <w:rFonts w:ascii="宋体" w:hAnsi="宋体" w:eastAsia="宋体" w:cs="宋体"/>
      <w:sz w:val="21"/>
      <w:szCs w:val="21"/>
      <w:u w:val="none"/>
    </w:rPr>
  </w:style>
  <w:style w:type="character" w:customStyle="1" w:styleId="209">
    <w:name w:val="图片标题 (13)"/>
    <w:basedOn w:val="208"/>
    <w:autoRedefine/>
    <w:qFormat/>
    <w:uiPriority w:val="0"/>
    <w:rPr>
      <w:rFonts w:ascii="宋体" w:hAnsi="宋体" w:eastAsia="宋体" w:cs="宋体"/>
      <w:color w:val="000000"/>
      <w:spacing w:val="0"/>
      <w:w w:val="100"/>
      <w:position w:val="0"/>
      <w:sz w:val="21"/>
      <w:szCs w:val="21"/>
      <w:u w:val="none"/>
      <w:lang w:val="zh-TW"/>
    </w:rPr>
  </w:style>
  <w:style w:type="character" w:customStyle="1" w:styleId="210">
    <w:name w:val="图片标题 (6)"/>
    <w:basedOn w:val="198"/>
    <w:autoRedefine/>
    <w:qFormat/>
    <w:uiPriority w:val="0"/>
    <w:rPr>
      <w:rFonts w:ascii="宋体" w:hAnsi="宋体" w:eastAsia="宋体" w:cs="宋体"/>
      <w:color w:val="000000"/>
      <w:spacing w:val="0"/>
      <w:w w:val="100"/>
      <w:position w:val="0"/>
      <w:sz w:val="15"/>
      <w:szCs w:val="15"/>
      <w:u w:val="none"/>
      <w:lang w:val="en-US"/>
    </w:rPr>
  </w:style>
  <w:style w:type="character" w:customStyle="1" w:styleId="211">
    <w:name w:val="图片标题 (15)_"/>
    <w:basedOn w:val="29"/>
    <w:link w:val="212"/>
    <w:autoRedefine/>
    <w:qFormat/>
    <w:uiPriority w:val="0"/>
    <w:rPr>
      <w:rFonts w:ascii="宋体" w:hAnsi="宋体" w:cs="宋体"/>
      <w:sz w:val="15"/>
      <w:szCs w:val="15"/>
      <w:shd w:val="clear" w:color="auto" w:fill="FFFFFF"/>
    </w:rPr>
  </w:style>
  <w:style w:type="paragraph" w:customStyle="1" w:styleId="212">
    <w:name w:val="图片标题 (15)"/>
    <w:basedOn w:val="1"/>
    <w:link w:val="211"/>
    <w:autoRedefine/>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13">
    <w:name w:val="正文文本 (9)_"/>
    <w:basedOn w:val="29"/>
    <w:link w:val="184"/>
    <w:autoRedefine/>
    <w:qFormat/>
    <w:uiPriority w:val="0"/>
    <w:rPr>
      <w:rFonts w:ascii="宋体" w:hAnsi="宋体" w:cs="宋体"/>
      <w:sz w:val="15"/>
      <w:szCs w:val="15"/>
      <w:shd w:val="clear" w:color="auto" w:fill="FFFFFF"/>
    </w:rPr>
  </w:style>
  <w:style w:type="character" w:customStyle="1" w:styleId="214">
    <w:name w:val="图片标题 (15) Exact"/>
    <w:basedOn w:val="29"/>
    <w:autoRedefine/>
    <w:qFormat/>
    <w:uiPriority w:val="0"/>
    <w:rPr>
      <w:rFonts w:ascii="宋体" w:hAnsi="宋体" w:eastAsia="宋体" w:cs="宋体"/>
      <w:spacing w:val="-2"/>
      <w:sz w:val="13"/>
      <w:szCs w:val="13"/>
      <w:u w:val="none"/>
    </w:rPr>
  </w:style>
  <w:style w:type="character" w:customStyle="1" w:styleId="215">
    <w:name w:val="图片标题 (15) + 间距 0 pt Exact"/>
    <w:basedOn w:val="211"/>
    <w:autoRedefine/>
    <w:qFormat/>
    <w:uiPriority w:val="0"/>
    <w:rPr>
      <w:rFonts w:ascii="宋体" w:hAnsi="宋体" w:cs="宋体"/>
      <w:color w:val="000000"/>
      <w:spacing w:val="0"/>
      <w:w w:val="100"/>
      <w:position w:val="0"/>
      <w:sz w:val="13"/>
      <w:szCs w:val="13"/>
      <w:shd w:val="clear" w:color="auto" w:fill="FFFFFF"/>
      <w:lang w:val="en-US"/>
    </w:rPr>
  </w:style>
  <w:style w:type="character" w:customStyle="1" w:styleId="216">
    <w:name w:val="图片标题 (16) Exact"/>
    <w:basedOn w:val="29"/>
    <w:link w:val="217"/>
    <w:autoRedefine/>
    <w:qFormat/>
    <w:uiPriority w:val="0"/>
    <w:rPr>
      <w:rFonts w:ascii="MS Gothic" w:hAnsi="MS Gothic" w:eastAsia="MS Gothic" w:cs="MS Gothic"/>
      <w:spacing w:val="-3"/>
      <w:sz w:val="9"/>
      <w:szCs w:val="9"/>
      <w:shd w:val="clear" w:color="auto" w:fill="FFFFFF"/>
    </w:rPr>
  </w:style>
  <w:style w:type="paragraph" w:customStyle="1" w:styleId="217">
    <w:name w:val="图片标题 (16)"/>
    <w:basedOn w:val="1"/>
    <w:link w:val="216"/>
    <w:autoRedefine/>
    <w:qFormat/>
    <w:uiPriority w:val="0"/>
    <w:pPr>
      <w:shd w:val="clear" w:color="auto" w:fill="FFFFFF"/>
      <w:spacing w:line="0" w:lineRule="atLeast"/>
      <w:jc w:val="left"/>
    </w:pPr>
    <w:rPr>
      <w:rFonts w:ascii="MS Gothic" w:hAnsi="MS Gothic" w:eastAsia="MS Gothic" w:cs="MS Gothic"/>
      <w:spacing w:val="-3"/>
      <w:kern w:val="0"/>
      <w:sz w:val="9"/>
      <w:szCs w:val="9"/>
    </w:rPr>
  </w:style>
  <w:style w:type="character" w:customStyle="1" w:styleId="218">
    <w:name w:val="图片标题 (16) + 间距 0 pt Exact"/>
    <w:basedOn w:val="216"/>
    <w:autoRedefine/>
    <w:qFormat/>
    <w:uiPriority w:val="0"/>
    <w:rPr>
      <w:rFonts w:ascii="MS Gothic" w:hAnsi="MS Gothic" w:eastAsia="MS Gothic" w:cs="MS Gothic"/>
      <w:color w:val="000000"/>
      <w:spacing w:val="0"/>
      <w:w w:val="100"/>
      <w:position w:val="0"/>
      <w:sz w:val="9"/>
      <w:szCs w:val="9"/>
      <w:u w:val="single"/>
      <w:shd w:val="clear" w:color="auto" w:fill="FFFFFF"/>
    </w:rPr>
  </w:style>
  <w:style w:type="character" w:customStyle="1" w:styleId="219">
    <w:name w:val="正文文本3"/>
    <w:basedOn w:val="112"/>
    <w:autoRedefine/>
    <w:qFormat/>
    <w:uiPriority w:val="0"/>
    <w:rPr>
      <w:rFonts w:ascii="宋体" w:hAnsi="宋体" w:cs="宋体"/>
      <w:color w:val="000000"/>
      <w:spacing w:val="0"/>
      <w:w w:val="100"/>
      <w:kern w:val="2"/>
      <w:position w:val="0"/>
      <w:sz w:val="21"/>
      <w:szCs w:val="21"/>
      <w:shd w:val="clear" w:color="auto" w:fill="FFFFFF"/>
      <w:lang w:val="en-US"/>
    </w:rPr>
  </w:style>
  <w:style w:type="character" w:customStyle="1" w:styleId="220">
    <w:name w:val="正文文本4"/>
    <w:basedOn w:val="112"/>
    <w:autoRedefine/>
    <w:qFormat/>
    <w:uiPriority w:val="0"/>
    <w:rPr>
      <w:rFonts w:ascii="宋体" w:hAnsi="宋体" w:cs="宋体"/>
      <w:color w:val="000000"/>
      <w:spacing w:val="0"/>
      <w:w w:val="100"/>
      <w:kern w:val="2"/>
      <w:position w:val="0"/>
      <w:sz w:val="21"/>
      <w:szCs w:val="21"/>
      <w:shd w:val="clear" w:color="auto" w:fill="FFFFFF"/>
      <w:lang w:val="en-US"/>
    </w:rPr>
  </w:style>
  <w:style w:type="character" w:customStyle="1" w:styleId="221">
    <w:name w:val="表格标题 (5)_"/>
    <w:basedOn w:val="29"/>
    <w:link w:val="222"/>
    <w:autoRedefine/>
    <w:qFormat/>
    <w:uiPriority w:val="0"/>
    <w:rPr>
      <w:rFonts w:ascii="Segoe UI" w:hAnsi="Segoe UI" w:eastAsia="Segoe UI" w:cs="Segoe UI"/>
      <w:sz w:val="13"/>
      <w:szCs w:val="13"/>
      <w:shd w:val="clear" w:color="auto" w:fill="FFFFFF"/>
    </w:rPr>
  </w:style>
  <w:style w:type="paragraph" w:customStyle="1" w:styleId="222">
    <w:name w:val="表格标题 (5)"/>
    <w:basedOn w:val="1"/>
    <w:link w:val="221"/>
    <w:autoRedefine/>
    <w:qFormat/>
    <w:uiPriority w:val="0"/>
    <w:pPr>
      <w:shd w:val="clear" w:color="auto" w:fill="FFFFFF"/>
      <w:spacing w:line="0" w:lineRule="atLeast"/>
      <w:jc w:val="left"/>
    </w:pPr>
    <w:rPr>
      <w:rFonts w:ascii="Segoe UI" w:hAnsi="Segoe UI" w:eastAsia="Segoe UI" w:cs="Segoe UI"/>
      <w:kern w:val="0"/>
      <w:sz w:val="13"/>
      <w:szCs w:val="13"/>
    </w:rPr>
  </w:style>
  <w:style w:type="character" w:customStyle="1" w:styleId="223">
    <w:name w:val="正文文本 (23)_"/>
    <w:basedOn w:val="29"/>
    <w:link w:val="224"/>
    <w:autoRedefine/>
    <w:qFormat/>
    <w:uiPriority w:val="0"/>
    <w:rPr>
      <w:rFonts w:ascii="宋体" w:hAnsi="宋体" w:cs="宋体"/>
      <w:sz w:val="13"/>
      <w:szCs w:val="13"/>
      <w:shd w:val="clear" w:color="auto" w:fill="FFFFFF"/>
    </w:rPr>
  </w:style>
  <w:style w:type="paragraph" w:customStyle="1" w:styleId="224">
    <w:name w:val="正文文本 (23)"/>
    <w:basedOn w:val="1"/>
    <w:link w:val="223"/>
    <w:autoRedefine/>
    <w:qFormat/>
    <w:uiPriority w:val="0"/>
    <w:pPr>
      <w:shd w:val="clear" w:color="auto" w:fill="FFFFFF"/>
      <w:spacing w:after="120" w:line="0" w:lineRule="atLeast"/>
      <w:jc w:val="left"/>
    </w:pPr>
    <w:rPr>
      <w:rFonts w:ascii="宋体" w:hAnsi="宋体" w:eastAsia="宋体" w:cs="宋体"/>
      <w:kern w:val="0"/>
      <w:sz w:val="13"/>
      <w:szCs w:val="13"/>
    </w:rPr>
  </w:style>
  <w:style w:type="paragraph" w:customStyle="1" w:styleId="225">
    <w:name w:val="正文文本11"/>
    <w:basedOn w:val="1"/>
    <w:autoRedefine/>
    <w:qFormat/>
    <w:uiPriority w:val="0"/>
    <w:pPr>
      <w:shd w:val="clear" w:color="auto" w:fill="FFFFFF"/>
      <w:spacing w:after="360" w:line="0" w:lineRule="atLeast"/>
      <w:jc w:val="right"/>
    </w:pPr>
    <w:rPr>
      <w:rFonts w:ascii="宋体" w:hAnsi="宋体" w:eastAsia="宋体" w:cs="宋体"/>
      <w:color w:val="000000"/>
      <w:kern w:val="0"/>
      <w:szCs w:val="21"/>
      <w:lang w:val="zh-TW"/>
    </w:rPr>
  </w:style>
  <w:style w:type="character" w:customStyle="1" w:styleId="226">
    <w:name w:val="正文文本 (8)_"/>
    <w:basedOn w:val="29"/>
    <w:link w:val="227"/>
    <w:autoRedefine/>
    <w:qFormat/>
    <w:uiPriority w:val="0"/>
    <w:rPr>
      <w:rFonts w:ascii="MS Gothic" w:hAnsi="MS Gothic" w:eastAsia="MS Gothic" w:cs="MS Gothic"/>
      <w:b/>
      <w:bCs/>
      <w:sz w:val="14"/>
      <w:szCs w:val="14"/>
      <w:shd w:val="clear" w:color="auto" w:fill="FFFFFF"/>
    </w:rPr>
  </w:style>
  <w:style w:type="paragraph" w:customStyle="1" w:styleId="227">
    <w:name w:val="正文文本 (8)"/>
    <w:basedOn w:val="1"/>
    <w:link w:val="226"/>
    <w:autoRedefine/>
    <w:qFormat/>
    <w:uiPriority w:val="0"/>
    <w:pPr>
      <w:shd w:val="clear" w:color="auto" w:fill="FFFFFF"/>
      <w:spacing w:before="240" w:after="240" w:line="0" w:lineRule="atLeast"/>
      <w:jc w:val="left"/>
    </w:pPr>
    <w:rPr>
      <w:rFonts w:ascii="MS Gothic" w:hAnsi="MS Gothic" w:eastAsia="MS Gothic" w:cs="MS Gothic"/>
      <w:b/>
      <w:bCs/>
      <w:kern w:val="0"/>
      <w:sz w:val="14"/>
      <w:szCs w:val="14"/>
    </w:rPr>
  </w:style>
  <w:style w:type="character" w:customStyle="1" w:styleId="228">
    <w:name w:val="正文文本 (13) Exact"/>
    <w:basedOn w:val="29"/>
    <w:autoRedefine/>
    <w:qFormat/>
    <w:uiPriority w:val="0"/>
    <w:rPr>
      <w:rFonts w:ascii="宋体" w:hAnsi="宋体" w:eastAsia="宋体" w:cs="宋体"/>
      <w:spacing w:val="1"/>
      <w:sz w:val="19"/>
      <w:szCs w:val="19"/>
      <w:u w:val="none"/>
      <w:lang w:val="en-US"/>
    </w:rPr>
  </w:style>
  <w:style w:type="character" w:customStyle="1" w:styleId="229">
    <w:name w:val="正文文本 (8) Exact"/>
    <w:basedOn w:val="29"/>
    <w:autoRedefine/>
    <w:qFormat/>
    <w:uiPriority w:val="0"/>
    <w:rPr>
      <w:rFonts w:ascii="MS Gothic" w:hAnsi="MS Gothic" w:eastAsia="MS Gothic" w:cs="MS Gothic"/>
      <w:b/>
      <w:bCs/>
      <w:spacing w:val="2"/>
      <w:sz w:val="11"/>
      <w:szCs w:val="11"/>
      <w:u w:val="none"/>
      <w:lang w:val="en-US"/>
    </w:rPr>
  </w:style>
  <w:style w:type="character" w:customStyle="1" w:styleId="230">
    <w:name w:val="图片标题 (4) Exact"/>
    <w:basedOn w:val="29"/>
    <w:link w:val="231"/>
    <w:autoRedefine/>
    <w:qFormat/>
    <w:uiPriority w:val="0"/>
    <w:rPr>
      <w:rFonts w:ascii="MS Gothic" w:hAnsi="MS Gothic" w:eastAsia="MS Gothic" w:cs="MS Gothic"/>
      <w:spacing w:val="-32"/>
      <w:shd w:val="clear" w:color="auto" w:fill="FFFFFF"/>
    </w:rPr>
  </w:style>
  <w:style w:type="paragraph" w:customStyle="1" w:styleId="231">
    <w:name w:val="图片标题 (4)"/>
    <w:basedOn w:val="1"/>
    <w:link w:val="230"/>
    <w:autoRedefine/>
    <w:qFormat/>
    <w:uiPriority w:val="0"/>
    <w:pPr>
      <w:shd w:val="clear" w:color="auto" w:fill="FFFFFF"/>
      <w:spacing w:line="0" w:lineRule="atLeast"/>
      <w:jc w:val="left"/>
    </w:pPr>
    <w:rPr>
      <w:rFonts w:ascii="MS Gothic" w:hAnsi="MS Gothic" w:eastAsia="MS Gothic" w:cs="MS Gothic"/>
      <w:spacing w:val="-32"/>
      <w:kern w:val="0"/>
      <w:sz w:val="20"/>
      <w:szCs w:val="20"/>
    </w:rPr>
  </w:style>
  <w:style w:type="character" w:customStyle="1" w:styleId="232">
    <w:name w:val="正文文本 (8) + SimSun"/>
    <w:basedOn w:val="226"/>
    <w:autoRedefine/>
    <w:qFormat/>
    <w:uiPriority w:val="0"/>
    <w:rPr>
      <w:rFonts w:ascii="宋体" w:hAnsi="宋体" w:eastAsia="宋体" w:cs="宋体"/>
      <w:color w:val="000000"/>
      <w:spacing w:val="0"/>
      <w:w w:val="100"/>
      <w:position w:val="0"/>
      <w:sz w:val="16"/>
      <w:szCs w:val="16"/>
      <w:shd w:val="clear" w:color="auto" w:fill="FFFFFF"/>
      <w:lang w:val="zh-TW"/>
    </w:rPr>
  </w:style>
  <w:style w:type="character" w:customStyle="1" w:styleId="233">
    <w:name w:val="图片标题 (6) Exact"/>
    <w:basedOn w:val="29"/>
    <w:autoRedefine/>
    <w:qFormat/>
    <w:uiPriority w:val="0"/>
    <w:rPr>
      <w:rFonts w:ascii="宋体" w:hAnsi="宋体" w:eastAsia="宋体" w:cs="宋体"/>
      <w:sz w:val="13"/>
      <w:szCs w:val="13"/>
      <w:u w:val="none"/>
      <w:lang w:val="en-US"/>
    </w:rPr>
  </w:style>
  <w:style w:type="character" w:customStyle="1" w:styleId="234">
    <w:name w:val="正文文本 + 间距 0 pt Exact"/>
    <w:basedOn w:val="112"/>
    <w:autoRedefine/>
    <w:qFormat/>
    <w:uiPriority w:val="0"/>
    <w:rPr>
      <w:rFonts w:ascii="宋体" w:hAnsi="宋体" w:cs="宋体"/>
      <w:color w:val="000000"/>
      <w:spacing w:val="1"/>
      <w:w w:val="100"/>
      <w:kern w:val="2"/>
      <w:position w:val="0"/>
      <w:sz w:val="19"/>
      <w:szCs w:val="19"/>
      <w:shd w:val="clear" w:color="auto" w:fill="FFFFFF"/>
      <w:lang w:val="en-US"/>
    </w:rPr>
  </w:style>
  <w:style w:type="character" w:customStyle="1" w:styleId="235">
    <w:name w:val="图片标题 (13) Exact"/>
    <w:basedOn w:val="29"/>
    <w:autoRedefine/>
    <w:qFormat/>
    <w:uiPriority w:val="0"/>
    <w:rPr>
      <w:rFonts w:ascii="宋体" w:hAnsi="宋体" w:eastAsia="宋体" w:cs="宋体"/>
      <w:spacing w:val="1"/>
      <w:sz w:val="19"/>
      <w:szCs w:val="19"/>
      <w:u w:val="none"/>
      <w:lang w:val="en-US"/>
    </w:rPr>
  </w:style>
  <w:style w:type="character" w:customStyle="1" w:styleId="236">
    <w:name w:val="正文文本 (24) Exact"/>
    <w:basedOn w:val="29"/>
    <w:link w:val="237"/>
    <w:autoRedefine/>
    <w:qFormat/>
    <w:uiPriority w:val="0"/>
    <w:rPr>
      <w:rFonts w:ascii="MS Gothic" w:hAnsi="MS Gothic" w:eastAsia="MS Gothic" w:cs="MS Gothic"/>
      <w:spacing w:val="-24"/>
      <w:sz w:val="12"/>
      <w:szCs w:val="12"/>
      <w:shd w:val="clear" w:color="auto" w:fill="FFFFFF"/>
    </w:rPr>
  </w:style>
  <w:style w:type="paragraph" w:customStyle="1" w:styleId="237">
    <w:name w:val="正文文本 (24)"/>
    <w:basedOn w:val="1"/>
    <w:link w:val="236"/>
    <w:autoRedefine/>
    <w:qFormat/>
    <w:uiPriority w:val="0"/>
    <w:pPr>
      <w:shd w:val="clear" w:color="auto" w:fill="FFFFFF"/>
      <w:spacing w:line="194" w:lineRule="exact"/>
    </w:pPr>
    <w:rPr>
      <w:rFonts w:ascii="MS Gothic" w:hAnsi="MS Gothic" w:eastAsia="MS Gothic" w:cs="MS Gothic"/>
      <w:spacing w:val="-24"/>
      <w:kern w:val="0"/>
      <w:sz w:val="12"/>
      <w:szCs w:val="12"/>
    </w:rPr>
  </w:style>
  <w:style w:type="character" w:customStyle="1" w:styleId="238">
    <w:name w:val="图片标题 (17) Exact"/>
    <w:basedOn w:val="29"/>
    <w:link w:val="239"/>
    <w:autoRedefine/>
    <w:qFormat/>
    <w:uiPriority w:val="0"/>
    <w:rPr>
      <w:rFonts w:ascii="MS Gothic" w:hAnsi="MS Gothic" w:eastAsia="MS Gothic" w:cs="MS Gothic"/>
      <w:spacing w:val="-16"/>
      <w:sz w:val="8"/>
      <w:szCs w:val="8"/>
      <w:shd w:val="clear" w:color="auto" w:fill="FFFFFF"/>
    </w:rPr>
  </w:style>
  <w:style w:type="paragraph" w:customStyle="1" w:styleId="239">
    <w:name w:val="图片标题 (17)"/>
    <w:basedOn w:val="1"/>
    <w:link w:val="238"/>
    <w:autoRedefine/>
    <w:qFormat/>
    <w:uiPriority w:val="0"/>
    <w:pPr>
      <w:shd w:val="clear" w:color="auto" w:fill="FFFFFF"/>
      <w:spacing w:line="0" w:lineRule="atLeast"/>
      <w:jc w:val="left"/>
    </w:pPr>
    <w:rPr>
      <w:rFonts w:ascii="MS Gothic" w:hAnsi="MS Gothic" w:eastAsia="MS Gothic" w:cs="MS Gothic"/>
      <w:spacing w:val="-16"/>
      <w:kern w:val="0"/>
      <w:sz w:val="8"/>
      <w:szCs w:val="8"/>
    </w:rPr>
  </w:style>
  <w:style w:type="character" w:customStyle="1" w:styleId="240">
    <w:name w:val="正文文本 (25) Exact"/>
    <w:basedOn w:val="29"/>
    <w:autoRedefine/>
    <w:qFormat/>
    <w:uiPriority w:val="0"/>
    <w:rPr>
      <w:rFonts w:ascii="宋体" w:hAnsi="宋体" w:eastAsia="宋体" w:cs="宋体"/>
      <w:spacing w:val="-8"/>
      <w:sz w:val="14"/>
      <w:szCs w:val="14"/>
      <w:u w:val="none"/>
    </w:rPr>
  </w:style>
  <w:style w:type="character" w:customStyle="1" w:styleId="241">
    <w:name w:val="正文文本 (26)_"/>
    <w:basedOn w:val="29"/>
    <w:link w:val="242"/>
    <w:autoRedefine/>
    <w:qFormat/>
    <w:uiPriority w:val="0"/>
    <w:rPr>
      <w:rFonts w:ascii="宋体" w:hAnsi="宋体" w:cs="宋体"/>
      <w:sz w:val="15"/>
      <w:szCs w:val="15"/>
      <w:shd w:val="clear" w:color="auto" w:fill="FFFFFF"/>
    </w:rPr>
  </w:style>
  <w:style w:type="paragraph" w:customStyle="1" w:styleId="242">
    <w:name w:val="正文文本 (26)"/>
    <w:basedOn w:val="1"/>
    <w:link w:val="241"/>
    <w:autoRedefine/>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43">
    <w:name w:val="正文文本 (9) + 间距 0 pt Exact"/>
    <w:basedOn w:val="213"/>
    <w:autoRedefine/>
    <w:qFormat/>
    <w:uiPriority w:val="0"/>
    <w:rPr>
      <w:rFonts w:ascii="宋体" w:hAnsi="宋体" w:cs="宋体"/>
      <w:color w:val="000000"/>
      <w:spacing w:val="-2"/>
      <w:w w:val="100"/>
      <w:position w:val="0"/>
      <w:sz w:val="13"/>
      <w:szCs w:val="13"/>
      <w:u w:val="none"/>
      <w:shd w:val="clear" w:color="auto" w:fill="FFFFFF"/>
      <w:lang w:val="zh-TW"/>
    </w:rPr>
  </w:style>
  <w:style w:type="character" w:customStyle="1" w:styleId="244">
    <w:name w:val="图片标题 (17) + 6 pt"/>
    <w:basedOn w:val="238"/>
    <w:autoRedefine/>
    <w:qFormat/>
    <w:uiPriority w:val="0"/>
    <w:rPr>
      <w:rFonts w:ascii="MS Gothic" w:hAnsi="MS Gothic" w:eastAsia="MS Gothic" w:cs="MS Gothic"/>
      <w:color w:val="000000"/>
      <w:spacing w:val="-24"/>
      <w:w w:val="100"/>
      <w:position w:val="0"/>
      <w:sz w:val="12"/>
      <w:szCs w:val="12"/>
      <w:shd w:val="clear" w:color="auto" w:fill="FFFFFF"/>
    </w:rPr>
  </w:style>
  <w:style w:type="character" w:customStyle="1" w:styleId="245">
    <w:name w:val="图片标题 (18) Exact"/>
    <w:basedOn w:val="29"/>
    <w:link w:val="246"/>
    <w:autoRedefine/>
    <w:qFormat/>
    <w:uiPriority w:val="0"/>
    <w:rPr>
      <w:rFonts w:ascii="Segoe UI" w:hAnsi="Segoe UI" w:eastAsia="Segoe UI" w:cs="Segoe UI"/>
      <w:spacing w:val="-2"/>
      <w:sz w:val="12"/>
      <w:szCs w:val="12"/>
      <w:shd w:val="clear" w:color="auto" w:fill="FFFFFF"/>
    </w:rPr>
  </w:style>
  <w:style w:type="paragraph" w:customStyle="1" w:styleId="246">
    <w:name w:val="图片标题 (18)"/>
    <w:basedOn w:val="1"/>
    <w:link w:val="245"/>
    <w:autoRedefine/>
    <w:qFormat/>
    <w:uiPriority w:val="0"/>
    <w:pPr>
      <w:shd w:val="clear" w:color="auto" w:fill="FFFFFF"/>
      <w:spacing w:line="0" w:lineRule="atLeast"/>
      <w:jc w:val="left"/>
    </w:pPr>
    <w:rPr>
      <w:rFonts w:ascii="Segoe UI" w:hAnsi="Segoe UI" w:eastAsia="Segoe UI" w:cs="Segoe UI"/>
      <w:spacing w:val="-2"/>
      <w:kern w:val="0"/>
      <w:sz w:val="12"/>
      <w:szCs w:val="12"/>
    </w:rPr>
  </w:style>
  <w:style w:type="character" w:customStyle="1" w:styleId="247">
    <w:name w:val="图片标题 (19) Exact"/>
    <w:basedOn w:val="29"/>
    <w:link w:val="248"/>
    <w:autoRedefine/>
    <w:qFormat/>
    <w:uiPriority w:val="0"/>
    <w:rPr>
      <w:rFonts w:ascii="宋体" w:hAnsi="宋体" w:cs="宋体"/>
      <w:spacing w:val="-8"/>
      <w:sz w:val="14"/>
      <w:szCs w:val="14"/>
      <w:shd w:val="clear" w:color="auto" w:fill="FFFFFF"/>
    </w:rPr>
  </w:style>
  <w:style w:type="paragraph" w:customStyle="1" w:styleId="248">
    <w:name w:val="图片标题 (19)"/>
    <w:basedOn w:val="1"/>
    <w:link w:val="247"/>
    <w:autoRedefine/>
    <w:qFormat/>
    <w:uiPriority w:val="0"/>
    <w:pPr>
      <w:shd w:val="clear" w:color="auto" w:fill="FFFFFF"/>
      <w:spacing w:line="0" w:lineRule="atLeast"/>
      <w:jc w:val="left"/>
    </w:pPr>
    <w:rPr>
      <w:rFonts w:ascii="宋体" w:hAnsi="宋体" w:eastAsia="宋体" w:cs="宋体"/>
      <w:spacing w:val="-8"/>
      <w:kern w:val="0"/>
      <w:sz w:val="14"/>
      <w:szCs w:val="14"/>
    </w:rPr>
  </w:style>
  <w:style w:type="character" w:customStyle="1" w:styleId="249">
    <w:name w:val="图片标题 (6) + 间距 0 pt Exact"/>
    <w:basedOn w:val="198"/>
    <w:autoRedefine/>
    <w:qFormat/>
    <w:uiPriority w:val="0"/>
    <w:rPr>
      <w:rFonts w:ascii="宋体" w:hAnsi="宋体" w:eastAsia="宋体" w:cs="宋体"/>
      <w:color w:val="000000"/>
      <w:spacing w:val="-2"/>
      <w:w w:val="100"/>
      <w:position w:val="0"/>
      <w:sz w:val="13"/>
      <w:szCs w:val="13"/>
      <w:u w:val="none"/>
      <w:lang w:val="zh-TW"/>
    </w:rPr>
  </w:style>
  <w:style w:type="character" w:customStyle="1" w:styleId="250">
    <w:name w:val="正文文本 (19) Exact"/>
    <w:basedOn w:val="29"/>
    <w:autoRedefine/>
    <w:qFormat/>
    <w:uiPriority w:val="0"/>
    <w:rPr>
      <w:rFonts w:ascii="Arial" w:hAnsi="Arial" w:eastAsia="Arial" w:cs="Arial"/>
      <w:b/>
      <w:bCs/>
      <w:i/>
      <w:iCs/>
      <w:spacing w:val="10"/>
      <w:sz w:val="12"/>
      <w:szCs w:val="12"/>
      <w:u w:val="none"/>
    </w:rPr>
  </w:style>
  <w:style w:type="character" w:customStyle="1" w:styleId="251">
    <w:name w:val="正文文本 (27) Exact"/>
    <w:basedOn w:val="29"/>
    <w:link w:val="252"/>
    <w:autoRedefine/>
    <w:qFormat/>
    <w:uiPriority w:val="0"/>
    <w:rPr>
      <w:rFonts w:ascii="Segoe UI" w:hAnsi="Segoe UI" w:eastAsia="Segoe UI" w:cs="Segoe UI"/>
      <w:b/>
      <w:bCs/>
      <w:sz w:val="19"/>
      <w:szCs w:val="19"/>
      <w:shd w:val="clear" w:color="auto" w:fill="FFFFFF"/>
    </w:rPr>
  </w:style>
  <w:style w:type="paragraph" w:customStyle="1" w:styleId="252">
    <w:name w:val="正文文本 (27)"/>
    <w:basedOn w:val="1"/>
    <w:link w:val="251"/>
    <w:autoRedefine/>
    <w:qFormat/>
    <w:uiPriority w:val="0"/>
    <w:pPr>
      <w:shd w:val="clear" w:color="auto" w:fill="FFFFFF"/>
      <w:spacing w:line="0" w:lineRule="atLeast"/>
      <w:jc w:val="left"/>
    </w:pPr>
    <w:rPr>
      <w:rFonts w:ascii="Segoe UI" w:hAnsi="Segoe UI" w:eastAsia="Segoe UI" w:cs="Segoe UI"/>
      <w:b/>
      <w:bCs/>
      <w:kern w:val="0"/>
      <w:sz w:val="19"/>
      <w:szCs w:val="19"/>
    </w:rPr>
  </w:style>
  <w:style w:type="character" w:customStyle="1" w:styleId="253">
    <w:name w:val="正文文本 (13)_"/>
    <w:basedOn w:val="29"/>
    <w:link w:val="254"/>
    <w:autoRedefine/>
    <w:qFormat/>
    <w:uiPriority w:val="0"/>
    <w:rPr>
      <w:rFonts w:ascii="宋体" w:hAnsi="宋体" w:cs="宋体"/>
      <w:sz w:val="21"/>
      <w:szCs w:val="21"/>
      <w:shd w:val="clear" w:color="auto" w:fill="FFFFFF"/>
    </w:rPr>
  </w:style>
  <w:style w:type="paragraph" w:customStyle="1" w:styleId="254">
    <w:name w:val="正文文本 (13)"/>
    <w:basedOn w:val="1"/>
    <w:link w:val="253"/>
    <w:autoRedefine/>
    <w:qFormat/>
    <w:uiPriority w:val="0"/>
    <w:pPr>
      <w:shd w:val="clear" w:color="auto" w:fill="FFFFFF"/>
      <w:spacing w:line="0" w:lineRule="atLeast"/>
      <w:jc w:val="right"/>
    </w:pPr>
    <w:rPr>
      <w:rFonts w:ascii="宋体" w:hAnsi="宋体" w:eastAsia="宋体" w:cs="宋体"/>
      <w:kern w:val="0"/>
      <w:szCs w:val="21"/>
    </w:rPr>
  </w:style>
  <w:style w:type="character" w:customStyle="1" w:styleId="255">
    <w:name w:val="图片标题 (2)_"/>
    <w:basedOn w:val="29"/>
    <w:link w:val="256"/>
    <w:autoRedefine/>
    <w:qFormat/>
    <w:uiPriority w:val="0"/>
    <w:rPr>
      <w:rFonts w:ascii="MS Gothic" w:hAnsi="MS Gothic" w:eastAsia="MS Gothic" w:cs="MS Gothic"/>
      <w:b/>
      <w:bCs/>
      <w:sz w:val="14"/>
      <w:szCs w:val="14"/>
      <w:shd w:val="clear" w:color="auto" w:fill="FFFFFF"/>
    </w:rPr>
  </w:style>
  <w:style w:type="paragraph" w:customStyle="1" w:styleId="256">
    <w:name w:val="图片标题 (2)"/>
    <w:basedOn w:val="1"/>
    <w:link w:val="255"/>
    <w:autoRedefine/>
    <w:qFormat/>
    <w:uiPriority w:val="0"/>
    <w:pPr>
      <w:shd w:val="clear" w:color="auto" w:fill="FFFFFF"/>
      <w:spacing w:line="0" w:lineRule="atLeast"/>
      <w:jc w:val="left"/>
    </w:pPr>
    <w:rPr>
      <w:rFonts w:ascii="MS Gothic" w:hAnsi="MS Gothic" w:eastAsia="MS Gothic" w:cs="MS Gothic"/>
      <w:b/>
      <w:bCs/>
      <w:kern w:val="0"/>
      <w:sz w:val="14"/>
      <w:szCs w:val="14"/>
    </w:rPr>
  </w:style>
  <w:style w:type="character" w:customStyle="1" w:styleId="257">
    <w:name w:val="图片标题 (5)_"/>
    <w:basedOn w:val="29"/>
    <w:link w:val="258"/>
    <w:autoRedefine/>
    <w:qFormat/>
    <w:uiPriority w:val="0"/>
    <w:rPr>
      <w:rFonts w:ascii="MS Gothic" w:hAnsi="MS Gothic" w:eastAsia="MS Gothic" w:cs="MS Gothic"/>
      <w:sz w:val="14"/>
      <w:szCs w:val="14"/>
      <w:shd w:val="clear" w:color="auto" w:fill="FFFFFF"/>
    </w:rPr>
  </w:style>
  <w:style w:type="paragraph" w:customStyle="1" w:styleId="258">
    <w:name w:val="图片标题 (5)"/>
    <w:basedOn w:val="1"/>
    <w:link w:val="257"/>
    <w:autoRedefine/>
    <w:qFormat/>
    <w:uiPriority w:val="0"/>
    <w:pPr>
      <w:shd w:val="clear" w:color="auto" w:fill="FFFFFF"/>
      <w:spacing w:line="0" w:lineRule="atLeast"/>
      <w:jc w:val="left"/>
    </w:pPr>
    <w:rPr>
      <w:rFonts w:ascii="MS Gothic" w:hAnsi="MS Gothic" w:eastAsia="MS Gothic" w:cs="MS Gothic"/>
      <w:kern w:val="0"/>
      <w:sz w:val="14"/>
      <w:szCs w:val="14"/>
    </w:rPr>
  </w:style>
  <w:style w:type="character" w:customStyle="1" w:styleId="259">
    <w:name w:val="正文文本 (20) Exact"/>
    <w:basedOn w:val="29"/>
    <w:link w:val="260"/>
    <w:autoRedefine/>
    <w:qFormat/>
    <w:uiPriority w:val="0"/>
    <w:rPr>
      <w:rFonts w:ascii="MS Gothic" w:hAnsi="MS Gothic" w:eastAsia="MS Gothic" w:cs="MS Gothic"/>
      <w:spacing w:val="-102"/>
      <w:sz w:val="51"/>
      <w:szCs w:val="51"/>
      <w:shd w:val="clear" w:color="auto" w:fill="FFFFFF"/>
    </w:rPr>
  </w:style>
  <w:style w:type="paragraph" w:customStyle="1" w:styleId="260">
    <w:name w:val="正文文本 (20)"/>
    <w:basedOn w:val="1"/>
    <w:link w:val="259"/>
    <w:autoRedefine/>
    <w:qFormat/>
    <w:uiPriority w:val="0"/>
    <w:pPr>
      <w:shd w:val="clear" w:color="auto" w:fill="FFFFFF"/>
      <w:spacing w:line="0" w:lineRule="atLeast"/>
      <w:jc w:val="left"/>
    </w:pPr>
    <w:rPr>
      <w:rFonts w:ascii="MS Gothic" w:hAnsi="MS Gothic" w:eastAsia="MS Gothic" w:cs="MS Gothic"/>
      <w:spacing w:val="-102"/>
      <w:kern w:val="0"/>
      <w:sz w:val="51"/>
      <w:szCs w:val="51"/>
    </w:rPr>
  </w:style>
  <w:style w:type="character" w:customStyle="1" w:styleId="261">
    <w:name w:val="正文文本 (21) Exact"/>
    <w:basedOn w:val="29"/>
    <w:link w:val="262"/>
    <w:autoRedefine/>
    <w:qFormat/>
    <w:uiPriority w:val="0"/>
    <w:rPr>
      <w:rFonts w:ascii="MS Gothic" w:hAnsi="MS Gothic" w:eastAsia="MS Gothic" w:cs="MS Gothic"/>
      <w:i/>
      <w:iCs/>
      <w:spacing w:val="-102"/>
      <w:sz w:val="51"/>
      <w:szCs w:val="51"/>
      <w:shd w:val="clear" w:color="auto" w:fill="FFFFFF"/>
    </w:rPr>
  </w:style>
  <w:style w:type="paragraph" w:customStyle="1" w:styleId="262">
    <w:name w:val="正文文本 (21)"/>
    <w:basedOn w:val="1"/>
    <w:link w:val="261"/>
    <w:autoRedefine/>
    <w:qFormat/>
    <w:uiPriority w:val="0"/>
    <w:pPr>
      <w:shd w:val="clear" w:color="auto" w:fill="FFFFFF"/>
      <w:spacing w:line="0" w:lineRule="atLeast"/>
      <w:jc w:val="left"/>
    </w:pPr>
    <w:rPr>
      <w:rFonts w:ascii="MS Gothic" w:hAnsi="MS Gothic" w:eastAsia="MS Gothic" w:cs="MS Gothic"/>
      <w:i/>
      <w:iCs/>
      <w:spacing w:val="-102"/>
      <w:kern w:val="0"/>
      <w:sz w:val="51"/>
      <w:szCs w:val="51"/>
    </w:rPr>
  </w:style>
  <w:style w:type="character" w:customStyle="1" w:styleId="263">
    <w:name w:val="正文文本2"/>
    <w:basedOn w:val="112"/>
    <w:autoRedefine/>
    <w:qFormat/>
    <w:uiPriority w:val="0"/>
    <w:rPr>
      <w:rFonts w:ascii="宋体" w:hAnsi="宋体" w:cs="宋体"/>
      <w:strike/>
      <w:color w:val="000000"/>
      <w:spacing w:val="0"/>
      <w:w w:val="100"/>
      <w:kern w:val="2"/>
      <w:position w:val="0"/>
      <w:sz w:val="21"/>
      <w:szCs w:val="21"/>
      <w:shd w:val="clear" w:color="auto" w:fill="FFFFFF"/>
      <w:lang w:val="zh-TW"/>
    </w:rPr>
  </w:style>
  <w:style w:type="character" w:customStyle="1" w:styleId="264">
    <w:name w:val="图片标题 (8) Exact"/>
    <w:basedOn w:val="29"/>
    <w:link w:val="265"/>
    <w:autoRedefine/>
    <w:qFormat/>
    <w:uiPriority w:val="0"/>
    <w:rPr>
      <w:rFonts w:ascii="Sylfaen" w:hAnsi="Sylfaen" w:eastAsia="Sylfaen" w:cs="Sylfaen"/>
      <w:spacing w:val="14"/>
      <w:sz w:val="15"/>
      <w:szCs w:val="15"/>
      <w:shd w:val="clear" w:color="auto" w:fill="FFFFFF"/>
    </w:rPr>
  </w:style>
  <w:style w:type="paragraph" w:customStyle="1" w:styleId="265">
    <w:name w:val="图片标题 (8)"/>
    <w:basedOn w:val="1"/>
    <w:link w:val="264"/>
    <w:autoRedefine/>
    <w:qFormat/>
    <w:uiPriority w:val="0"/>
    <w:pPr>
      <w:shd w:val="clear" w:color="auto" w:fill="FFFFFF"/>
      <w:spacing w:before="60" w:line="0" w:lineRule="atLeast"/>
      <w:jc w:val="left"/>
    </w:pPr>
    <w:rPr>
      <w:rFonts w:ascii="Sylfaen" w:hAnsi="Sylfaen" w:eastAsia="Sylfaen" w:cs="Sylfaen"/>
      <w:spacing w:val="14"/>
      <w:kern w:val="0"/>
      <w:sz w:val="15"/>
      <w:szCs w:val="15"/>
    </w:rPr>
  </w:style>
  <w:style w:type="character" w:customStyle="1" w:styleId="266">
    <w:name w:val="正文文本 (9) + 小型大写 Exact"/>
    <w:basedOn w:val="213"/>
    <w:autoRedefine/>
    <w:qFormat/>
    <w:uiPriority w:val="0"/>
    <w:rPr>
      <w:rFonts w:ascii="宋体" w:hAnsi="宋体" w:cs="宋体"/>
      <w:smallCaps/>
      <w:sz w:val="13"/>
      <w:szCs w:val="13"/>
      <w:u w:val="none"/>
      <w:shd w:val="clear" w:color="auto" w:fill="FFFFFF"/>
      <w:lang w:val="en-US"/>
    </w:rPr>
  </w:style>
  <w:style w:type="character" w:customStyle="1" w:styleId="267">
    <w:name w:val="正文文本 + Segoe UI"/>
    <w:basedOn w:val="112"/>
    <w:autoRedefine/>
    <w:qFormat/>
    <w:uiPriority w:val="0"/>
    <w:rPr>
      <w:rFonts w:ascii="Segoe UI" w:hAnsi="Segoe UI" w:eastAsia="Segoe UI" w:cs="Segoe UI"/>
      <w:color w:val="000000"/>
      <w:spacing w:val="-30"/>
      <w:w w:val="100"/>
      <w:kern w:val="2"/>
      <w:position w:val="0"/>
      <w:sz w:val="92"/>
      <w:szCs w:val="92"/>
      <w:shd w:val="clear" w:color="auto" w:fill="FFFFFF"/>
    </w:rPr>
  </w:style>
  <w:style w:type="character" w:customStyle="1" w:styleId="268">
    <w:name w:val="正文文本 + Times New Roman2"/>
    <w:basedOn w:val="45"/>
    <w:autoRedefine/>
    <w:qFormat/>
    <w:uiPriority w:val="99"/>
    <w:rPr>
      <w:rFonts w:ascii="Times New Roman" w:hAnsi="Times New Roman" w:eastAsia="Arial Unicode MS" w:cs="Times New Roman"/>
      <w:spacing w:val="10"/>
      <w:kern w:val="0"/>
      <w:sz w:val="21"/>
      <w:szCs w:val="21"/>
      <w:u w:val="none"/>
      <w:lang w:val="en-US" w:eastAsia="en-US"/>
    </w:rPr>
  </w:style>
  <w:style w:type="character" w:customStyle="1" w:styleId="269">
    <w:name w:val="标题 #3 (2)_"/>
    <w:basedOn w:val="29"/>
    <w:link w:val="270"/>
    <w:autoRedefine/>
    <w:qFormat/>
    <w:uiPriority w:val="99"/>
    <w:rPr>
      <w:rFonts w:ascii="黑体" w:eastAsia="黑体" w:cs="黑体"/>
      <w:sz w:val="17"/>
      <w:szCs w:val="17"/>
      <w:shd w:val="clear" w:color="auto" w:fill="FFFFFF"/>
    </w:rPr>
  </w:style>
  <w:style w:type="paragraph" w:customStyle="1" w:styleId="270">
    <w:name w:val="标题 #3 (2)"/>
    <w:basedOn w:val="1"/>
    <w:link w:val="269"/>
    <w:qFormat/>
    <w:uiPriority w:val="99"/>
    <w:pPr>
      <w:shd w:val="clear" w:color="auto" w:fill="FFFFFF"/>
      <w:spacing w:line="240" w:lineRule="atLeast"/>
      <w:jc w:val="left"/>
      <w:outlineLvl w:val="2"/>
    </w:pPr>
    <w:rPr>
      <w:rFonts w:ascii="黑体" w:hAnsi="Times New Roman" w:eastAsia="黑体" w:cs="黑体"/>
      <w:kern w:val="0"/>
      <w:sz w:val="17"/>
      <w:szCs w:val="17"/>
    </w:rPr>
  </w:style>
  <w:style w:type="character" w:customStyle="1" w:styleId="271">
    <w:name w:val="标题 #3 (2) + SimSun"/>
    <w:basedOn w:val="269"/>
    <w:qFormat/>
    <w:uiPriority w:val="99"/>
    <w:rPr>
      <w:rFonts w:ascii="宋体" w:eastAsia="宋体" w:cs="宋体"/>
      <w:sz w:val="16"/>
      <w:szCs w:val="16"/>
      <w:shd w:val="clear" w:color="auto" w:fill="FFFFFF"/>
      <w:lang w:val="en-US" w:eastAsia="en-US"/>
    </w:rPr>
  </w:style>
  <w:style w:type="character" w:customStyle="1" w:styleId="272">
    <w:name w:val="正文文本 + SimSun5"/>
    <w:basedOn w:val="45"/>
    <w:qFormat/>
    <w:uiPriority w:val="99"/>
    <w:rPr>
      <w:rFonts w:ascii="宋体" w:hAnsi="宋体" w:eastAsia="宋体" w:cs="宋体"/>
      <w:kern w:val="0"/>
      <w:sz w:val="16"/>
      <w:szCs w:val="16"/>
      <w:u w:val="none"/>
      <w:lang w:val="en-US" w:eastAsia="en-US"/>
    </w:rPr>
  </w:style>
  <w:style w:type="character" w:customStyle="1" w:styleId="273">
    <w:name w:val="页眉或页脚 + SimSun"/>
    <w:basedOn w:val="176"/>
    <w:unhideWhenUsed/>
    <w:qFormat/>
    <w:uiPriority w:val="99"/>
    <w:rPr>
      <w:rFonts w:hint="default" w:ascii="宋体" w:hAnsi="宋体" w:eastAsia="宋体" w:cs="宋体"/>
      <w:spacing w:val="0"/>
      <w:sz w:val="20"/>
      <w:szCs w:val="21"/>
      <w:u w:val="none"/>
      <w:lang w:val="en-US" w:eastAsia="en-US"/>
    </w:rPr>
  </w:style>
  <w:style w:type="character" w:customStyle="1" w:styleId="274">
    <w:name w:val="页眉或页脚1"/>
    <w:basedOn w:val="176"/>
    <w:unhideWhenUsed/>
    <w:qFormat/>
    <w:uiPriority w:val="99"/>
    <w:rPr>
      <w:rFonts w:hint="eastAsia" w:ascii="宋体" w:hAnsi="宋体" w:eastAsia="宋体" w:cs="宋体"/>
      <w:sz w:val="20"/>
      <w:szCs w:val="21"/>
      <w:u w:val="none"/>
    </w:rPr>
  </w:style>
  <w:style w:type="character" w:customStyle="1" w:styleId="275">
    <w:name w:val="页眉或页脚 + 12 pt"/>
    <w:basedOn w:val="176"/>
    <w:unhideWhenUsed/>
    <w:qFormat/>
    <w:uiPriority w:val="99"/>
    <w:rPr>
      <w:rFonts w:hint="default" w:ascii="黑体" w:hAnsi="黑体" w:eastAsia="黑体" w:cs="宋体"/>
      <w:i/>
      <w:spacing w:val="-20"/>
      <w:sz w:val="24"/>
      <w:szCs w:val="21"/>
      <w:u w:val="none"/>
    </w:rPr>
  </w:style>
  <w:style w:type="character" w:customStyle="1" w:styleId="276">
    <w:name w:val="正文文本 + SimSun"/>
    <w:basedOn w:val="112"/>
    <w:unhideWhenUsed/>
    <w:qFormat/>
    <w:uiPriority w:val="99"/>
    <w:rPr>
      <w:rFonts w:hint="default" w:ascii="宋体" w:hAnsi="宋体" w:cs="宋体"/>
      <w:i/>
      <w:spacing w:val="-22"/>
      <w:kern w:val="2"/>
      <w:sz w:val="15"/>
      <w:shd w:val="clear" w:color="auto" w:fill="FFFFFF"/>
    </w:rPr>
  </w:style>
  <w:style w:type="character" w:customStyle="1" w:styleId="277">
    <w:name w:val="正文文本 (2) + SimSun"/>
    <w:basedOn w:val="178"/>
    <w:unhideWhenUsed/>
    <w:qFormat/>
    <w:uiPriority w:val="99"/>
    <w:rPr>
      <w:rFonts w:hint="default" w:ascii="宋体" w:hAnsi="宋体" w:cs="宋体"/>
      <w:sz w:val="16"/>
      <w:szCs w:val="17"/>
      <w:shd w:val="clear" w:color="auto" w:fill="FFFFFF"/>
      <w:lang w:val="en-US" w:eastAsia="en-US"/>
    </w:rPr>
  </w:style>
  <w:style w:type="character" w:customStyle="1" w:styleId="278">
    <w:name w:val="正文文本 (2) + Bookman Old Style"/>
    <w:basedOn w:val="178"/>
    <w:unhideWhenUsed/>
    <w:qFormat/>
    <w:uiPriority w:val="99"/>
    <w:rPr>
      <w:rFonts w:hint="default" w:ascii="Bookman Old Style" w:hAnsi="Bookman Old Style" w:eastAsia="Bookman Old Style" w:cs="宋体"/>
      <w:i/>
      <w:spacing w:val="20"/>
      <w:sz w:val="17"/>
      <w:szCs w:val="17"/>
      <w:shd w:val="clear" w:color="auto" w:fill="FFFFFF"/>
      <w:lang w:val="en-US" w:eastAsia="en-US"/>
    </w:rPr>
  </w:style>
  <w:style w:type="character" w:customStyle="1" w:styleId="279">
    <w:name w:val="正文文本 (2) + 间距 -1 pt"/>
    <w:basedOn w:val="178"/>
    <w:unhideWhenUsed/>
    <w:qFormat/>
    <w:uiPriority w:val="99"/>
    <w:rPr>
      <w:rFonts w:hint="eastAsia" w:ascii="宋体" w:hAnsi="宋体" w:cs="宋体"/>
      <w:spacing w:val="-30"/>
      <w:sz w:val="17"/>
      <w:szCs w:val="17"/>
      <w:shd w:val="clear" w:color="auto" w:fill="FFFFFF"/>
    </w:rPr>
  </w:style>
  <w:style w:type="character" w:customStyle="1" w:styleId="280">
    <w:name w:val="正文文本 + SimHei"/>
    <w:basedOn w:val="112"/>
    <w:unhideWhenUsed/>
    <w:qFormat/>
    <w:uiPriority w:val="99"/>
    <w:rPr>
      <w:rFonts w:hint="eastAsia" w:ascii="黑体" w:hAnsi="黑体" w:eastAsia="黑体" w:cs="宋体"/>
      <w:kern w:val="2"/>
      <w:sz w:val="17"/>
      <w:shd w:val="clear" w:color="auto" w:fill="FFFFFF"/>
    </w:rPr>
  </w:style>
  <w:style w:type="paragraph" w:customStyle="1" w:styleId="281">
    <w:name w:val="表格标题 (3)"/>
    <w:basedOn w:val="1"/>
    <w:link w:val="283"/>
    <w:unhideWhenUsed/>
    <w:qFormat/>
    <w:uiPriority w:val="99"/>
    <w:pPr>
      <w:shd w:val="clear" w:color="auto" w:fill="FFFFFF"/>
      <w:spacing w:line="240" w:lineRule="atLeast"/>
    </w:pPr>
    <w:rPr>
      <w:rFonts w:ascii="黑体" w:hAnsi="黑体" w:eastAsia="黑体"/>
      <w:sz w:val="18"/>
    </w:rPr>
  </w:style>
  <w:style w:type="character" w:customStyle="1" w:styleId="282">
    <w:name w:val="表格标题 (3) + SimSun"/>
    <w:basedOn w:val="283"/>
    <w:unhideWhenUsed/>
    <w:qFormat/>
    <w:uiPriority w:val="99"/>
    <w:rPr>
      <w:rFonts w:hint="default" w:ascii="宋体" w:hAnsi="宋体" w:eastAsia="宋体"/>
      <w:spacing w:val="-10"/>
      <w:kern w:val="2"/>
      <w:sz w:val="18"/>
      <w:szCs w:val="22"/>
      <w:shd w:val="clear" w:color="auto" w:fill="FFFFFF"/>
      <w:lang w:val="en-US" w:eastAsia="en-US"/>
    </w:rPr>
  </w:style>
  <w:style w:type="character" w:customStyle="1" w:styleId="283">
    <w:name w:val="表格标题 (3)_"/>
    <w:basedOn w:val="29"/>
    <w:link w:val="281"/>
    <w:unhideWhenUsed/>
    <w:qFormat/>
    <w:uiPriority w:val="99"/>
    <w:rPr>
      <w:rFonts w:ascii="黑体" w:hAnsi="黑体" w:eastAsia="黑体"/>
      <w:kern w:val="2"/>
      <w:sz w:val="18"/>
      <w:szCs w:val="22"/>
      <w:shd w:val="clear" w:color="auto" w:fill="FFFFFF"/>
    </w:rPr>
  </w:style>
  <w:style w:type="paragraph" w:customStyle="1" w:styleId="284">
    <w:name w:val="正文文本 (49)"/>
    <w:basedOn w:val="1"/>
    <w:link w:val="285"/>
    <w:unhideWhenUsed/>
    <w:qFormat/>
    <w:uiPriority w:val="99"/>
    <w:pPr>
      <w:shd w:val="clear" w:color="auto" w:fill="FFFFFF"/>
      <w:spacing w:before="120" w:line="266" w:lineRule="exact"/>
      <w:jc w:val="center"/>
    </w:pPr>
    <w:rPr>
      <w:rFonts w:ascii="Arial Unicode MS" w:hAnsi="Arial Unicode MS" w:eastAsia="Arial Unicode MS"/>
      <w:sz w:val="15"/>
    </w:rPr>
  </w:style>
  <w:style w:type="character" w:customStyle="1" w:styleId="285">
    <w:name w:val="正文文本 (49)_"/>
    <w:basedOn w:val="29"/>
    <w:link w:val="284"/>
    <w:unhideWhenUsed/>
    <w:qFormat/>
    <w:uiPriority w:val="99"/>
    <w:rPr>
      <w:rFonts w:ascii="Arial Unicode MS" w:hAnsi="Arial Unicode MS" w:eastAsia="Arial Unicode MS"/>
      <w:kern w:val="2"/>
      <w:sz w:val="15"/>
      <w:szCs w:val="22"/>
      <w:shd w:val="clear" w:color="auto" w:fill="FFFFFF"/>
    </w:rPr>
  </w:style>
  <w:style w:type="character" w:customStyle="1" w:styleId="286">
    <w:name w:val="正文文本 (49) + Sylfaen"/>
    <w:basedOn w:val="285"/>
    <w:unhideWhenUsed/>
    <w:qFormat/>
    <w:uiPriority w:val="99"/>
    <w:rPr>
      <w:rFonts w:hint="default" w:ascii="Sylfaen" w:hAnsi="Sylfaen" w:eastAsia="Sylfaen"/>
      <w:kern w:val="2"/>
      <w:sz w:val="16"/>
      <w:szCs w:val="22"/>
      <w:shd w:val="clear" w:color="auto" w:fill="FFFFFF"/>
      <w:lang w:val="en-US" w:eastAsia="en-US"/>
    </w:rPr>
  </w:style>
  <w:style w:type="paragraph" w:customStyle="1" w:styleId="287">
    <w:name w:val="正文文本 (50)"/>
    <w:basedOn w:val="1"/>
    <w:link w:val="289"/>
    <w:unhideWhenUsed/>
    <w:qFormat/>
    <w:uiPriority w:val="99"/>
    <w:pPr>
      <w:shd w:val="clear" w:color="auto" w:fill="FFFFFF"/>
      <w:spacing w:line="266" w:lineRule="exact"/>
      <w:jc w:val="center"/>
    </w:pPr>
    <w:rPr>
      <w:rFonts w:ascii="Sylfaen" w:hAnsi="Sylfaen" w:eastAsia="Sylfaen"/>
      <w:sz w:val="16"/>
    </w:rPr>
  </w:style>
  <w:style w:type="character" w:customStyle="1" w:styleId="288">
    <w:name w:val="正文文本 (50) + Arial Unicode MS"/>
    <w:basedOn w:val="289"/>
    <w:unhideWhenUsed/>
    <w:qFormat/>
    <w:uiPriority w:val="99"/>
    <w:rPr>
      <w:rFonts w:ascii="Arial Unicode MS" w:hAnsi="Arial Unicode MS" w:eastAsia="Arial Unicode MS"/>
      <w:kern w:val="2"/>
      <w:sz w:val="15"/>
      <w:szCs w:val="22"/>
      <w:shd w:val="clear" w:color="auto" w:fill="FFFFFF"/>
    </w:rPr>
  </w:style>
  <w:style w:type="character" w:customStyle="1" w:styleId="289">
    <w:name w:val="正文文本 (50)_"/>
    <w:basedOn w:val="29"/>
    <w:link w:val="287"/>
    <w:unhideWhenUsed/>
    <w:qFormat/>
    <w:uiPriority w:val="99"/>
    <w:rPr>
      <w:rFonts w:ascii="Sylfaen" w:hAnsi="Sylfaen" w:eastAsia="Sylfaen"/>
      <w:kern w:val="2"/>
      <w:sz w:val="16"/>
      <w:szCs w:val="22"/>
      <w:shd w:val="clear" w:color="auto" w:fill="FFFFFF"/>
    </w:rPr>
  </w:style>
  <w:style w:type="paragraph" w:customStyle="1" w:styleId="290">
    <w:name w:val="正文文本 (51)"/>
    <w:basedOn w:val="1"/>
    <w:link w:val="292"/>
    <w:unhideWhenUsed/>
    <w:qFormat/>
    <w:uiPriority w:val="99"/>
    <w:pPr>
      <w:shd w:val="clear" w:color="auto" w:fill="FFFFFF"/>
      <w:spacing w:line="266" w:lineRule="exact"/>
      <w:jc w:val="center"/>
    </w:pPr>
    <w:rPr>
      <w:rFonts w:ascii="Sylfaen" w:hAnsi="Sylfaen" w:eastAsia="Sylfaen"/>
      <w:sz w:val="15"/>
      <w:lang w:eastAsia="en-US"/>
    </w:rPr>
  </w:style>
  <w:style w:type="character" w:customStyle="1" w:styleId="291">
    <w:name w:val="正文文本 (51) + Arial Unicode MS"/>
    <w:basedOn w:val="292"/>
    <w:unhideWhenUsed/>
    <w:qFormat/>
    <w:uiPriority w:val="99"/>
    <w:rPr>
      <w:rFonts w:hint="eastAsia" w:ascii="Arial Unicode MS" w:hAnsi="Arial Unicode MS" w:eastAsia="Arial Unicode MS"/>
      <w:kern w:val="2"/>
      <w:sz w:val="15"/>
      <w:szCs w:val="22"/>
      <w:shd w:val="clear" w:color="auto" w:fill="FFFFFF"/>
      <w:lang w:eastAsia="en-US"/>
    </w:rPr>
  </w:style>
  <w:style w:type="character" w:customStyle="1" w:styleId="292">
    <w:name w:val="正文文本 (51)_"/>
    <w:basedOn w:val="29"/>
    <w:link w:val="290"/>
    <w:unhideWhenUsed/>
    <w:qFormat/>
    <w:uiPriority w:val="99"/>
    <w:rPr>
      <w:rFonts w:ascii="Sylfaen" w:hAnsi="Sylfaen" w:eastAsia="Sylfaen"/>
      <w:kern w:val="2"/>
      <w:sz w:val="15"/>
      <w:szCs w:val="22"/>
      <w:shd w:val="clear" w:color="auto" w:fill="FFFFFF"/>
      <w:lang w:eastAsia="en-US"/>
    </w:rPr>
  </w:style>
  <w:style w:type="paragraph" w:customStyle="1" w:styleId="293">
    <w:name w:val="页眉或页脚 (5)"/>
    <w:basedOn w:val="1"/>
    <w:link w:val="295"/>
    <w:unhideWhenUsed/>
    <w:qFormat/>
    <w:uiPriority w:val="99"/>
    <w:pPr>
      <w:shd w:val="clear" w:color="auto" w:fill="FFFFFF"/>
      <w:spacing w:line="240" w:lineRule="atLeast"/>
    </w:pPr>
    <w:rPr>
      <w:rFonts w:ascii="黑体" w:hAnsi="黑体" w:eastAsia="黑体"/>
      <w:sz w:val="19"/>
    </w:rPr>
  </w:style>
  <w:style w:type="character" w:customStyle="1" w:styleId="294">
    <w:name w:val="页眉或页脚 (5)1"/>
    <w:basedOn w:val="295"/>
    <w:unhideWhenUsed/>
    <w:qFormat/>
    <w:uiPriority w:val="99"/>
    <w:rPr>
      <w:rFonts w:hint="default" w:ascii="黑体" w:hAnsi="黑体" w:eastAsia="黑体"/>
      <w:kern w:val="2"/>
      <w:sz w:val="19"/>
      <w:szCs w:val="22"/>
      <w:shd w:val="clear" w:color="auto" w:fill="FFFFFF"/>
      <w:lang w:val="en-US" w:eastAsia="en-US"/>
    </w:rPr>
  </w:style>
  <w:style w:type="character" w:customStyle="1" w:styleId="295">
    <w:name w:val="页眉或页脚 (5)_"/>
    <w:basedOn w:val="29"/>
    <w:link w:val="293"/>
    <w:unhideWhenUsed/>
    <w:qFormat/>
    <w:uiPriority w:val="99"/>
    <w:rPr>
      <w:rFonts w:ascii="黑体" w:hAnsi="黑体" w:eastAsia="黑体"/>
      <w:kern w:val="2"/>
      <w:sz w:val="19"/>
      <w:szCs w:val="22"/>
      <w:shd w:val="clear" w:color="auto" w:fill="FFFFFF"/>
    </w:rPr>
  </w:style>
  <w:style w:type="character" w:customStyle="1" w:styleId="296">
    <w:name w:val="页眉或页脚 (5) + SimSun"/>
    <w:basedOn w:val="295"/>
    <w:unhideWhenUsed/>
    <w:qFormat/>
    <w:uiPriority w:val="99"/>
    <w:rPr>
      <w:rFonts w:hint="default" w:ascii="宋体" w:hAnsi="宋体" w:eastAsia="宋体"/>
      <w:kern w:val="2"/>
      <w:sz w:val="19"/>
      <w:szCs w:val="22"/>
      <w:shd w:val="clear" w:color="auto" w:fill="FFFFFF"/>
    </w:rPr>
  </w:style>
  <w:style w:type="character" w:customStyle="1" w:styleId="297">
    <w:name w:val="页眉或页脚 (5) + 10 pt"/>
    <w:basedOn w:val="295"/>
    <w:unhideWhenUsed/>
    <w:qFormat/>
    <w:uiPriority w:val="99"/>
    <w:rPr>
      <w:rFonts w:ascii="黑体" w:hAnsi="黑体" w:eastAsia="黑体"/>
      <w:kern w:val="2"/>
      <w:sz w:val="20"/>
      <w:szCs w:val="22"/>
      <w:shd w:val="clear" w:color="auto" w:fill="FFFFFF"/>
    </w:rPr>
  </w:style>
  <w:style w:type="character" w:customStyle="1" w:styleId="298">
    <w:name w:val="页眉或页脚 (5) + 12 pt"/>
    <w:basedOn w:val="295"/>
    <w:unhideWhenUsed/>
    <w:qFormat/>
    <w:uiPriority w:val="99"/>
    <w:rPr>
      <w:rFonts w:hint="default" w:ascii="黑体" w:hAnsi="黑体" w:eastAsia="黑体"/>
      <w:i/>
      <w:spacing w:val="-10"/>
      <w:kern w:val="2"/>
      <w:sz w:val="24"/>
      <w:szCs w:val="22"/>
      <w:shd w:val="clear" w:color="auto" w:fill="FFFFFF"/>
    </w:rPr>
  </w:style>
  <w:style w:type="character" w:customStyle="1" w:styleId="299">
    <w:name w:val="正文文本 (49) + 8 pt"/>
    <w:basedOn w:val="285"/>
    <w:unhideWhenUsed/>
    <w:qFormat/>
    <w:uiPriority w:val="99"/>
    <w:rPr>
      <w:rFonts w:hint="default" w:ascii="Arial Unicode MS" w:hAnsi="Arial Unicode MS" w:eastAsia="Arial Unicode MS"/>
      <w:i/>
      <w:kern w:val="2"/>
      <w:sz w:val="16"/>
      <w:szCs w:val="22"/>
      <w:shd w:val="clear" w:color="auto" w:fill="FFFFFF"/>
      <w:lang w:val="en-US" w:eastAsia="en-US"/>
    </w:rPr>
  </w:style>
  <w:style w:type="character" w:customStyle="1" w:styleId="300">
    <w:name w:val="正文文本 (51) Exact"/>
    <w:basedOn w:val="29"/>
    <w:unhideWhenUsed/>
    <w:qFormat/>
    <w:uiPriority w:val="99"/>
    <w:rPr>
      <w:rFonts w:hint="default" w:ascii="Sylfaen" w:hAnsi="Sylfaen" w:eastAsia="Sylfaen"/>
      <w:spacing w:val="4"/>
      <w:sz w:val="14"/>
      <w:lang w:val="en-US" w:eastAsia="en-US"/>
    </w:rPr>
  </w:style>
  <w:style w:type="character" w:customStyle="1" w:styleId="301">
    <w:name w:val="图片标题 (6) + Times New Roman"/>
    <w:basedOn w:val="198"/>
    <w:unhideWhenUsed/>
    <w:qFormat/>
    <w:uiPriority w:val="99"/>
    <w:rPr>
      <w:rFonts w:hint="eastAsia" w:ascii="Times New Roman" w:hAnsi="Times New Roman" w:eastAsia="Times New Roman" w:cs="宋体"/>
      <w:color w:val="000000"/>
      <w:spacing w:val="1"/>
      <w:sz w:val="16"/>
      <w:szCs w:val="15"/>
      <w:u w:val="none"/>
      <w:lang w:val="en-US" w:eastAsia="en-US"/>
    </w:rPr>
  </w:style>
  <w:style w:type="character" w:customStyle="1" w:styleId="302">
    <w:name w:val="图片标题 (6) + Arial Unicode MS"/>
    <w:basedOn w:val="198"/>
    <w:unhideWhenUsed/>
    <w:qFormat/>
    <w:uiPriority w:val="99"/>
    <w:rPr>
      <w:rFonts w:hint="default" w:ascii="Arial Unicode MS" w:hAnsi="Arial Unicode MS" w:eastAsia="Arial Unicode MS" w:cs="宋体"/>
      <w:color w:val="000000"/>
      <w:sz w:val="8"/>
      <w:szCs w:val="15"/>
      <w:u w:val="none"/>
      <w:lang w:val="en-US"/>
    </w:rPr>
  </w:style>
  <w:style w:type="paragraph" w:customStyle="1" w:styleId="303">
    <w:name w:val="正文文本 (6)"/>
    <w:basedOn w:val="1"/>
    <w:link w:val="304"/>
    <w:unhideWhenUsed/>
    <w:qFormat/>
    <w:uiPriority w:val="99"/>
    <w:pPr>
      <w:shd w:val="clear" w:color="auto" w:fill="FFFFFF"/>
      <w:spacing w:before="240" w:line="240" w:lineRule="atLeast"/>
    </w:pPr>
    <w:rPr>
      <w:rFonts w:ascii="黑体" w:hAnsi="黑体" w:eastAsia="黑体"/>
      <w:sz w:val="17"/>
    </w:rPr>
  </w:style>
  <w:style w:type="character" w:customStyle="1" w:styleId="304">
    <w:name w:val="正文文本 (6)_"/>
    <w:basedOn w:val="29"/>
    <w:link w:val="303"/>
    <w:unhideWhenUsed/>
    <w:qFormat/>
    <w:uiPriority w:val="99"/>
    <w:rPr>
      <w:rFonts w:ascii="黑体" w:hAnsi="黑体" w:eastAsia="黑体"/>
      <w:kern w:val="2"/>
      <w:sz w:val="17"/>
      <w:szCs w:val="22"/>
      <w:shd w:val="clear" w:color="auto" w:fill="FFFFFF"/>
    </w:rPr>
  </w:style>
  <w:style w:type="character" w:customStyle="1" w:styleId="305">
    <w:name w:val="正文文本 (6) + Times New Roman"/>
    <w:basedOn w:val="304"/>
    <w:unhideWhenUsed/>
    <w:qFormat/>
    <w:uiPriority w:val="99"/>
    <w:rPr>
      <w:rFonts w:ascii="Times New Roman" w:hAnsi="Times New Roman" w:eastAsia="Times New Roman"/>
      <w:kern w:val="2"/>
      <w:sz w:val="17"/>
      <w:szCs w:val="22"/>
      <w:shd w:val="clear" w:color="auto" w:fill="FFFFFF"/>
      <w:lang w:val="en-US" w:eastAsia="en-US"/>
    </w:rPr>
  </w:style>
  <w:style w:type="character" w:customStyle="1" w:styleId="306">
    <w:name w:val="正文文本 (6) + Arial Unicode MS"/>
    <w:basedOn w:val="304"/>
    <w:unhideWhenUsed/>
    <w:qFormat/>
    <w:uiPriority w:val="99"/>
    <w:rPr>
      <w:rFonts w:hint="default" w:ascii="Arial Unicode MS" w:hAnsi="Arial Unicode MS" w:eastAsia="Arial Unicode MS"/>
      <w:kern w:val="2"/>
      <w:sz w:val="8"/>
      <w:szCs w:val="22"/>
      <w:shd w:val="clear" w:color="auto" w:fill="FFFFFF"/>
    </w:rPr>
  </w:style>
  <w:style w:type="character" w:customStyle="1" w:styleId="307">
    <w:name w:val="正文文本 (3) Exact"/>
    <w:basedOn w:val="132"/>
    <w:unhideWhenUsed/>
    <w:qFormat/>
    <w:uiPriority w:val="99"/>
    <w:rPr>
      <w:rFonts w:ascii="黑体" w:hAnsi="黑体" w:eastAsia="黑体"/>
      <w:color w:val="000000"/>
      <w:spacing w:val="2"/>
      <w:sz w:val="13"/>
      <w:u w:val="single"/>
      <w:shd w:val="clear" w:color="auto" w:fill="FFFFFF"/>
    </w:rPr>
  </w:style>
  <w:style w:type="character" w:customStyle="1" w:styleId="308">
    <w:name w:val="正文文本 (3) + Times New Roman"/>
    <w:basedOn w:val="132"/>
    <w:unhideWhenUsed/>
    <w:qFormat/>
    <w:uiPriority w:val="99"/>
    <w:rPr>
      <w:rFonts w:ascii="Times New Roman" w:hAnsi="Times New Roman" w:eastAsia="Times New Roman"/>
      <w:color w:val="000000"/>
      <w:spacing w:val="3"/>
      <w:sz w:val="13"/>
      <w:shd w:val="clear" w:color="auto" w:fill="FFFFFF"/>
      <w:lang w:val="en-US" w:eastAsia="en-US"/>
    </w:rPr>
  </w:style>
  <w:style w:type="character" w:customStyle="1" w:styleId="309">
    <w:name w:val="表格标题 Exact"/>
    <w:basedOn w:val="29"/>
    <w:unhideWhenUsed/>
    <w:qFormat/>
    <w:uiPriority w:val="99"/>
    <w:rPr>
      <w:rFonts w:hint="eastAsia" w:ascii="黑体" w:hAnsi="黑体" w:eastAsia="黑体"/>
      <w:spacing w:val="2"/>
      <w:sz w:val="13"/>
    </w:rPr>
  </w:style>
  <w:style w:type="character" w:customStyle="1" w:styleId="310">
    <w:name w:val="表格标题 + Times New Roman"/>
    <w:basedOn w:val="128"/>
    <w:unhideWhenUsed/>
    <w:qFormat/>
    <w:uiPriority w:val="99"/>
    <w:rPr>
      <w:rFonts w:ascii="Times New Roman" w:hAnsi="Times New Roman" w:eastAsia="Times New Roman"/>
      <w:spacing w:val="3"/>
      <w:sz w:val="13"/>
      <w:shd w:val="clear" w:color="auto" w:fill="FFFFFF"/>
      <w:lang w:val="en-US" w:eastAsia="en-US"/>
    </w:rPr>
  </w:style>
  <w:style w:type="character" w:customStyle="1" w:styleId="311">
    <w:name w:val="正文文本 (10) Exact"/>
    <w:basedOn w:val="29"/>
    <w:link w:val="312"/>
    <w:unhideWhenUsed/>
    <w:qFormat/>
    <w:uiPriority w:val="99"/>
    <w:rPr>
      <w:rFonts w:ascii="黑体" w:hAnsi="黑体" w:eastAsia="黑体"/>
      <w:spacing w:val="7"/>
      <w:sz w:val="16"/>
      <w:shd w:val="clear" w:color="auto" w:fill="FFFFFF"/>
    </w:rPr>
  </w:style>
  <w:style w:type="paragraph" w:customStyle="1" w:styleId="312">
    <w:name w:val="正文文本 (10)"/>
    <w:basedOn w:val="1"/>
    <w:link w:val="311"/>
    <w:unhideWhenUsed/>
    <w:qFormat/>
    <w:uiPriority w:val="99"/>
    <w:pPr>
      <w:shd w:val="clear" w:color="auto" w:fill="FFFFFF"/>
      <w:spacing w:line="240" w:lineRule="atLeast"/>
      <w:jc w:val="right"/>
    </w:pPr>
    <w:rPr>
      <w:rFonts w:hint="eastAsia" w:ascii="黑体" w:hAnsi="黑体" w:eastAsia="黑体"/>
      <w:spacing w:val="7"/>
      <w:kern w:val="0"/>
      <w:sz w:val="16"/>
      <w:szCs w:val="20"/>
    </w:rPr>
  </w:style>
  <w:style w:type="character" w:customStyle="1" w:styleId="313">
    <w:name w:val="表格标题 + 8 pt"/>
    <w:basedOn w:val="128"/>
    <w:unhideWhenUsed/>
    <w:qFormat/>
    <w:uiPriority w:val="99"/>
    <w:rPr>
      <w:rFonts w:ascii="黑体" w:hAnsi="黑体" w:eastAsia="黑体"/>
      <w:spacing w:val="7"/>
      <w:sz w:val="16"/>
      <w:shd w:val="clear" w:color="auto" w:fill="FFFFFF"/>
    </w:rPr>
  </w:style>
  <w:style w:type="character" w:customStyle="1" w:styleId="314">
    <w:name w:val="表格标题 + Arial Unicode MS"/>
    <w:basedOn w:val="128"/>
    <w:unhideWhenUsed/>
    <w:qFormat/>
    <w:uiPriority w:val="99"/>
    <w:rPr>
      <w:rFonts w:hint="default" w:ascii="Arial Unicode MS" w:hAnsi="Arial Unicode MS" w:eastAsia="Arial Unicode MS"/>
      <w:spacing w:val="-4"/>
      <w:sz w:val="15"/>
      <w:shd w:val="clear" w:color="auto" w:fill="FFFFFF"/>
      <w:lang w:val="en-US" w:eastAsia="en-US"/>
    </w:rPr>
  </w:style>
  <w:style w:type="paragraph" w:customStyle="1" w:styleId="315">
    <w:name w:val="标题 #7"/>
    <w:basedOn w:val="1"/>
    <w:qFormat/>
    <w:uiPriority w:val="0"/>
    <w:pPr>
      <w:shd w:val="clear" w:color="auto" w:fill="FFFFFF"/>
      <w:spacing w:before="120" w:after="420" w:line="0" w:lineRule="atLeast"/>
      <w:outlineLvl w:val="6"/>
    </w:pPr>
    <w:rPr>
      <w:rFonts w:ascii="Arial Unicode MS" w:hAnsi="Arial Unicode MS" w:eastAsia="Arial Unicode MS" w:cs="Arial Unicode MS"/>
      <w:sz w:val="20"/>
      <w:szCs w:val="20"/>
    </w:rPr>
  </w:style>
  <w:style w:type="table" w:customStyle="1" w:styleId="316">
    <w:name w:val="Table Normal1"/>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317">
    <w:name w:val="TOC 标题3"/>
    <w:basedOn w:val="2"/>
    <w:next w:val="1"/>
    <w:unhideWhenUsed/>
    <w:qFormat/>
    <w:uiPriority w:val="39"/>
    <w:pPr>
      <w:widowControl/>
      <w:spacing w:beforeLines="0" w:afterLines="0" w:line="259" w:lineRule="auto"/>
      <w:jc w:val="left"/>
      <w:outlineLvl w:val="9"/>
    </w:pPr>
    <w:rPr>
      <w:rFonts w:ascii="Calibri Light" w:hAnsi="Calibri Light" w:eastAsia="宋体"/>
      <w:b w:val="0"/>
      <w:color w:val="2E74B5"/>
      <w:spacing w:val="0"/>
      <w:sz w:val="32"/>
      <w:szCs w:val="32"/>
    </w:rPr>
  </w:style>
  <w:style w:type="table" w:customStyle="1" w:styleId="318">
    <w:name w:val="网格型4"/>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9">
    <w:name w:val="WPSOffice手动目录 1"/>
    <w:qFormat/>
    <w:uiPriority w:val="0"/>
    <w:rPr>
      <w:rFonts w:ascii="Times New Roman" w:hAnsi="Times New Roman" w:eastAsia="宋体" w:cs="Times New Roman"/>
      <w:lang w:val="en-US" w:eastAsia="zh-CN" w:bidi="ar-SA"/>
    </w:rPr>
  </w:style>
  <w:style w:type="paragraph" w:customStyle="1" w:styleId="3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22">
    <w:name w:val="章标题"/>
    <w:next w:val="4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3">
    <w:name w:val="一级条标题"/>
    <w:next w:val="41"/>
    <w:link w:val="32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324">
    <w:name w:val="一级条标题 Char"/>
    <w:link w:val="323"/>
    <w:qFormat/>
    <w:uiPriority w:val="0"/>
    <w:rPr>
      <w:rFonts w:ascii="黑体" w:eastAsia="黑体"/>
      <w:sz w:val="21"/>
      <w:szCs w:val="21"/>
    </w:rPr>
  </w:style>
  <w:style w:type="paragraph" w:customStyle="1" w:styleId="325">
    <w:name w:val="列出段落1"/>
    <w:basedOn w:val="1"/>
    <w:link w:val="326"/>
    <w:qFormat/>
    <w:uiPriority w:val="0"/>
    <w:pPr>
      <w:ind w:firstLine="420" w:firstLineChars="200"/>
    </w:pPr>
    <w:rPr>
      <w:rFonts w:ascii="Calibri" w:hAnsi="Calibri" w:cstheme="minorBidi"/>
      <w:sz w:val="24"/>
    </w:rPr>
  </w:style>
  <w:style w:type="character" w:customStyle="1" w:styleId="326">
    <w:name w:val="列出段落1 Char"/>
    <w:link w:val="325"/>
    <w:qFormat/>
    <w:uiPriority w:val="0"/>
    <w:rPr>
      <w:rFonts w:ascii="Calibri" w:hAnsi="Calibri" w:eastAsiaTheme="minorEastAsia" w:cstheme="minorBidi"/>
      <w:kern w:val="2"/>
      <w:sz w:val="24"/>
      <w:szCs w:val="22"/>
    </w:rPr>
  </w:style>
  <w:style w:type="table" w:customStyle="1" w:styleId="327">
    <w:name w:val="网格型5"/>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6"/>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9">
    <w:name w:val="未处理的提及1"/>
    <w:basedOn w:val="29"/>
    <w:semiHidden/>
    <w:unhideWhenUsed/>
    <w:qFormat/>
    <w:uiPriority w:val="99"/>
    <w:rPr>
      <w:color w:val="605E5C"/>
      <w:shd w:val="clear" w:color="auto" w:fill="E1DFDD"/>
    </w:rPr>
  </w:style>
  <w:style w:type="paragraph" w:customStyle="1" w:styleId="330">
    <w:name w:val="TOC 标题4"/>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F5597" w:themeColor="accent1" w:themeShade="BF"/>
      <w:spacing w:val="0"/>
      <w:sz w:val="32"/>
      <w:szCs w:val="32"/>
    </w:rPr>
  </w:style>
  <w:style w:type="paragraph" w:customStyle="1" w:styleId="331">
    <w:name w:val="3级正文"/>
    <w:basedOn w:val="1"/>
    <w:link w:val="335"/>
    <w:qFormat/>
    <w:uiPriority w:val="0"/>
    <w:pPr>
      <w:widowControl/>
      <w:spacing w:line="340" w:lineRule="exact"/>
      <w:outlineLvl w:val="2"/>
    </w:pPr>
    <w:rPr>
      <w:color w:val="000000"/>
      <w:kern w:val="0"/>
      <w:szCs w:val="21"/>
    </w:rPr>
  </w:style>
  <w:style w:type="paragraph" w:customStyle="1" w:styleId="332">
    <w:name w:val="3级正文-条文说明"/>
    <w:basedOn w:val="1"/>
    <w:next w:val="331"/>
    <w:link w:val="336"/>
    <w:qFormat/>
    <w:uiPriority w:val="0"/>
    <w:pPr>
      <w:widowControl/>
      <w:spacing w:line="340" w:lineRule="exact"/>
      <w:outlineLvl w:val="3"/>
    </w:pPr>
    <w:rPr>
      <w:rFonts w:eastAsia="楷体"/>
      <w:color w:val="000000"/>
      <w:kern w:val="0"/>
      <w:szCs w:val="21"/>
    </w:rPr>
  </w:style>
  <w:style w:type="paragraph" w:customStyle="1" w:styleId="333">
    <w:name w:val="1级标题"/>
    <w:basedOn w:val="1"/>
    <w:next w:val="1"/>
    <w:qFormat/>
    <w:uiPriority w:val="0"/>
    <w:pPr>
      <w:keepNext/>
      <w:keepLines/>
      <w:spacing w:line="480" w:lineRule="auto"/>
      <w:jc w:val="center"/>
      <w:outlineLvl w:val="0"/>
    </w:pPr>
    <w:rPr>
      <w:b/>
      <w:bCs/>
      <w:color w:val="000000"/>
      <w:kern w:val="44"/>
      <w:sz w:val="28"/>
    </w:rPr>
  </w:style>
  <w:style w:type="paragraph" w:customStyle="1" w:styleId="334">
    <w:name w:val="2级标题"/>
    <w:basedOn w:val="3"/>
    <w:next w:val="1"/>
    <w:qFormat/>
    <w:uiPriority w:val="0"/>
    <w:pPr>
      <w:spacing w:before="0" w:after="0" w:line="480" w:lineRule="auto"/>
    </w:pPr>
    <w:rPr>
      <w:rFonts w:ascii="Times New Roman" w:hAnsi="Times New Roman" w:eastAsia="黑体" w:cs="Times New Roman"/>
      <w:color w:val="000000"/>
      <w:sz w:val="21"/>
      <w:szCs w:val="21"/>
    </w:rPr>
  </w:style>
  <w:style w:type="character" w:customStyle="1" w:styleId="335">
    <w:name w:val="3级正文 字符"/>
    <w:basedOn w:val="29"/>
    <w:link w:val="331"/>
    <w:qFormat/>
    <w:uiPriority w:val="0"/>
    <w:rPr>
      <w:rFonts w:asciiTheme="minorHAnsi" w:hAnsiTheme="minorHAnsi" w:eastAsiaTheme="minorEastAsia"/>
      <w:color w:val="000000"/>
      <w:sz w:val="21"/>
      <w:szCs w:val="21"/>
    </w:rPr>
  </w:style>
  <w:style w:type="character" w:customStyle="1" w:styleId="336">
    <w:name w:val="3级正文-条文说明 字符"/>
    <w:basedOn w:val="29"/>
    <w:link w:val="332"/>
    <w:qFormat/>
    <w:uiPriority w:val="0"/>
    <w:rPr>
      <w:rFonts w:eastAsia="楷体" w:asciiTheme="minorHAnsi" w:hAnsiTheme="minorHAnsi"/>
      <w:color w:val="000000"/>
      <w:sz w:val="21"/>
      <w:szCs w:val="21"/>
    </w:rPr>
  </w:style>
  <w:style w:type="paragraph" w:customStyle="1" w:styleId="337">
    <w:name w:val="TOC 标题5"/>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F5597" w:themeColor="accent1" w:themeShade="BF"/>
      <w:spacing w:val="0"/>
      <w:sz w:val="32"/>
      <w:szCs w:val="32"/>
    </w:rPr>
  </w:style>
  <w:style w:type="paragraph" w:customStyle="1" w:styleId="338">
    <w:name w:val="Revision"/>
    <w:hidden/>
    <w:semiHidden/>
    <w:qFormat/>
    <w:uiPriority w:val="99"/>
    <w:rPr>
      <w:rFonts w:cs="Times New Roman" w:asciiTheme="minorHAnsi" w:hAnsiTheme="minorHAnsi" w:eastAsiaTheme="minorEastAsia"/>
      <w:kern w:val="2"/>
      <w:sz w:val="21"/>
      <w:szCs w:val="22"/>
      <w:lang w:val="en-US" w:eastAsia="zh-CN" w:bidi="ar-SA"/>
    </w:rPr>
  </w:style>
  <w:style w:type="table" w:customStyle="1" w:styleId="339">
    <w:name w:val="网格型4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42"/>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ulas xmlns="http://www.yonyou.com/formula"/>
</file>

<file path=customXml/item4.xml><?xml version="1.0" encoding="utf-8"?>
<dataSourceCollection xmlns="http://www.yonyou.com/datasource"/>
</file>

<file path=customXml/item5.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F17EE-7157-42E9-A499-31909ED71C20}">
  <ds:schemaRefs/>
</ds:datastoreItem>
</file>

<file path=customXml/itemProps3.xml><?xml version="1.0" encoding="utf-8"?>
<ds:datastoreItem xmlns:ds="http://schemas.openxmlformats.org/officeDocument/2006/customXml" ds:itemID="{00DBE428-D533-4FDF-8170-109D6F137CB1}">
  <ds:schemaRefs/>
</ds:datastoreItem>
</file>

<file path=customXml/itemProps4.xml><?xml version="1.0" encoding="utf-8"?>
<ds:datastoreItem xmlns:ds="http://schemas.openxmlformats.org/officeDocument/2006/customXml" ds:itemID="{5B983CB2-60FA-404D-8A6B-4E831BCCF0B4}">
  <ds:schemaRefs/>
</ds:datastoreItem>
</file>

<file path=customXml/itemProps5.xml><?xml version="1.0" encoding="utf-8"?>
<ds:datastoreItem xmlns:ds="http://schemas.openxmlformats.org/officeDocument/2006/customXml" ds:itemID="{C192E841-638C-495F-9268-C7BF805CC278}">
  <ds:schemaRefs/>
</ds:datastoreItem>
</file>

<file path=docProps/app.xml><?xml version="1.0" encoding="utf-8"?>
<Properties xmlns="http://schemas.openxmlformats.org/officeDocument/2006/extended-properties" xmlns:vt="http://schemas.openxmlformats.org/officeDocument/2006/docPropsVTypes">
  <Template>Normal</Template>
  <Pages>84</Pages>
  <Words>30381</Words>
  <Characters>34653</Characters>
  <Lines>1</Lines>
  <Paragraphs>1</Paragraphs>
  <TotalTime>5</TotalTime>
  <ScaleCrop>false</ScaleCrop>
  <LinksUpToDate>false</LinksUpToDate>
  <CharactersWithSpaces>36887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2021-05-07T10:19:00Z</dcterms:created>
  <dc:creator>Windows 用户</dc:creator>
  <cp:lastModifiedBy>陌</cp:lastModifiedBy>
  <cp:lastPrinted>2024-05-29T01:08:00Z</cp:lastPrinted>
  <dcterms:modified xsi:type="dcterms:W3CDTF">2024-07-26T09:23:03Z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ribbonExt">
    <vt:lpwstr>{"WPSExtOfficeTab":{"OnGetEnabled":false,"OnGetVisible":false}}</vt:lpwstr>
  </property>
  <property fmtid="{D5CDD505-2E9C-101B-9397-08002B2CF9AE}" pid="4" name="ICV">
    <vt:lpwstr>E5D28DC850B54C19A95F8AE7234B80B0</vt:lpwstr>
  </property>
</Properties>
</file>