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
        <w:jc w:val="center"/>
        <w:rPr>
          <w:rFonts w:eastAsia="方正小标宋简体"/>
          <w:sz w:val="36"/>
          <w:szCs w:val="36"/>
          <w:lang w:eastAsia="zh-CN"/>
        </w:rPr>
      </w:pPr>
    </w:p>
    <w:p>
      <w:pPr>
        <w:ind w:firstLine="720"/>
        <w:jc w:val="center"/>
        <w:rPr>
          <w:rFonts w:eastAsia="方正小标宋简体"/>
          <w:sz w:val="36"/>
          <w:szCs w:val="36"/>
          <w:lang w:eastAsia="zh-CN"/>
        </w:rPr>
      </w:pPr>
    </w:p>
    <w:p>
      <w:pPr>
        <w:spacing w:line="360" w:lineRule="auto"/>
        <w:ind w:firstLine="880"/>
        <w:jc w:val="center"/>
        <w:rPr>
          <w:rFonts w:ascii="方正小标宋简体" w:eastAsia="方正小标宋简体"/>
          <w:kern w:val="2"/>
          <w:sz w:val="44"/>
          <w:szCs w:val="44"/>
          <w:lang w:eastAsia="zh-CN"/>
        </w:rPr>
      </w:pPr>
    </w:p>
    <w:p>
      <w:pPr>
        <w:spacing w:line="360" w:lineRule="auto"/>
        <w:ind w:firstLine="880"/>
        <w:jc w:val="center"/>
        <w:rPr>
          <w:rFonts w:ascii="方正小标宋简体" w:eastAsia="方正小标宋简体"/>
          <w:kern w:val="2"/>
          <w:sz w:val="44"/>
          <w:szCs w:val="44"/>
          <w:lang w:eastAsia="zh-CN"/>
        </w:rPr>
      </w:pPr>
    </w:p>
    <w:p>
      <w:pPr>
        <w:spacing w:line="360" w:lineRule="auto"/>
        <w:ind w:firstLine="0" w:firstLineChars="0"/>
        <w:jc w:val="center"/>
        <w:rPr>
          <w:rFonts w:ascii="方正小标宋简体" w:eastAsia="方正小标宋简体"/>
          <w:kern w:val="2"/>
          <w:sz w:val="44"/>
          <w:szCs w:val="44"/>
          <w:lang w:eastAsia="zh-CN"/>
        </w:rPr>
      </w:pPr>
      <w:r>
        <w:rPr>
          <w:rFonts w:ascii="方正小标宋简体" w:eastAsia="方正小标宋简体"/>
          <w:kern w:val="2"/>
          <w:sz w:val="44"/>
          <w:szCs w:val="44"/>
          <w:lang w:eastAsia="zh-CN"/>
        </w:rPr>
        <w:t>广东省历史文化名城名镇名村保护条例</w:t>
      </w:r>
    </w:p>
    <w:p>
      <w:pPr>
        <w:spacing w:line="360" w:lineRule="auto"/>
        <w:ind w:firstLine="0" w:firstLineChars="0"/>
        <w:jc w:val="center"/>
        <w:rPr>
          <w:rFonts w:ascii="方正小标宋简体" w:eastAsia="方正小标宋简体"/>
          <w:kern w:val="2"/>
          <w:sz w:val="44"/>
          <w:szCs w:val="44"/>
          <w:lang w:eastAsia="zh-CN"/>
        </w:rPr>
      </w:pPr>
      <w:r>
        <w:rPr>
          <w:rFonts w:hint="eastAsia" w:ascii="方正小标宋简体" w:eastAsia="方正小标宋简体"/>
          <w:kern w:val="2"/>
          <w:sz w:val="44"/>
          <w:szCs w:val="44"/>
          <w:lang w:eastAsia="zh-CN"/>
        </w:rPr>
        <w:t>（</w:t>
      </w:r>
      <w:bookmarkStart w:id="206" w:name="_GoBack"/>
      <w:bookmarkEnd w:id="206"/>
      <w:r>
        <w:rPr>
          <w:rFonts w:ascii="方正小标宋简体" w:eastAsia="方正小标宋简体"/>
          <w:kern w:val="2"/>
          <w:sz w:val="44"/>
          <w:szCs w:val="44"/>
          <w:lang w:eastAsia="zh-CN"/>
        </w:rPr>
        <w:t>征求意见稿</w:t>
      </w:r>
      <w:r>
        <w:rPr>
          <w:rFonts w:hint="eastAsia" w:ascii="方正小标宋简体" w:eastAsia="方正小标宋简体"/>
          <w:kern w:val="2"/>
          <w:sz w:val="44"/>
          <w:szCs w:val="44"/>
          <w:lang w:eastAsia="zh-CN"/>
        </w:rPr>
        <w:t>）</w:t>
      </w:r>
    </w:p>
    <w:p>
      <w:pPr>
        <w:spacing w:line="360" w:lineRule="auto"/>
        <w:ind w:firstLine="0" w:firstLineChars="0"/>
        <w:jc w:val="center"/>
        <w:rPr>
          <w:rFonts w:ascii="方正小标宋简体" w:eastAsia="方正小标宋简体"/>
          <w:kern w:val="2"/>
          <w:sz w:val="44"/>
          <w:szCs w:val="44"/>
          <w:lang w:eastAsia="zh-CN"/>
        </w:rPr>
      </w:pPr>
    </w:p>
    <w:p>
      <w:pPr>
        <w:spacing w:line="360" w:lineRule="auto"/>
        <w:ind w:firstLine="0" w:firstLineChars="0"/>
        <w:jc w:val="center"/>
        <w:rPr>
          <w:rFonts w:ascii="方正小标宋简体" w:eastAsia="方正小标宋简体"/>
          <w:kern w:val="2"/>
          <w:sz w:val="44"/>
          <w:szCs w:val="44"/>
          <w:lang w:eastAsia="zh-CN"/>
        </w:rPr>
      </w:pPr>
    </w:p>
    <w:p>
      <w:pPr>
        <w:spacing w:line="360" w:lineRule="auto"/>
        <w:ind w:firstLine="0" w:firstLineChars="0"/>
        <w:jc w:val="center"/>
        <w:rPr>
          <w:rFonts w:ascii="方正小标宋简体" w:eastAsia="方正小标宋简体"/>
          <w:kern w:val="2"/>
          <w:sz w:val="44"/>
          <w:szCs w:val="44"/>
          <w:lang w:eastAsia="zh-CN"/>
        </w:rPr>
      </w:pPr>
    </w:p>
    <w:p>
      <w:pPr>
        <w:spacing w:line="360" w:lineRule="auto"/>
        <w:ind w:firstLine="0" w:firstLineChars="0"/>
        <w:jc w:val="center"/>
        <w:rPr>
          <w:rFonts w:ascii="方正小标宋简体" w:eastAsia="方正小标宋简体"/>
          <w:kern w:val="2"/>
          <w:sz w:val="44"/>
          <w:szCs w:val="44"/>
          <w:lang w:eastAsia="zh-CN"/>
        </w:rPr>
      </w:pPr>
    </w:p>
    <w:p>
      <w:pPr>
        <w:spacing w:line="360" w:lineRule="auto"/>
        <w:ind w:firstLine="0" w:firstLineChars="0"/>
        <w:jc w:val="center"/>
        <w:rPr>
          <w:rFonts w:ascii="方正小标宋简体" w:eastAsia="方正小标宋简体"/>
          <w:kern w:val="2"/>
          <w:sz w:val="44"/>
          <w:szCs w:val="44"/>
          <w:lang w:eastAsia="zh-CN"/>
        </w:rPr>
      </w:pPr>
    </w:p>
    <w:p>
      <w:pPr>
        <w:spacing w:line="360" w:lineRule="auto"/>
        <w:ind w:firstLine="0" w:firstLineChars="0"/>
        <w:jc w:val="center"/>
        <w:rPr>
          <w:rFonts w:ascii="方正小标宋简体" w:eastAsia="方正小标宋简体"/>
          <w:kern w:val="2"/>
          <w:sz w:val="44"/>
          <w:szCs w:val="44"/>
          <w:lang w:eastAsia="zh-CN"/>
        </w:rPr>
      </w:pPr>
    </w:p>
    <w:p>
      <w:pPr>
        <w:spacing w:line="360" w:lineRule="auto"/>
        <w:ind w:firstLine="0" w:firstLineChars="0"/>
        <w:jc w:val="center"/>
        <w:rPr>
          <w:rFonts w:ascii="方正小标宋简体" w:eastAsia="方正小标宋简体"/>
          <w:kern w:val="2"/>
          <w:sz w:val="32"/>
          <w:szCs w:val="32"/>
          <w:lang w:eastAsia="zh-CN"/>
        </w:rPr>
      </w:pPr>
      <w:r>
        <w:rPr>
          <w:rFonts w:hint="eastAsia" w:ascii="方正小标宋简体" w:eastAsia="方正小标宋简体"/>
          <w:kern w:val="2"/>
          <w:sz w:val="32"/>
          <w:szCs w:val="32"/>
          <w:lang w:eastAsia="zh-CN"/>
        </w:rPr>
        <w:t>2</w:t>
      </w:r>
      <w:r>
        <w:rPr>
          <w:rFonts w:ascii="方正小标宋简体" w:eastAsia="方正小标宋简体"/>
          <w:kern w:val="2"/>
          <w:sz w:val="32"/>
          <w:szCs w:val="32"/>
          <w:lang w:eastAsia="zh-CN"/>
        </w:rPr>
        <w:t>024</w:t>
      </w:r>
      <w:r>
        <w:rPr>
          <w:rFonts w:hint="eastAsia" w:ascii="方正小标宋简体" w:eastAsia="方正小标宋简体"/>
          <w:kern w:val="2"/>
          <w:sz w:val="32"/>
          <w:szCs w:val="32"/>
          <w:lang w:eastAsia="zh-CN"/>
        </w:rPr>
        <w:t>年</w:t>
      </w:r>
      <w:r>
        <w:rPr>
          <w:rFonts w:ascii="方正小标宋简体" w:eastAsia="方正小标宋简体"/>
          <w:kern w:val="2"/>
          <w:sz w:val="32"/>
          <w:szCs w:val="32"/>
          <w:lang w:eastAsia="zh-CN"/>
        </w:rPr>
        <w:t>1</w:t>
      </w:r>
      <w:r>
        <w:rPr>
          <w:rFonts w:hint="eastAsia" w:ascii="方正小标宋简体" w:eastAsia="方正小标宋简体"/>
          <w:kern w:val="2"/>
          <w:sz w:val="32"/>
          <w:szCs w:val="32"/>
          <w:lang w:eastAsia="zh-CN"/>
        </w:rPr>
        <w:t>月</w:t>
      </w:r>
    </w:p>
    <w:p>
      <w:pPr>
        <w:rPr>
          <w:rFonts w:eastAsia="方正小标宋简体"/>
          <w:lang w:eastAsia="zh-CN"/>
        </w:rPr>
      </w:pPr>
      <w:r>
        <w:rPr>
          <w:rFonts w:eastAsia="方正小标宋简体"/>
          <w:lang w:eastAsia="zh-CN"/>
        </w:rPr>
        <w:br w:type="page"/>
      </w:r>
    </w:p>
    <w:sdt>
      <w:sdtPr>
        <w:rPr>
          <w:rFonts w:ascii="Times New Roman" w:hAnsi="Times New Roman" w:eastAsia="Times New Roman" w:cs="Times New Roman"/>
          <w:smallCaps/>
          <w:color w:val="auto"/>
          <w:sz w:val="24"/>
          <w:szCs w:val="24"/>
          <w:lang w:val="zh-CN" w:eastAsia="en-US"/>
        </w:rPr>
        <w:id w:val="1998606114"/>
      </w:sdtPr>
      <w:sdtEndPr>
        <w:rPr>
          <w:rFonts w:eastAsia="Times New Roman" w:asciiTheme="minorHAnsi" w:hAnsiTheme="minorHAnsi" w:cstheme="minorHAnsi"/>
          <w:smallCaps/>
          <w:color w:val="auto"/>
          <w:sz w:val="22"/>
          <w:szCs w:val="22"/>
          <w:lang w:val="zh-CN" w:eastAsia="en-US"/>
        </w:rPr>
      </w:sdtEndPr>
      <w:sdtContent>
        <w:p>
          <w:pPr>
            <w:pStyle w:val="34"/>
            <w:ind w:firstLine="482"/>
            <w:jc w:val="center"/>
            <w:rPr>
              <w:color w:val="auto"/>
            </w:rPr>
          </w:pPr>
          <w:r>
            <w:rPr>
              <w:color w:val="auto"/>
              <w:lang w:val="zh-CN"/>
            </w:rPr>
            <w:t>目录</w:t>
          </w:r>
        </w:p>
        <w:p>
          <w:pPr>
            <w:pStyle w:val="12"/>
            <w:rPr>
              <w:rFonts w:eastAsiaTheme="minorEastAsia" w:cstheme="minorBidi"/>
              <w:b w:val="0"/>
              <w:bCs w:val="0"/>
              <w:caps w:val="0"/>
              <w:kern w:val="2"/>
              <w:sz w:val="21"/>
              <w:u w:val="none"/>
              <w:lang w:eastAsia="zh-CN"/>
            </w:rPr>
          </w:pPr>
          <w:r>
            <w:rPr>
              <w:u w:val="none"/>
            </w:rPr>
            <w:fldChar w:fldCharType="begin"/>
          </w:r>
          <w:r>
            <w:rPr>
              <w:u w:val="none"/>
            </w:rPr>
            <w:instrText xml:space="preserve"> TOC \o "1-3" \h \z \u </w:instrText>
          </w:r>
          <w:r>
            <w:rPr>
              <w:u w:val="none"/>
            </w:rPr>
            <w:fldChar w:fldCharType="separate"/>
          </w:r>
          <w:r>
            <w:fldChar w:fldCharType="begin"/>
          </w:r>
          <w:r>
            <w:instrText xml:space="preserve"> HYPERLINK \l "_Toc157421344" </w:instrText>
          </w:r>
          <w:r>
            <w:fldChar w:fldCharType="separate"/>
          </w:r>
          <w:r>
            <w:rPr>
              <w:rStyle w:val="23"/>
              <w:rFonts w:ascii="黑体" w:hAnsi="黑体" w:eastAsia="黑体" w:cs="黑体"/>
              <w:lang w:eastAsia="zh-CN"/>
            </w:rPr>
            <w:t>第一章</w:t>
          </w:r>
          <w:r>
            <w:rPr>
              <w:rFonts w:eastAsiaTheme="minorEastAsia" w:cstheme="minorBidi"/>
              <w:b w:val="0"/>
              <w:bCs w:val="0"/>
              <w:caps w:val="0"/>
              <w:kern w:val="2"/>
              <w:sz w:val="21"/>
              <w:u w:val="none"/>
              <w:lang w:eastAsia="zh-CN"/>
            </w:rPr>
            <w:tab/>
          </w:r>
          <w:r>
            <w:rPr>
              <w:rStyle w:val="23"/>
              <w:rFonts w:ascii="黑体" w:hAnsi="黑体" w:eastAsia="黑体" w:cs="黑体"/>
              <w:lang w:eastAsia="zh-CN"/>
            </w:rPr>
            <w:t>总则</w:t>
          </w:r>
          <w:r>
            <w:tab/>
          </w:r>
          <w:r>
            <w:fldChar w:fldCharType="begin"/>
          </w:r>
          <w:r>
            <w:instrText xml:space="preserve"> PAGEREF _Toc157421344 \h </w:instrText>
          </w:r>
          <w:r>
            <w:fldChar w:fldCharType="separate"/>
          </w:r>
          <w:r>
            <w:t>- 1 -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"_Toc157421345" </w:instrText>
          </w:r>
          <w:r>
            <w:fldChar w:fldCharType="separate"/>
          </w:r>
          <w:r>
            <w:rPr>
              <w:rStyle w:val="23"/>
              <w:rFonts w:eastAsia="宋体"/>
              <w:lang w:eastAsia="zh-CN"/>
            </w:rPr>
            <w:t>第一条 【立法目的】</w:t>
          </w:r>
          <w:r>
            <w:tab/>
          </w:r>
          <w:r>
            <w:fldChar w:fldCharType="begin"/>
          </w:r>
          <w:r>
            <w:instrText xml:space="preserve"> PAGEREF _Toc157421345 \h </w:instrText>
          </w:r>
          <w:r>
            <w:fldChar w:fldCharType="separate"/>
          </w:r>
          <w:r>
            <w:t>- 1 -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"_Toc157421346" </w:instrText>
          </w:r>
          <w:r>
            <w:fldChar w:fldCharType="separate"/>
          </w:r>
          <w:r>
            <w:rPr>
              <w:rStyle w:val="23"/>
              <w:rFonts w:eastAsia="宋体"/>
              <w:lang w:eastAsia="zh-CN"/>
            </w:rPr>
            <w:t>第二条 【适用范围】</w:t>
          </w:r>
          <w:r>
            <w:tab/>
          </w:r>
          <w:r>
            <w:fldChar w:fldCharType="begin"/>
          </w:r>
          <w:r>
            <w:instrText xml:space="preserve"> PAGEREF _Toc157421346 \h </w:instrText>
          </w:r>
          <w:r>
            <w:fldChar w:fldCharType="separate"/>
          </w:r>
          <w:r>
            <w:t>- 1 -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"_Toc157421347" </w:instrText>
          </w:r>
          <w:r>
            <w:fldChar w:fldCharType="separate"/>
          </w:r>
          <w:r>
            <w:rPr>
              <w:rStyle w:val="23"/>
              <w:rFonts w:eastAsia="宋体"/>
              <w:lang w:eastAsia="zh-CN"/>
            </w:rPr>
            <w:t>第三条 【保护原则】</w:t>
          </w:r>
          <w:r>
            <w:tab/>
          </w:r>
          <w:r>
            <w:fldChar w:fldCharType="begin"/>
          </w:r>
          <w:r>
            <w:instrText xml:space="preserve"> PAGEREF _Toc157421347 \h </w:instrText>
          </w:r>
          <w:r>
            <w:fldChar w:fldCharType="separate"/>
          </w:r>
          <w:r>
            <w:t>- 1 -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"_Toc157421348" </w:instrText>
          </w:r>
          <w:r>
            <w:fldChar w:fldCharType="separate"/>
          </w:r>
          <w:r>
            <w:rPr>
              <w:rStyle w:val="23"/>
              <w:rFonts w:eastAsia="宋体"/>
              <w:lang w:eastAsia="zh-CN"/>
            </w:rPr>
            <w:t>第四条 【各级政府及村（居）民委员会职责】</w:t>
          </w:r>
          <w:r>
            <w:tab/>
          </w:r>
          <w:r>
            <w:fldChar w:fldCharType="begin"/>
          </w:r>
          <w:r>
            <w:instrText xml:space="preserve"> PAGEREF _Toc157421348 \h </w:instrText>
          </w:r>
          <w:r>
            <w:fldChar w:fldCharType="separate"/>
          </w:r>
          <w:r>
            <w:t>- 1 -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"_Toc157421349" </w:instrText>
          </w:r>
          <w:r>
            <w:fldChar w:fldCharType="separate"/>
          </w:r>
          <w:r>
            <w:rPr>
              <w:rStyle w:val="23"/>
              <w:rFonts w:eastAsia="宋体"/>
              <w:lang w:eastAsia="zh-CN"/>
            </w:rPr>
            <w:t>第五条 【部门职责】</w:t>
          </w:r>
          <w:r>
            <w:tab/>
          </w:r>
          <w:r>
            <w:fldChar w:fldCharType="begin"/>
          </w:r>
          <w:r>
            <w:instrText xml:space="preserve"> PAGEREF _Toc157421349 \h </w:instrText>
          </w:r>
          <w:r>
            <w:fldChar w:fldCharType="separate"/>
          </w:r>
          <w:r>
            <w:t>- 1 -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"_Toc157421350" </w:instrText>
          </w:r>
          <w:r>
            <w:fldChar w:fldCharType="separate"/>
          </w:r>
          <w:r>
            <w:rPr>
              <w:rStyle w:val="23"/>
              <w:rFonts w:eastAsia="宋体"/>
              <w:lang w:eastAsia="zh-CN"/>
            </w:rPr>
            <w:t>第六条 【历史文化名城保护管理工作协调机制】</w:t>
          </w:r>
          <w:r>
            <w:tab/>
          </w:r>
          <w:r>
            <w:fldChar w:fldCharType="begin"/>
          </w:r>
          <w:r>
            <w:instrText xml:space="preserve"> PAGEREF _Toc157421350 \h </w:instrText>
          </w:r>
          <w:r>
            <w:fldChar w:fldCharType="separate"/>
          </w:r>
          <w:r>
            <w:t>- 2 -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"_Toc157421351" </w:instrText>
          </w:r>
          <w:r>
            <w:fldChar w:fldCharType="separate"/>
          </w:r>
          <w:r>
            <w:rPr>
              <w:rStyle w:val="23"/>
              <w:rFonts w:eastAsia="宋体"/>
              <w:lang w:eastAsia="zh-CN"/>
            </w:rPr>
            <w:t>第七条 【社会参与】</w:t>
          </w:r>
          <w:r>
            <w:tab/>
          </w:r>
          <w:r>
            <w:fldChar w:fldCharType="begin"/>
          </w:r>
          <w:r>
            <w:instrText xml:space="preserve"> PAGEREF _Toc157421351 \h </w:instrText>
          </w:r>
          <w:r>
            <w:fldChar w:fldCharType="separate"/>
          </w:r>
          <w:r>
            <w:t>- 2 -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"_Toc157421352" </w:instrText>
          </w:r>
          <w:r>
            <w:fldChar w:fldCharType="separate"/>
          </w:r>
          <w:r>
            <w:rPr>
              <w:rStyle w:val="23"/>
              <w:rFonts w:eastAsia="宋体"/>
              <w:lang w:eastAsia="zh-CN"/>
            </w:rPr>
            <w:t>第八条 【宣传教育培训】</w:t>
          </w:r>
          <w:r>
            <w:tab/>
          </w:r>
          <w:r>
            <w:fldChar w:fldCharType="begin"/>
          </w:r>
          <w:r>
            <w:instrText xml:space="preserve"> PAGEREF _Toc157421352 \h </w:instrText>
          </w:r>
          <w:r>
            <w:fldChar w:fldCharType="separate"/>
          </w:r>
          <w:r>
            <w:t>- 2 -</w:t>
          </w:r>
          <w:r>
            <w:fldChar w:fldCharType="end"/>
          </w:r>
          <w:r>
            <w:fldChar w:fldCharType="end"/>
          </w:r>
        </w:p>
        <w:p>
          <w:pPr>
            <w:pStyle w:val="12"/>
            <w:rPr>
              <w:rFonts w:eastAsiaTheme="minorEastAsia" w:cstheme="minorBidi"/>
              <w:b w:val="0"/>
              <w:bCs w:val="0"/>
              <w:caps w:val="0"/>
              <w:kern w:val="2"/>
              <w:sz w:val="21"/>
              <w:u w:val="none"/>
              <w:lang w:eastAsia="zh-CN"/>
            </w:rPr>
          </w:pPr>
          <w:r>
            <w:fldChar w:fldCharType="begin"/>
          </w:r>
          <w:r>
            <w:instrText xml:space="preserve"> HYPERLINK \l "_Toc157421353" </w:instrText>
          </w:r>
          <w:r>
            <w:fldChar w:fldCharType="separate"/>
          </w:r>
          <w:r>
            <w:rPr>
              <w:rStyle w:val="23"/>
              <w:rFonts w:ascii="黑体" w:hAnsi="黑体" w:eastAsia="黑体" w:cs="黑体"/>
              <w:lang w:eastAsia="zh-CN"/>
            </w:rPr>
            <w:t>第二章</w:t>
          </w:r>
          <w:r>
            <w:rPr>
              <w:rFonts w:eastAsiaTheme="minorEastAsia" w:cstheme="minorBidi"/>
              <w:b w:val="0"/>
              <w:bCs w:val="0"/>
              <w:caps w:val="0"/>
              <w:kern w:val="2"/>
              <w:sz w:val="21"/>
              <w:u w:val="none"/>
              <w:lang w:eastAsia="zh-CN"/>
            </w:rPr>
            <w:tab/>
          </w:r>
          <w:r>
            <w:rPr>
              <w:rStyle w:val="23"/>
              <w:rFonts w:ascii="黑体" w:hAnsi="黑体" w:eastAsia="黑体" w:cs="黑体"/>
              <w:lang w:eastAsia="zh-CN"/>
            </w:rPr>
            <w:t>申报认定</w:t>
          </w:r>
          <w:r>
            <w:tab/>
          </w:r>
          <w:r>
            <w:fldChar w:fldCharType="begin"/>
          </w:r>
          <w:r>
            <w:instrText xml:space="preserve"> PAGEREF _Toc157421353 \h </w:instrText>
          </w:r>
          <w:r>
            <w:fldChar w:fldCharType="separate"/>
          </w:r>
          <w:r>
            <w:t>- 3 -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"_Toc157421354" </w:instrText>
          </w:r>
          <w:r>
            <w:fldChar w:fldCharType="separate"/>
          </w:r>
          <w:r>
            <w:rPr>
              <w:rStyle w:val="23"/>
              <w:rFonts w:eastAsia="宋体"/>
              <w:lang w:eastAsia="zh-CN"/>
            </w:rPr>
            <w:t>第九条 【历史文化资源普查认定】</w:t>
          </w:r>
          <w:r>
            <w:tab/>
          </w:r>
          <w:r>
            <w:fldChar w:fldCharType="begin"/>
          </w:r>
          <w:r>
            <w:instrText xml:space="preserve"> PAGEREF _Toc157421354 \h </w:instrText>
          </w:r>
          <w:r>
            <w:fldChar w:fldCharType="separate"/>
          </w:r>
          <w:r>
            <w:t>- 3 -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"_Toc157421355" </w:instrText>
          </w:r>
          <w:r>
            <w:fldChar w:fldCharType="separate"/>
          </w:r>
          <w:r>
            <w:rPr>
              <w:rStyle w:val="23"/>
              <w:rFonts w:eastAsia="宋体"/>
              <w:lang w:eastAsia="zh-CN"/>
            </w:rPr>
            <w:t>第十条 【预保护制度】</w:t>
          </w:r>
          <w:r>
            <w:tab/>
          </w:r>
          <w:r>
            <w:fldChar w:fldCharType="begin"/>
          </w:r>
          <w:r>
            <w:instrText xml:space="preserve"> PAGEREF _Toc157421355 \h </w:instrText>
          </w:r>
          <w:r>
            <w:fldChar w:fldCharType="separate"/>
          </w:r>
          <w:r>
            <w:t>- 3 -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"_Toc157421356" </w:instrText>
          </w:r>
          <w:r>
            <w:fldChar w:fldCharType="separate"/>
          </w:r>
          <w:r>
            <w:rPr>
              <w:rStyle w:val="23"/>
              <w:rFonts w:eastAsia="宋体"/>
              <w:lang w:eastAsia="zh-CN"/>
            </w:rPr>
            <w:t>第十一条 【历史文化名城、名镇、名村的申报条件】</w:t>
          </w:r>
          <w:r>
            <w:tab/>
          </w:r>
          <w:r>
            <w:fldChar w:fldCharType="begin"/>
          </w:r>
          <w:r>
            <w:instrText xml:space="preserve"> PAGEREF _Toc157421356 \h </w:instrText>
          </w:r>
          <w:r>
            <w:fldChar w:fldCharType="separate"/>
          </w:r>
          <w:r>
            <w:t>- 3 -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"_Toc157421357" </w:instrText>
          </w:r>
          <w:r>
            <w:fldChar w:fldCharType="separate"/>
          </w:r>
          <w:r>
            <w:rPr>
              <w:rStyle w:val="23"/>
              <w:rFonts w:eastAsia="宋体"/>
              <w:lang w:eastAsia="zh-CN"/>
            </w:rPr>
            <w:t>第十二条 【历史文化街区申报条件】</w:t>
          </w:r>
          <w:r>
            <w:tab/>
          </w:r>
          <w:r>
            <w:fldChar w:fldCharType="begin"/>
          </w:r>
          <w:r>
            <w:instrText xml:space="preserve"> PAGEREF _Toc157421357 \h </w:instrText>
          </w:r>
          <w:r>
            <w:fldChar w:fldCharType="separate"/>
          </w:r>
          <w:r>
            <w:t>- 4 -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"_Toc157421358" </w:instrText>
          </w:r>
          <w:r>
            <w:fldChar w:fldCharType="separate"/>
          </w:r>
          <w:r>
            <w:rPr>
              <w:rStyle w:val="23"/>
              <w:rFonts w:eastAsia="宋体"/>
              <w:lang w:eastAsia="zh-CN"/>
            </w:rPr>
            <w:t>第十三条 【历史地段认定条件】</w:t>
          </w:r>
          <w:r>
            <w:tab/>
          </w:r>
          <w:r>
            <w:fldChar w:fldCharType="begin"/>
          </w:r>
          <w:r>
            <w:instrText xml:space="preserve"> PAGEREF _Toc157421358 \h </w:instrText>
          </w:r>
          <w:r>
            <w:fldChar w:fldCharType="separate"/>
          </w:r>
          <w:r>
            <w:t>- 4 -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"_Toc157421359" </w:instrText>
          </w:r>
          <w:r>
            <w:fldChar w:fldCharType="separate"/>
          </w:r>
          <w:r>
            <w:rPr>
              <w:rStyle w:val="23"/>
              <w:rFonts w:eastAsia="宋体"/>
              <w:lang w:eastAsia="zh-CN"/>
            </w:rPr>
            <w:t>第十四条 【历史建筑认定条件】</w:t>
          </w:r>
          <w:r>
            <w:tab/>
          </w:r>
          <w:r>
            <w:fldChar w:fldCharType="begin"/>
          </w:r>
          <w:r>
            <w:instrText xml:space="preserve"> PAGEREF _Toc157421359 \h </w:instrText>
          </w:r>
          <w:r>
            <w:fldChar w:fldCharType="separate"/>
          </w:r>
          <w:r>
            <w:t>- 4 -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"_Toc157421360" </w:instrText>
          </w:r>
          <w:r>
            <w:fldChar w:fldCharType="separate"/>
          </w:r>
          <w:r>
            <w:rPr>
              <w:rStyle w:val="23"/>
              <w:rFonts w:eastAsia="宋体"/>
              <w:lang w:eastAsia="zh-CN"/>
            </w:rPr>
            <w:t>第十五条 【申报、批准、确定程序】</w:t>
          </w:r>
          <w:r>
            <w:tab/>
          </w:r>
          <w:r>
            <w:fldChar w:fldCharType="begin"/>
          </w:r>
          <w:r>
            <w:instrText xml:space="preserve"> PAGEREF _Toc157421360 \h </w:instrText>
          </w:r>
          <w:r>
            <w:fldChar w:fldCharType="separate"/>
          </w:r>
          <w:r>
            <w:t>- 5 -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"_Toc157421361" </w:instrText>
          </w:r>
          <w:r>
            <w:fldChar w:fldCharType="separate"/>
          </w:r>
          <w:r>
            <w:rPr>
              <w:rStyle w:val="23"/>
              <w:rFonts w:eastAsia="宋体"/>
              <w:lang w:eastAsia="zh-CN"/>
            </w:rPr>
            <w:t>第十六条 【指定程序】</w:t>
          </w:r>
          <w:r>
            <w:tab/>
          </w:r>
          <w:r>
            <w:fldChar w:fldCharType="begin"/>
          </w:r>
          <w:r>
            <w:instrText xml:space="preserve"> PAGEREF _Toc157421361 \h </w:instrText>
          </w:r>
          <w:r>
            <w:fldChar w:fldCharType="separate"/>
          </w:r>
          <w:r>
            <w:t>- 5 -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"_Toc157421362" </w:instrText>
          </w:r>
          <w:r>
            <w:fldChar w:fldCharType="separate"/>
          </w:r>
          <w:r>
            <w:rPr>
              <w:rStyle w:val="23"/>
              <w:rFonts w:ascii="楷体" w:hAnsi="楷体" w:eastAsia="宋体"/>
              <w:lang w:eastAsia="zh-CN"/>
            </w:rPr>
            <w:t>第十七条</w:t>
          </w:r>
          <w:r>
            <w:rPr>
              <w:rStyle w:val="23"/>
              <w:rFonts w:eastAsia="宋体"/>
              <w:lang w:eastAsia="zh-CN"/>
            </w:rPr>
            <w:t xml:space="preserve"> 【名录调整】</w:t>
          </w:r>
          <w:r>
            <w:tab/>
          </w:r>
          <w:r>
            <w:fldChar w:fldCharType="begin"/>
          </w:r>
          <w:r>
            <w:instrText xml:space="preserve"> PAGEREF _Toc157421362 \h </w:instrText>
          </w:r>
          <w:r>
            <w:fldChar w:fldCharType="separate"/>
          </w:r>
          <w:r>
            <w:t>- 5 -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"_Toc157421363" </w:instrText>
          </w:r>
          <w:r>
            <w:fldChar w:fldCharType="separate"/>
          </w:r>
          <w:r>
            <w:rPr>
              <w:rStyle w:val="23"/>
              <w:rFonts w:eastAsia="宋体"/>
              <w:lang w:eastAsia="zh-CN"/>
            </w:rPr>
            <w:t>第十八条 【保护对象档案】</w:t>
          </w:r>
          <w:r>
            <w:tab/>
          </w:r>
          <w:r>
            <w:fldChar w:fldCharType="begin"/>
          </w:r>
          <w:r>
            <w:instrText xml:space="preserve"> PAGEREF _Toc157421363 \h </w:instrText>
          </w:r>
          <w:r>
            <w:fldChar w:fldCharType="separate"/>
          </w:r>
          <w:r>
            <w:t>- 5 -</w:t>
          </w:r>
          <w:r>
            <w:fldChar w:fldCharType="end"/>
          </w:r>
          <w:r>
            <w:fldChar w:fldCharType="end"/>
          </w:r>
        </w:p>
        <w:p>
          <w:pPr>
            <w:pStyle w:val="12"/>
            <w:rPr>
              <w:rFonts w:eastAsiaTheme="minorEastAsia" w:cstheme="minorBidi"/>
              <w:b w:val="0"/>
              <w:bCs w:val="0"/>
              <w:caps w:val="0"/>
              <w:kern w:val="2"/>
              <w:sz w:val="21"/>
              <w:u w:val="none"/>
              <w:lang w:eastAsia="zh-CN"/>
            </w:rPr>
          </w:pPr>
          <w:r>
            <w:fldChar w:fldCharType="begin"/>
          </w:r>
          <w:r>
            <w:instrText xml:space="preserve"> HYPERLINK \l "_Toc157421364" </w:instrText>
          </w:r>
          <w:r>
            <w:fldChar w:fldCharType="separate"/>
          </w:r>
          <w:r>
            <w:rPr>
              <w:rStyle w:val="23"/>
              <w:rFonts w:ascii="黑体" w:hAnsi="黑体" w:eastAsia="黑体" w:cs="黑体"/>
              <w:lang w:eastAsia="zh-CN"/>
            </w:rPr>
            <w:t>第三章</w:t>
          </w:r>
          <w:r>
            <w:rPr>
              <w:rFonts w:eastAsiaTheme="minorEastAsia" w:cstheme="minorBidi"/>
              <w:b w:val="0"/>
              <w:bCs w:val="0"/>
              <w:caps w:val="0"/>
              <w:kern w:val="2"/>
              <w:sz w:val="21"/>
              <w:u w:val="none"/>
              <w:lang w:eastAsia="zh-CN"/>
            </w:rPr>
            <w:tab/>
          </w:r>
          <w:r>
            <w:rPr>
              <w:rStyle w:val="23"/>
              <w:rFonts w:ascii="黑体" w:hAnsi="黑体" w:eastAsia="黑体" w:cs="黑体"/>
              <w:lang w:eastAsia="zh-CN"/>
            </w:rPr>
            <w:t>保护规划</w:t>
          </w:r>
          <w:r>
            <w:tab/>
          </w:r>
          <w:r>
            <w:fldChar w:fldCharType="begin"/>
          </w:r>
          <w:r>
            <w:instrText xml:space="preserve"> PAGEREF _Toc157421364 \h </w:instrText>
          </w:r>
          <w:r>
            <w:fldChar w:fldCharType="separate"/>
          </w:r>
          <w:r>
            <w:t>- 6 -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"_Toc157421365" </w:instrText>
          </w:r>
          <w:r>
            <w:fldChar w:fldCharType="separate"/>
          </w:r>
          <w:r>
            <w:rPr>
              <w:rStyle w:val="23"/>
              <w:rFonts w:eastAsia="宋体"/>
              <w:lang w:eastAsia="zh-CN"/>
            </w:rPr>
            <w:t>第十九条 【编制主体】</w:t>
          </w:r>
          <w:r>
            <w:tab/>
          </w:r>
          <w:r>
            <w:fldChar w:fldCharType="begin"/>
          </w:r>
          <w:r>
            <w:instrText xml:space="preserve"> PAGEREF _Toc157421365 \h </w:instrText>
          </w:r>
          <w:r>
            <w:fldChar w:fldCharType="separate"/>
          </w:r>
          <w:r>
            <w:t>- 6 -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"_Toc157421366" </w:instrText>
          </w:r>
          <w:r>
            <w:fldChar w:fldCharType="separate"/>
          </w:r>
          <w:r>
            <w:rPr>
              <w:rStyle w:val="23"/>
              <w:rFonts w:eastAsia="宋体"/>
              <w:lang w:eastAsia="zh-CN"/>
            </w:rPr>
            <w:t>第二十条 【保护规划内容】</w:t>
          </w:r>
          <w:r>
            <w:tab/>
          </w:r>
          <w:r>
            <w:fldChar w:fldCharType="begin"/>
          </w:r>
          <w:r>
            <w:instrText xml:space="preserve"> PAGEREF _Toc157421366 \h </w:instrText>
          </w:r>
          <w:r>
            <w:fldChar w:fldCharType="separate"/>
          </w:r>
          <w:r>
            <w:t>- 6 -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"_Toc157421367" </w:instrText>
          </w:r>
          <w:r>
            <w:fldChar w:fldCharType="separate"/>
          </w:r>
          <w:r>
            <w:rPr>
              <w:rStyle w:val="23"/>
              <w:rFonts w:eastAsia="宋体"/>
              <w:lang w:eastAsia="zh-CN"/>
            </w:rPr>
            <w:t>第二十一条 【历史建筑保护规划内容】</w:t>
          </w:r>
          <w:r>
            <w:tab/>
          </w:r>
          <w:r>
            <w:fldChar w:fldCharType="begin"/>
          </w:r>
          <w:r>
            <w:instrText xml:space="preserve"> PAGEREF _Toc157421367 \h </w:instrText>
          </w:r>
          <w:r>
            <w:fldChar w:fldCharType="separate"/>
          </w:r>
          <w:r>
            <w:t>- 6 -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"_Toc157421368" </w:instrText>
          </w:r>
          <w:r>
            <w:fldChar w:fldCharType="separate"/>
          </w:r>
          <w:r>
            <w:rPr>
              <w:rStyle w:val="23"/>
              <w:rFonts w:eastAsia="宋体"/>
              <w:lang w:eastAsia="zh-CN"/>
            </w:rPr>
            <w:t>第二十二条 【规划公示、专家评审】</w:t>
          </w:r>
          <w:r>
            <w:tab/>
          </w:r>
          <w:r>
            <w:fldChar w:fldCharType="begin"/>
          </w:r>
          <w:r>
            <w:instrText xml:space="preserve"> PAGEREF _Toc157421368 \h </w:instrText>
          </w:r>
          <w:r>
            <w:fldChar w:fldCharType="separate"/>
          </w:r>
          <w:r>
            <w:t>- 6 -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"_Toc157421369" </w:instrText>
          </w:r>
          <w:r>
            <w:fldChar w:fldCharType="separate"/>
          </w:r>
          <w:r>
            <w:rPr>
              <w:rStyle w:val="23"/>
              <w:rFonts w:eastAsia="宋体"/>
              <w:lang w:eastAsia="zh-CN"/>
            </w:rPr>
            <w:t>第二十三条 【规划审批、备案与公布】</w:t>
          </w:r>
          <w:r>
            <w:tab/>
          </w:r>
          <w:r>
            <w:fldChar w:fldCharType="begin"/>
          </w:r>
          <w:r>
            <w:instrText xml:space="preserve"> PAGEREF _Toc157421369 \h </w:instrText>
          </w:r>
          <w:r>
            <w:fldChar w:fldCharType="separate"/>
          </w:r>
          <w:r>
            <w:t>- 7 -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"_Toc157421370" </w:instrText>
          </w:r>
          <w:r>
            <w:fldChar w:fldCharType="separate"/>
          </w:r>
          <w:r>
            <w:rPr>
              <w:rStyle w:val="23"/>
              <w:rFonts w:eastAsia="宋体"/>
              <w:lang w:eastAsia="zh-CN"/>
            </w:rPr>
            <w:t>第二十四条 【规划衔接】</w:t>
          </w:r>
          <w:r>
            <w:tab/>
          </w:r>
          <w:r>
            <w:fldChar w:fldCharType="begin"/>
          </w:r>
          <w:r>
            <w:instrText xml:space="preserve"> PAGEREF _Toc157421370 \h </w:instrText>
          </w:r>
          <w:r>
            <w:fldChar w:fldCharType="separate"/>
          </w:r>
          <w:r>
            <w:t>- 7 -</w:t>
          </w:r>
          <w:r>
            <w:fldChar w:fldCharType="end"/>
          </w:r>
          <w:r>
            <w:fldChar w:fldCharType="end"/>
          </w:r>
        </w:p>
        <w:p>
          <w:pPr>
            <w:pStyle w:val="12"/>
            <w:rPr>
              <w:rFonts w:eastAsiaTheme="minorEastAsia" w:cstheme="minorBidi"/>
              <w:b w:val="0"/>
              <w:bCs w:val="0"/>
              <w:caps w:val="0"/>
              <w:kern w:val="2"/>
              <w:sz w:val="21"/>
              <w:u w:val="none"/>
              <w:lang w:eastAsia="zh-CN"/>
            </w:rPr>
          </w:pPr>
          <w:r>
            <w:fldChar w:fldCharType="begin"/>
          </w:r>
          <w:r>
            <w:instrText xml:space="preserve"> HYPERLINK \l "_Toc157421371" </w:instrText>
          </w:r>
          <w:r>
            <w:fldChar w:fldCharType="separate"/>
          </w:r>
          <w:r>
            <w:rPr>
              <w:rStyle w:val="23"/>
              <w:rFonts w:ascii="黑体" w:hAnsi="黑体" w:eastAsia="黑体" w:cs="黑体"/>
              <w:lang w:eastAsia="zh-CN"/>
            </w:rPr>
            <w:t>第四章</w:t>
          </w:r>
          <w:r>
            <w:rPr>
              <w:rFonts w:eastAsiaTheme="minorEastAsia" w:cstheme="minorBidi"/>
              <w:b w:val="0"/>
              <w:bCs w:val="0"/>
              <w:caps w:val="0"/>
              <w:kern w:val="2"/>
              <w:sz w:val="21"/>
              <w:u w:val="none"/>
              <w:lang w:eastAsia="zh-CN"/>
            </w:rPr>
            <w:tab/>
          </w:r>
          <w:r>
            <w:rPr>
              <w:rStyle w:val="23"/>
              <w:rFonts w:ascii="黑体" w:hAnsi="黑体" w:eastAsia="黑体" w:cs="黑体"/>
              <w:lang w:eastAsia="zh-CN"/>
            </w:rPr>
            <w:t>保护措施</w:t>
          </w:r>
          <w:r>
            <w:tab/>
          </w:r>
          <w:r>
            <w:fldChar w:fldCharType="begin"/>
          </w:r>
          <w:r>
            <w:instrText xml:space="preserve"> PAGEREF _Toc157421371 \h </w:instrText>
          </w:r>
          <w:r>
            <w:fldChar w:fldCharType="separate"/>
          </w:r>
          <w:r>
            <w:t>- 8 -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"_Toc157421372" </w:instrText>
          </w:r>
          <w:r>
            <w:fldChar w:fldCharType="separate"/>
          </w:r>
          <w:r>
            <w:rPr>
              <w:rStyle w:val="23"/>
              <w:rFonts w:eastAsia="宋体"/>
              <w:lang w:eastAsia="zh-CN"/>
            </w:rPr>
            <w:t>第二十五条 【保护总体要求】</w:t>
          </w:r>
          <w:r>
            <w:tab/>
          </w:r>
          <w:r>
            <w:fldChar w:fldCharType="begin"/>
          </w:r>
          <w:r>
            <w:instrText xml:space="preserve"> PAGEREF _Toc157421372 \h </w:instrText>
          </w:r>
          <w:r>
            <w:fldChar w:fldCharType="separate"/>
          </w:r>
          <w:r>
            <w:t>- 8 -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"_Toc157421373" </w:instrText>
          </w:r>
          <w:r>
            <w:fldChar w:fldCharType="separate"/>
          </w:r>
          <w:r>
            <w:rPr>
              <w:rStyle w:val="23"/>
              <w:rFonts w:eastAsia="宋体"/>
              <w:lang w:eastAsia="zh-CN"/>
            </w:rPr>
            <w:t>第二十六条 【保护责任人制度】</w:t>
          </w:r>
          <w:r>
            <w:tab/>
          </w:r>
          <w:r>
            <w:fldChar w:fldCharType="begin"/>
          </w:r>
          <w:r>
            <w:instrText xml:space="preserve"> PAGEREF _Toc157421373 \h </w:instrText>
          </w:r>
          <w:r>
            <w:fldChar w:fldCharType="separate"/>
          </w:r>
          <w:r>
            <w:t>- 8 -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"_Toc157421374" </w:instrText>
          </w:r>
          <w:r>
            <w:fldChar w:fldCharType="separate"/>
          </w:r>
          <w:r>
            <w:rPr>
              <w:rStyle w:val="23"/>
              <w:rFonts w:eastAsia="宋体"/>
              <w:lang w:eastAsia="zh-CN"/>
            </w:rPr>
            <w:t>第二十七条 【保护标志】</w:t>
          </w:r>
          <w:r>
            <w:tab/>
          </w:r>
          <w:r>
            <w:fldChar w:fldCharType="begin"/>
          </w:r>
          <w:r>
            <w:instrText xml:space="preserve"> PAGEREF _Toc157421374 \h </w:instrText>
          </w:r>
          <w:r>
            <w:fldChar w:fldCharType="separate"/>
          </w:r>
          <w:r>
            <w:t>- 8 -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"_Toc157421375" </w:instrText>
          </w:r>
          <w:r>
            <w:fldChar w:fldCharType="separate"/>
          </w:r>
          <w:r>
            <w:rPr>
              <w:rStyle w:val="23"/>
              <w:rFonts w:eastAsia="宋体"/>
              <w:lang w:eastAsia="zh-CN"/>
            </w:rPr>
            <w:t>第二十八条 【禁止性行为】</w:t>
          </w:r>
          <w:r>
            <w:tab/>
          </w:r>
          <w:r>
            <w:fldChar w:fldCharType="begin"/>
          </w:r>
          <w:r>
            <w:instrText xml:space="preserve"> PAGEREF _Toc157421375 \h </w:instrText>
          </w:r>
          <w:r>
            <w:fldChar w:fldCharType="separate"/>
          </w:r>
          <w:r>
            <w:t>- 8 -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"_Toc157421376" </w:instrText>
          </w:r>
          <w:r>
            <w:fldChar w:fldCharType="separate"/>
          </w:r>
          <w:r>
            <w:rPr>
              <w:rStyle w:val="23"/>
              <w:rFonts w:eastAsia="宋体"/>
              <w:lang w:eastAsia="zh-CN"/>
            </w:rPr>
            <w:t>第二十九条 【建设控制要求】</w:t>
          </w:r>
          <w:r>
            <w:tab/>
          </w:r>
          <w:r>
            <w:fldChar w:fldCharType="begin"/>
          </w:r>
          <w:r>
            <w:instrText xml:space="preserve"> PAGEREF _Toc157421376 \h </w:instrText>
          </w:r>
          <w:r>
            <w:fldChar w:fldCharType="separate"/>
          </w:r>
          <w:r>
            <w:t>- 9 -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"_Toc157421377" </w:instrText>
          </w:r>
          <w:r>
            <w:fldChar w:fldCharType="separate"/>
          </w:r>
          <w:r>
            <w:rPr>
              <w:rStyle w:val="23"/>
              <w:rFonts w:eastAsia="宋体"/>
              <w:lang w:eastAsia="zh-CN"/>
            </w:rPr>
            <w:t>第三十条 【维护修缮要求】</w:t>
          </w:r>
          <w:r>
            <w:tab/>
          </w:r>
          <w:r>
            <w:fldChar w:fldCharType="begin"/>
          </w:r>
          <w:r>
            <w:instrText xml:space="preserve"> PAGEREF _Toc157421377 \h </w:instrText>
          </w:r>
          <w:r>
            <w:fldChar w:fldCharType="separate"/>
          </w:r>
          <w:r>
            <w:t>- 9 -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"_Toc157421378" </w:instrText>
          </w:r>
          <w:r>
            <w:fldChar w:fldCharType="separate"/>
          </w:r>
          <w:r>
            <w:rPr>
              <w:rStyle w:val="23"/>
              <w:rFonts w:eastAsia="宋体"/>
              <w:lang w:eastAsia="zh-CN"/>
            </w:rPr>
            <w:t>第三十一条 【原址保护要求】</w:t>
          </w:r>
          <w:r>
            <w:tab/>
          </w:r>
          <w:r>
            <w:fldChar w:fldCharType="begin"/>
          </w:r>
          <w:r>
            <w:instrText xml:space="preserve"> PAGEREF _Toc157421378 \h </w:instrText>
          </w:r>
          <w:r>
            <w:fldChar w:fldCharType="separate"/>
          </w:r>
          <w:r>
            <w:t>- 10 -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"_Toc157421379" </w:instrText>
          </w:r>
          <w:r>
            <w:fldChar w:fldCharType="separate"/>
          </w:r>
          <w:r>
            <w:rPr>
              <w:rStyle w:val="23"/>
              <w:rFonts w:eastAsia="宋体"/>
              <w:lang w:eastAsia="zh-CN"/>
            </w:rPr>
            <w:t>第三十二条 【消防保障方案】</w:t>
          </w:r>
          <w:r>
            <w:tab/>
          </w:r>
          <w:r>
            <w:fldChar w:fldCharType="begin"/>
          </w:r>
          <w:r>
            <w:instrText xml:space="preserve"> PAGEREF _Toc157421379 \h </w:instrText>
          </w:r>
          <w:r>
            <w:fldChar w:fldCharType="separate"/>
          </w:r>
          <w:r>
            <w:t>- 10 -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"_Toc157421380" </w:instrText>
          </w:r>
          <w:r>
            <w:fldChar w:fldCharType="separate"/>
          </w:r>
          <w:r>
            <w:rPr>
              <w:rStyle w:val="23"/>
              <w:rFonts w:eastAsia="宋体"/>
              <w:lang w:eastAsia="zh-CN"/>
            </w:rPr>
            <w:t>第三十三条 【特殊消防设计】</w:t>
          </w:r>
          <w:r>
            <w:tab/>
          </w:r>
          <w:r>
            <w:fldChar w:fldCharType="begin"/>
          </w:r>
          <w:r>
            <w:instrText xml:space="preserve"> PAGEREF _Toc157421380 \h </w:instrText>
          </w:r>
          <w:r>
            <w:fldChar w:fldCharType="separate"/>
          </w:r>
          <w:r>
            <w:t>- 10 -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"_Toc157421381" </w:instrText>
          </w:r>
          <w:r>
            <w:fldChar w:fldCharType="separate"/>
          </w:r>
          <w:r>
            <w:rPr>
              <w:rStyle w:val="23"/>
              <w:rFonts w:eastAsia="宋体"/>
              <w:lang w:eastAsia="zh-CN"/>
            </w:rPr>
            <w:t>第三十四条 【应急措施】</w:t>
          </w:r>
          <w:r>
            <w:tab/>
          </w:r>
          <w:r>
            <w:fldChar w:fldCharType="begin"/>
          </w:r>
          <w:r>
            <w:instrText xml:space="preserve"> PAGEREF _Toc157421381 \h </w:instrText>
          </w:r>
          <w:r>
            <w:fldChar w:fldCharType="separate"/>
          </w:r>
          <w:r>
            <w:t>- 10 -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"_Toc157421382" </w:instrText>
          </w:r>
          <w:r>
            <w:fldChar w:fldCharType="separate"/>
          </w:r>
          <w:r>
            <w:rPr>
              <w:rStyle w:val="23"/>
              <w:rFonts w:eastAsia="宋体"/>
              <w:lang w:eastAsia="zh-CN"/>
            </w:rPr>
            <w:t>第三十五条 【补偿机制】</w:t>
          </w:r>
          <w:r>
            <w:tab/>
          </w:r>
          <w:r>
            <w:fldChar w:fldCharType="begin"/>
          </w:r>
          <w:r>
            <w:instrText xml:space="preserve"> PAGEREF _Toc157421382 \h </w:instrText>
          </w:r>
          <w:r>
            <w:fldChar w:fldCharType="separate"/>
          </w:r>
          <w:r>
            <w:t>- 10 -</w:t>
          </w:r>
          <w:r>
            <w:fldChar w:fldCharType="end"/>
          </w:r>
          <w:r>
            <w:fldChar w:fldCharType="end"/>
          </w:r>
        </w:p>
        <w:p>
          <w:pPr>
            <w:pStyle w:val="12"/>
            <w:rPr>
              <w:rFonts w:eastAsiaTheme="minorEastAsia" w:cstheme="minorBidi"/>
              <w:b w:val="0"/>
              <w:bCs w:val="0"/>
              <w:caps w:val="0"/>
              <w:kern w:val="2"/>
              <w:sz w:val="21"/>
              <w:u w:val="none"/>
              <w:lang w:eastAsia="zh-CN"/>
            </w:rPr>
          </w:pPr>
          <w:r>
            <w:fldChar w:fldCharType="begin"/>
          </w:r>
          <w:r>
            <w:instrText xml:space="preserve"> HYPERLINK \l "_Toc157421383" </w:instrText>
          </w:r>
          <w:r>
            <w:fldChar w:fldCharType="separate"/>
          </w:r>
          <w:r>
            <w:rPr>
              <w:rStyle w:val="23"/>
              <w:rFonts w:ascii="黑体" w:hAnsi="黑体" w:eastAsia="黑体" w:cs="黑体"/>
              <w:lang w:eastAsia="zh-CN"/>
            </w:rPr>
            <w:t>第五章</w:t>
          </w:r>
          <w:r>
            <w:rPr>
              <w:rFonts w:eastAsiaTheme="minorEastAsia" w:cstheme="minorBidi"/>
              <w:b w:val="0"/>
              <w:bCs w:val="0"/>
              <w:caps w:val="0"/>
              <w:kern w:val="2"/>
              <w:sz w:val="21"/>
              <w:u w:val="none"/>
              <w:lang w:eastAsia="zh-CN"/>
            </w:rPr>
            <w:tab/>
          </w:r>
          <w:r>
            <w:rPr>
              <w:rStyle w:val="23"/>
              <w:rFonts w:ascii="黑体" w:hAnsi="黑体" w:eastAsia="黑体" w:cs="黑体"/>
              <w:lang w:eastAsia="zh-CN"/>
            </w:rPr>
            <w:t>传承利用与监督检查</w:t>
          </w:r>
          <w:r>
            <w:tab/>
          </w:r>
          <w:r>
            <w:fldChar w:fldCharType="begin"/>
          </w:r>
          <w:r>
            <w:instrText xml:space="preserve"> PAGEREF _Toc157421383 \h </w:instrText>
          </w:r>
          <w:r>
            <w:fldChar w:fldCharType="separate"/>
          </w:r>
          <w:r>
            <w:t>- 12 -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"_Toc157421384" </w:instrText>
          </w:r>
          <w:r>
            <w:fldChar w:fldCharType="separate"/>
          </w:r>
          <w:r>
            <w:rPr>
              <w:rStyle w:val="23"/>
              <w:rFonts w:eastAsia="宋体"/>
              <w:lang w:eastAsia="zh-CN"/>
            </w:rPr>
            <w:t>第三十六条 【历史文化名城名镇名村传承利用】</w:t>
          </w:r>
          <w:r>
            <w:tab/>
          </w:r>
          <w:r>
            <w:fldChar w:fldCharType="begin"/>
          </w:r>
          <w:r>
            <w:instrText xml:space="preserve"> PAGEREF _Toc157421384 \h </w:instrText>
          </w:r>
          <w:r>
            <w:fldChar w:fldCharType="separate"/>
          </w:r>
          <w:r>
            <w:t>- 12 -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"_Toc157421385" </w:instrText>
          </w:r>
          <w:r>
            <w:fldChar w:fldCharType="separate"/>
          </w:r>
          <w:r>
            <w:rPr>
              <w:rStyle w:val="23"/>
              <w:rFonts w:eastAsia="宋体"/>
              <w:lang w:eastAsia="zh-CN"/>
            </w:rPr>
            <w:t>第三十七条 【历史文化街区和历史地段传承利用】</w:t>
          </w:r>
          <w:r>
            <w:tab/>
          </w:r>
          <w:r>
            <w:fldChar w:fldCharType="begin"/>
          </w:r>
          <w:r>
            <w:instrText xml:space="preserve"> PAGEREF _Toc157421385 \h </w:instrText>
          </w:r>
          <w:r>
            <w:fldChar w:fldCharType="separate"/>
          </w:r>
          <w:r>
            <w:t>- 12 -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"_Toc157421386" </w:instrText>
          </w:r>
          <w:r>
            <w:fldChar w:fldCharType="separate"/>
          </w:r>
          <w:r>
            <w:rPr>
              <w:rStyle w:val="23"/>
              <w:rFonts w:eastAsia="宋体"/>
              <w:lang w:eastAsia="zh-CN"/>
            </w:rPr>
            <w:t>第三十八条 【历史建筑活化利用】</w:t>
          </w:r>
          <w:r>
            <w:tab/>
          </w:r>
          <w:r>
            <w:fldChar w:fldCharType="begin"/>
          </w:r>
          <w:r>
            <w:instrText xml:space="preserve"> PAGEREF _Toc157421386 \h </w:instrText>
          </w:r>
          <w:r>
            <w:fldChar w:fldCharType="separate"/>
          </w:r>
          <w:r>
            <w:t>- 12 -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"_Toc157421387" </w:instrText>
          </w:r>
          <w:r>
            <w:fldChar w:fldCharType="separate"/>
          </w:r>
          <w:r>
            <w:rPr>
              <w:rStyle w:val="23"/>
              <w:rFonts w:eastAsia="宋体"/>
              <w:lang w:eastAsia="zh-CN"/>
            </w:rPr>
            <w:t>第三十九条 【活态传承】</w:t>
          </w:r>
          <w:r>
            <w:tab/>
          </w:r>
          <w:r>
            <w:fldChar w:fldCharType="begin"/>
          </w:r>
          <w:r>
            <w:instrText xml:space="preserve"> PAGEREF _Toc157421387 \h </w:instrText>
          </w:r>
          <w:r>
            <w:fldChar w:fldCharType="separate"/>
          </w:r>
          <w:r>
            <w:t>- 12 -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"_Toc157421388" </w:instrText>
          </w:r>
          <w:r>
            <w:fldChar w:fldCharType="separate"/>
          </w:r>
          <w:r>
            <w:rPr>
              <w:rStyle w:val="23"/>
              <w:rFonts w:eastAsia="宋体"/>
              <w:lang w:eastAsia="zh-CN"/>
            </w:rPr>
            <w:t>第四十条 【挖掘阐释】</w:t>
          </w:r>
          <w:r>
            <w:tab/>
          </w:r>
          <w:r>
            <w:fldChar w:fldCharType="begin"/>
          </w:r>
          <w:r>
            <w:instrText xml:space="preserve"> PAGEREF _Toc157421388 \h </w:instrText>
          </w:r>
          <w:r>
            <w:fldChar w:fldCharType="separate"/>
          </w:r>
          <w:r>
            <w:t>- 12 -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"_Toc157421389" </w:instrText>
          </w:r>
          <w:r>
            <w:fldChar w:fldCharType="separate"/>
          </w:r>
          <w:r>
            <w:rPr>
              <w:rStyle w:val="23"/>
              <w:rFonts w:eastAsia="宋体"/>
              <w:lang w:eastAsia="zh-CN"/>
            </w:rPr>
            <w:t>第四十一条 【鼓励创新】</w:t>
          </w:r>
          <w:r>
            <w:tab/>
          </w:r>
          <w:r>
            <w:fldChar w:fldCharType="begin"/>
          </w:r>
          <w:r>
            <w:instrText xml:space="preserve"> PAGEREF _Toc157421389 \h </w:instrText>
          </w:r>
          <w:r>
            <w:fldChar w:fldCharType="separate"/>
          </w:r>
          <w:r>
            <w:t>- 13 -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"_Toc157421390" </w:instrText>
          </w:r>
          <w:r>
            <w:fldChar w:fldCharType="separate"/>
          </w:r>
          <w:r>
            <w:rPr>
              <w:rStyle w:val="23"/>
              <w:rFonts w:eastAsia="宋体"/>
              <w:lang w:eastAsia="zh-CN"/>
            </w:rPr>
            <w:t>第四十二条 【评估工作】</w:t>
          </w:r>
          <w:r>
            <w:tab/>
          </w:r>
          <w:r>
            <w:fldChar w:fldCharType="begin"/>
          </w:r>
          <w:r>
            <w:instrText xml:space="preserve"> PAGEREF _Toc157421390 \h </w:instrText>
          </w:r>
          <w:r>
            <w:fldChar w:fldCharType="separate"/>
          </w:r>
          <w:r>
            <w:t>- 13 -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"_Toc157421391" </w:instrText>
          </w:r>
          <w:r>
            <w:fldChar w:fldCharType="separate"/>
          </w:r>
          <w:r>
            <w:rPr>
              <w:rStyle w:val="23"/>
              <w:rFonts w:eastAsia="宋体"/>
              <w:lang w:eastAsia="zh-CN"/>
            </w:rPr>
            <w:t>第四十三条 【巡查检查】</w:t>
          </w:r>
          <w:r>
            <w:tab/>
          </w:r>
          <w:r>
            <w:fldChar w:fldCharType="begin"/>
          </w:r>
          <w:r>
            <w:instrText xml:space="preserve"> PAGEREF _Toc157421391 \h </w:instrText>
          </w:r>
          <w:r>
            <w:fldChar w:fldCharType="separate"/>
          </w:r>
          <w:r>
            <w:t>- 13 -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"_Toc157421392" </w:instrText>
          </w:r>
          <w:r>
            <w:fldChar w:fldCharType="separate"/>
          </w:r>
          <w:r>
            <w:rPr>
              <w:rStyle w:val="23"/>
              <w:rFonts w:eastAsia="宋体"/>
              <w:lang w:eastAsia="zh-CN"/>
            </w:rPr>
            <w:t>第四十四条 【社会监督】</w:t>
          </w:r>
          <w:r>
            <w:tab/>
          </w:r>
          <w:r>
            <w:fldChar w:fldCharType="begin"/>
          </w:r>
          <w:r>
            <w:instrText xml:space="preserve"> PAGEREF _Toc157421392 \h </w:instrText>
          </w:r>
          <w:r>
            <w:fldChar w:fldCharType="separate"/>
          </w:r>
          <w:r>
            <w:t>- 13 -</w:t>
          </w:r>
          <w:r>
            <w:fldChar w:fldCharType="end"/>
          </w:r>
          <w:r>
            <w:fldChar w:fldCharType="end"/>
          </w:r>
        </w:p>
        <w:p>
          <w:pPr>
            <w:pStyle w:val="12"/>
            <w:rPr>
              <w:rFonts w:eastAsiaTheme="minorEastAsia" w:cstheme="minorBidi"/>
              <w:b w:val="0"/>
              <w:bCs w:val="0"/>
              <w:caps w:val="0"/>
              <w:kern w:val="2"/>
              <w:sz w:val="21"/>
              <w:u w:val="none"/>
              <w:lang w:eastAsia="zh-CN"/>
            </w:rPr>
          </w:pPr>
          <w:r>
            <w:fldChar w:fldCharType="begin"/>
          </w:r>
          <w:r>
            <w:instrText xml:space="preserve"> HYPERLINK \l "_Toc157421393" </w:instrText>
          </w:r>
          <w:r>
            <w:fldChar w:fldCharType="separate"/>
          </w:r>
          <w:r>
            <w:rPr>
              <w:rStyle w:val="23"/>
              <w:rFonts w:ascii="黑体" w:hAnsi="黑体" w:eastAsia="黑体" w:cs="黑体"/>
              <w:lang w:eastAsia="zh-CN"/>
            </w:rPr>
            <w:t>第六章</w:t>
          </w:r>
          <w:r>
            <w:rPr>
              <w:rFonts w:eastAsiaTheme="minorEastAsia" w:cstheme="minorBidi"/>
              <w:b w:val="0"/>
              <w:bCs w:val="0"/>
              <w:caps w:val="0"/>
              <w:kern w:val="2"/>
              <w:sz w:val="21"/>
              <w:u w:val="none"/>
              <w:lang w:eastAsia="zh-CN"/>
            </w:rPr>
            <w:tab/>
          </w:r>
          <w:r>
            <w:rPr>
              <w:rStyle w:val="23"/>
              <w:rFonts w:ascii="黑体" w:hAnsi="黑体" w:eastAsia="黑体" w:cs="黑体"/>
              <w:lang w:eastAsia="zh-CN"/>
            </w:rPr>
            <w:t>法律责任</w:t>
          </w:r>
          <w:r>
            <w:tab/>
          </w:r>
          <w:r>
            <w:fldChar w:fldCharType="begin"/>
          </w:r>
          <w:r>
            <w:instrText xml:space="preserve"> PAGEREF _Toc157421393 \h </w:instrText>
          </w:r>
          <w:r>
            <w:fldChar w:fldCharType="separate"/>
          </w:r>
          <w:r>
            <w:t>- 14 -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"_Toc157421394" </w:instrText>
          </w:r>
          <w:r>
            <w:fldChar w:fldCharType="separate"/>
          </w:r>
          <w:r>
            <w:rPr>
              <w:rStyle w:val="23"/>
              <w:rFonts w:eastAsia="宋体"/>
              <w:lang w:eastAsia="zh-CN"/>
            </w:rPr>
            <w:t>第四十五条 【监督管理责任】</w:t>
          </w:r>
          <w:r>
            <w:tab/>
          </w:r>
          <w:r>
            <w:fldChar w:fldCharType="begin"/>
          </w:r>
          <w:r>
            <w:instrText xml:space="preserve"> PAGEREF _Toc157421394 \h </w:instrText>
          </w:r>
          <w:r>
            <w:fldChar w:fldCharType="separate"/>
          </w:r>
          <w:r>
            <w:t>- 14 -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"_Toc157421395" </w:instrText>
          </w:r>
          <w:r>
            <w:fldChar w:fldCharType="separate"/>
          </w:r>
          <w:r>
            <w:rPr>
              <w:rStyle w:val="23"/>
              <w:rFonts w:eastAsia="宋体"/>
              <w:lang w:eastAsia="zh-CN"/>
            </w:rPr>
            <w:t>第四十六条 【规划编制审批责任】</w:t>
          </w:r>
          <w:r>
            <w:tab/>
          </w:r>
          <w:r>
            <w:fldChar w:fldCharType="begin"/>
          </w:r>
          <w:r>
            <w:instrText xml:space="preserve"> PAGEREF _Toc157421395 \h </w:instrText>
          </w:r>
          <w:r>
            <w:fldChar w:fldCharType="separate"/>
          </w:r>
          <w:r>
            <w:t>- 14 -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"_Toc157421396" </w:instrText>
          </w:r>
          <w:r>
            <w:fldChar w:fldCharType="separate"/>
          </w:r>
          <w:r>
            <w:rPr>
              <w:rStyle w:val="23"/>
              <w:rFonts w:eastAsia="宋体"/>
              <w:lang w:eastAsia="zh-CN"/>
            </w:rPr>
            <w:t>第四十七条 【保护不力责任】</w:t>
          </w:r>
          <w:r>
            <w:tab/>
          </w:r>
          <w:r>
            <w:fldChar w:fldCharType="begin"/>
          </w:r>
          <w:r>
            <w:instrText xml:space="preserve"> PAGEREF _Toc157421396 \h </w:instrText>
          </w:r>
          <w:r>
            <w:fldChar w:fldCharType="separate"/>
          </w:r>
          <w:r>
            <w:t>- 14 -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"_Toc157421397" </w:instrText>
          </w:r>
          <w:r>
            <w:fldChar w:fldCharType="separate"/>
          </w:r>
          <w:r>
            <w:rPr>
              <w:rStyle w:val="23"/>
              <w:rFonts w:eastAsia="宋体"/>
              <w:lang w:eastAsia="zh-CN"/>
            </w:rPr>
            <w:t>第四十八条 【违反禁止性行为责任】</w:t>
          </w:r>
          <w:r>
            <w:tab/>
          </w:r>
          <w:r>
            <w:fldChar w:fldCharType="begin"/>
          </w:r>
          <w:r>
            <w:instrText xml:space="preserve"> PAGEREF _Toc157421397 \h </w:instrText>
          </w:r>
          <w:r>
            <w:fldChar w:fldCharType="separate"/>
          </w:r>
          <w:r>
            <w:t>- 14 -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"_Toc157421398" </w:instrText>
          </w:r>
          <w:r>
            <w:fldChar w:fldCharType="separate"/>
          </w:r>
          <w:r>
            <w:rPr>
              <w:rStyle w:val="23"/>
              <w:rFonts w:eastAsia="宋体"/>
              <w:lang w:eastAsia="zh-CN"/>
            </w:rPr>
            <w:t>第四十九条 【破坏历史建筑责任】</w:t>
          </w:r>
          <w:r>
            <w:tab/>
          </w:r>
          <w:r>
            <w:fldChar w:fldCharType="begin"/>
          </w:r>
          <w:r>
            <w:instrText xml:space="preserve"> PAGEREF _Toc157421398 \h </w:instrText>
          </w:r>
          <w:r>
            <w:fldChar w:fldCharType="separate"/>
          </w:r>
          <w:r>
            <w:t>- 15 -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"_Toc157421399" </w:instrText>
          </w:r>
          <w:r>
            <w:fldChar w:fldCharType="separate"/>
          </w:r>
          <w:r>
            <w:rPr>
              <w:rStyle w:val="23"/>
              <w:rFonts w:eastAsia="宋体"/>
              <w:lang w:eastAsia="zh-CN"/>
            </w:rPr>
            <w:t>第五十条 【违反行政许可责任】</w:t>
          </w:r>
          <w:r>
            <w:tab/>
          </w:r>
          <w:r>
            <w:fldChar w:fldCharType="begin"/>
          </w:r>
          <w:r>
            <w:instrText xml:space="preserve"> PAGEREF _Toc157421399 \h </w:instrText>
          </w:r>
          <w:r>
            <w:fldChar w:fldCharType="separate"/>
          </w:r>
          <w:r>
            <w:t>- 15 -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"_Toc157421400" </w:instrText>
          </w:r>
          <w:r>
            <w:fldChar w:fldCharType="separate"/>
          </w:r>
          <w:r>
            <w:rPr>
              <w:rStyle w:val="23"/>
              <w:rFonts w:eastAsia="宋体"/>
              <w:lang w:eastAsia="zh-CN"/>
            </w:rPr>
            <w:t>第五十一条 【违反保护标志规定】</w:t>
          </w:r>
          <w:r>
            <w:tab/>
          </w:r>
          <w:r>
            <w:fldChar w:fldCharType="begin"/>
          </w:r>
          <w:r>
            <w:instrText xml:space="preserve"> PAGEREF _Toc157421400 \h </w:instrText>
          </w:r>
          <w:r>
            <w:fldChar w:fldCharType="separate"/>
          </w:r>
          <w:r>
            <w:t>- 16 -</w:t>
          </w:r>
          <w:r>
            <w:fldChar w:fldCharType="end"/>
          </w:r>
          <w:r>
            <w:fldChar w:fldCharType="end"/>
          </w:r>
        </w:p>
        <w:p>
          <w:pPr>
            <w:pStyle w:val="12"/>
            <w:rPr>
              <w:rFonts w:eastAsiaTheme="minorEastAsia" w:cstheme="minorBidi"/>
              <w:b w:val="0"/>
              <w:bCs w:val="0"/>
              <w:caps w:val="0"/>
              <w:kern w:val="2"/>
              <w:sz w:val="21"/>
              <w:u w:val="none"/>
              <w:lang w:eastAsia="zh-CN"/>
            </w:rPr>
          </w:pPr>
          <w:r>
            <w:fldChar w:fldCharType="begin"/>
          </w:r>
          <w:r>
            <w:instrText xml:space="preserve"> HYPERLINK \l "_Toc157421401" </w:instrText>
          </w:r>
          <w:r>
            <w:fldChar w:fldCharType="separate"/>
          </w:r>
          <w:r>
            <w:rPr>
              <w:rStyle w:val="23"/>
              <w:rFonts w:ascii="黑体" w:hAnsi="黑体" w:eastAsia="黑体" w:cs="黑体"/>
              <w:lang w:eastAsia="zh-CN"/>
            </w:rPr>
            <w:t>第七章</w:t>
          </w:r>
          <w:r>
            <w:rPr>
              <w:rFonts w:eastAsiaTheme="minorEastAsia" w:cstheme="minorBidi"/>
              <w:b w:val="0"/>
              <w:bCs w:val="0"/>
              <w:caps w:val="0"/>
              <w:kern w:val="2"/>
              <w:sz w:val="21"/>
              <w:u w:val="none"/>
              <w:lang w:eastAsia="zh-CN"/>
            </w:rPr>
            <w:tab/>
          </w:r>
          <w:r>
            <w:rPr>
              <w:rStyle w:val="23"/>
              <w:rFonts w:ascii="黑体" w:hAnsi="黑体" w:eastAsia="黑体" w:cs="黑体"/>
              <w:lang w:eastAsia="zh-CN"/>
            </w:rPr>
            <w:t>附则</w:t>
          </w:r>
          <w:r>
            <w:tab/>
          </w:r>
          <w:r>
            <w:fldChar w:fldCharType="begin"/>
          </w:r>
          <w:r>
            <w:instrText xml:space="preserve"> PAGEREF _Toc157421401 \h </w:instrText>
          </w:r>
          <w:r>
            <w:fldChar w:fldCharType="separate"/>
          </w:r>
          <w:r>
            <w:t>- 17 -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"_Toc157421402" </w:instrText>
          </w:r>
          <w:r>
            <w:fldChar w:fldCharType="separate"/>
          </w:r>
          <w:r>
            <w:rPr>
              <w:rStyle w:val="23"/>
              <w:rFonts w:eastAsia="宋体"/>
              <w:lang w:eastAsia="zh-CN"/>
            </w:rPr>
            <w:t>第五十二条 【名词解释】</w:t>
          </w:r>
          <w:r>
            <w:tab/>
          </w:r>
          <w:r>
            <w:fldChar w:fldCharType="begin"/>
          </w:r>
          <w:r>
            <w:instrText xml:space="preserve"> PAGEREF _Toc157421402 \h </w:instrText>
          </w:r>
          <w:r>
            <w:fldChar w:fldCharType="separate"/>
          </w:r>
          <w:r>
            <w:t>- 17 -</w:t>
          </w:r>
          <w:r>
            <w:fldChar w:fldCharType="end"/>
          </w:r>
          <w:r>
            <w:fldChar w:fldCharType="end"/>
          </w:r>
        </w:p>
        <w:p>
          <w:pPr>
            <w:pStyle w:val="17"/>
            <w:rPr>
              <w:rFonts w:eastAsiaTheme="minorEastAsia" w:cstheme="minorBidi"/>
              <w:b w:val="0"/>
              <w:bCs w:val="0"/>
              <w:smallCaps w:val="0"/>
              <w:kern w:val="2"/>
              <w:sz w:val="21"/>
              <w:lang w:eastAsia="zh-CN"/>
            </w:rPr>
          </w:pPr>
          <w:r>
            <w:fldChar w:fldCharType="begin"/>
          </w:r>
          <w:r>
            <w:instrText xml:space="preserve"> HYPERLINK \l "_Toc157421403" </w:instrText>
          </w:r>
          <w:r>
            <w:fldChar w:fldCharType="separate"/>
          </w:r>
          <w:r>
            <w:rPr>
              <w:rStyle w:val="23"/>
              <w:rFonts w:eastAsia="宋体"/>
              <w:lang w:eastAsia="zh-CN"/>
            </w:rPr>
            <w:t>第五十三条 【实施期限】</w:t>
          </w:r>
          <w:r>
            <w:tab/>
          </w:r>
          <w:r>
            <w:fldChar w:fldCharType="begin"/>
          </w:r>
          <w:r>
            <w:instrText xml:space="preserve"> PAGEREF _Toc157421403 \h </w:instrText>
          </w:r>
          <w:r>
            <w:fldChar w:fldCharType="separate"/>
          </w:r>
          <w:r>
            <w:t>- 17 -</w:t>
          </w:r>
          <w:r>
            <w:fldChar w:fldCharType="end"/>
          </w:r>
          <w:r>
            <w:fldChar w:fldCharType="end"/>
          </w:r>
        </w:p>
        <w:p>
          <w:pPr>
            <w:pStyle w:val="17"/>
          </w:pPr>
          <w:r>
            <w:rPr>
              <w:lang w:val="zh-CN"/>
            </w:rPr>
            <w:fldChar w:fldCharType="end"/>
          </w:r>
        </w:p>
      </w:sdtContent>
    </w:sdt>
    <w:p>
      <w:pPr>
        <w:rPr>
          <w:rFonts w:eastAsia="方正小标宋简体"/>
          <w:lang w:eastAsia="zh-CN"/>
        </w:rPr>
      </w:pPr>
      <w:r>
        <w:rPr>
          <w:rFonts w:eastAsia="方正小标宋简体"/>
          <w:lang w:eastAsia="zh-CN"/>
        </w:rPr>
        <w:br w:type="page"/>
      </w:r>
    </w:p>
    <w:p>
      <w:pPr>
        <w:rPr>
          <w:rFonts w:eastAsia="方正小标宋简体"/>
          <w:lang w:eastAsia="zh-CN"/>
        </w:rPr>
        <w:sectPr>
          <w:footerReference r:id="rId5" w:type="default"/>
          <w:pgSz w:w="11906" w:h="16838"/>
          <w:pgMar w:top="1701" w:right="1474" w:bottom="1440" w:left="1587" w:header="708" w:footer="708" w:gutter="0"/>
          <w:pgNumType w:fmt="numberInDash" w:start="1"/>
          <w:cols w:space="708" w:num="1"/>
          <w:docGrid w:linePitch="360" w:charSpace="0"/>
        </w:sectPr>
      </w:pPr>
      <w:r>
        <w:rPr>
          <w:rFonts w:eastAsia="方正小标宋简体"/>
          <w:lang w:eastAsia="zh-CN"/>
        </w:rPr>
        <w:br w:type="page"/>
      </w:r>
    </w:p>
    <w:p>
      <w:pPr>
        <w:rPr>
          <w:rFonts w:eastAsia="方正小标宋简体"/>
          <w:lang w:eastAsia="zh-CN"/>
        </w:rPr>
      </w:pPr>
    </w:p>
    <w:p>
      <w:pPr>
        <w:numPr>
          <w:ilvl w:val="0"/>
          <w:numId w:val="2"/>
        </w:numPr>
        <w:snapToGrid/>
        <w:spacing w:line="360" w:lineRule="auto"/>
        <w:ind w:left="0" w:firstLine="0" w:firstLineChars="0"/>
        <w:jc w:val="center"/>
        <w:outlineLvl w:val="0"/>
        <w:rPr>
          <w:rFonts w:ascii="黑体" w:hAnsi="黑体" w:eastAsia="黑体" w:cs="黑体"/>
          <w:kern w:val="2"/>
          <w:sz w:val="32"/>
          <w:szCs w:val="32"/>
          <w:lang w:eastAsia="zh-CN"/>
        </w:rPr>
      </w:pPr>
      <w:bookmarkStart w:id="0" w:name="_Toc112661700"/>
      <w:bookmarkStart w:id="1" w:name="_Toc157421344"/>
      <w:r>
        <w:rPr>
          <w:rFonts w:ascii="黑体" w:hAnsi="黑体" w:eastAsia="黑体" w:cs="黑体"/>
          <w:kern w:val="2"/>
          <w:sz w:val="32"/>
          <w:szCs w:val="32"/>
          <w:lang w:eastAsia="zh-CN"/>
        </w:rPr>
        <w:t>总则</w:t>
      </w:r>
      <w:bookmarkEnd w:id="0"/>
      <w:bookmarkEnd w:id="1"/>
    </w:p>
    <w:p>
      <w:pPr>
        <w:pStyle w:val="27"/>
        <w:rPr>
          <w:rFonts w:eastAsia="宋体"/>
          <w:lang w:eastAsia="zh-CN"/>
        </w:rPr>
      </w:pPr>
      <w:bookmarkStart w:id="2" w:name="_Toc112661701"/>
      <w:bookmarkStart w:id="3" w:name="_Toc157421345"/>
      <w:r>
        <w:rPr>
          <w:rFonts w:hint="eastAsia" w:eastAsia="宋体"/>
          <w:lang w:eastAsia="zh-CN"/>
        </w:rPr>
        <w:t>【立法目的】</w:t>
      </w:r>
      <w:bookmarkEnd w:id="2"/>
      <w:bookmarkEnd w:id="3"/>
    </w:p>
    <w:p>
      <w:pPr>
        <w:rPr>
          <w:rFonts w:eastAsia="宋体"/>
          <w:lang w:eastAsia="zh-CN"/>
        </w:rPr>
      </w:pPr>
      <w:r>
        <w:rPr>
          <w:rFonts w:hint="eastAsia" w:eastAsia="宋体"/>
          <w:lang w:eastAsia="zh-CN"/>
        </w:rPr>
        <w:t>为了加强历史文化名城、名镇、名村的保护与管理，统筹协调历史文化保护传承与城乡建设发展，根据《中华人民共和国文物保护法》《中华人民共和国非物质文化遗产法》《历史文化名城名镇名村保护条例》和其他有关法律、法规的规定，结合本省实际，制定本条例。</w:t>
      </w:r>
    </w:p>
    <w:p>
      <w:pPr>
        <w:rPr>
          <w:rFonts w:eastAsia="宋体"/>
          <w:lang w:eastAsia="zh-CN"/>
        </w:rPr>
      </w:pPr>
    </w:p>
    <w:p>
      <w:pPr>
        <w:pStyle w:val="27"/>
        <w:rPr>
          <w:rFonts w:eastAsia="宋体"/>
          <w:lang w:eastAsia="zh-CN"/>
        </w:rPr>
      </w:pPr>
      <w:bookmarkStart w:id="4" w:name="_Toc112661702"/>
      <w:bookmarkStart w:id="5" w:name="_Toc157421346"/>
      <w:r>
        <w:rPr>
          <w:rFonts w:hint="eastAsia" w:eastAsia="宋体"/>
          <w:lang w:eastAsia="zh-CN"/>
        </w:rPr>
        <w:t>【适用范围】</w:t>
      </w:r>
      <w:bookmarkEnd w:id="4"/>
      <w:bookmarkEnd w:id="5"/>
    </w:p>
    <w:p>
      <w:pPr>
        <w:rPr>
          <w:rFonts w:eastAsia="宋体"/>
          <w:lang w:eastAsia="zh-CN"/>
        </w:rPr>
      </w:pPr>
      <w:r>
        <w:rPr>
          <w:rFonts w:hint="eastAsia" w:eastAsia="宋体"/>
          <w:lang w:eastAsia="zh-CN"/>
        </w:rPr>
        <w:t>本省行政区域内历史文化名城、名镇、名村的保护与管理，适用本条例。</w:t>
      </w:r>
    </w:p>
    <w:p>
      <w:pPr>
        <w:rPr>
          <w:rFonts w:eastAsia="宋体"/>
          <w:lang w:eastAsia="zh-CN"/>
        </w:rPr>
      </w:pPr>
      <w:r>
        <w:rPr>
          <w:rFonts w:hint="eastAsia" w:eastAsia="宋体"/>
          <w:lang w:eastAsia="zh-CN"/>
        </w:rPr>
        <w:t>本省行政区域内历史文化街区、历史地段和历史建筑</w:t>
      </w:r>
      <w:bookmarkStart w:id="6" w:name="_Hlk108626836"/>
      <w:r>
        <w:rPr>
          <w:rFonts w:hint="eastAsia" w:eastAsia="宋体"/>
          <w:lang w:eastAsia="zh-CN"/>
        </w:rPr>
        <w:t>的保护与管理</w:t>
      </w:r>
      <w:bookmarkEnd w:id="6"/>
      <w:r>
        <w:rPr>
          <w:rFonts w:hint="eastAsia" w:eastAsia="宋体"/>
          <w:lang w:eastAsia="zh-CN"/>
        </w:rPr>
        <w:t>，按照本条例有关规定执行。</w:t>
      </w:r>
    </w:p>
    <w:p>
      <w:pPr>
        <w:rPr>
          <w:rFonts w:eastAsia="宋体"/>
          <w:lang w:eastAsia="zh-CN"/>
        </w:rPr>
      </w:pPr>
    </w:p>
    <w:p>
      <w:pPr>
        <w:pStyle w:val="27"/>
        <w:rPr>
          <w:rFonts w:eastAsia="宋体"/>
          <w:lang w:eastAsia="zh-CN"/>
        </w:rPr>
      </w:pPr>
      <w:bookmarkStart w:id="7" w:name="_Toc112661705"/>
      <w:bookmarkEnd w:id="7"/>
      <w:bookmarkStart w:id="8" w:name="_Toc112661703"/>
      <w:bookmarkEnd w:id="8"/>
      <w:bookmarkStart w:id="9" w:name="_Toc112661704"/>
      <w:bookmarkEnd w:id="9"/>
      <w:bookmarkStart w:id="10" w:name="_Toc112661706"/>
      <w:bookmarkStart w:id="11" w:name="_Toc157421347"/>
      <w:r>
        <w:rPr>
          <w:rFonts w:hint="eastAsia" w:eastAsia="宋体"/>
          <w:lang w:eastAsia="zh-CN"/>
        </w:rPr>
        <w:t>【保护原则】</w:t>
      </w:r>
      <w:bookmarkEnd w:id="10"/>
      <w:bookmarkEnd w:id="11"/>
    </w:p>
    <w:p>
      <w:pPr>
        <w:ind w:firstLine="520"/>
        <w:rPr>
          <w:rFonts w:eastAsia="宋体"/>
          <w:spacing w:val="20"/>
          <w:szCs w:val="22"/>
          <w:lang w:eastAsia="zh-CN"/>
        </w:rPr>
      </w:pPr>
      <w:r>
        <w:rPr>
          <w:rFonts w:hint="eastAsia" w:eastAsia="宋体"/>
          <w:spacing w:val="20"/>
          <w:szCs w:val="22"/>
          <w:lang w:eastAsia="zh-CN"/>
        </w:rPr>
        <w:t>历史文化名城、名镇、名村、街区，历史地段和历史建筑保护应当遵循科学规划、严格保护、合理利用、传承发展、共治共享的原则，维护历史文化遗产的真实性、历史风貌的完整性、文化的延续性，正确处理历史文化保护传承与城乡建设、经济社会发展的关系。</w:t>
      </w:r>
    </w:p>
    <w:p>
      <w:pPr>
        <w:rPr>
          <w:rFonts w:eastAsia="宋体"/>
          <w:lang w:eastAsia="zh-CN"/>
        </w:rPr>
      </w:pPr>
    </w:p>
    <w:p>
      <w:pPr>
        <w:pStyle w:val="27"/>
        <w:rPr>
          <w:rFonts w:eastAsia="宋体"/>
          <w:lang w:eastAsia="zh-CN"/>
        </w:rPr>
      </w:pPr>
      <w:bookmarkStart w:id="12" w:name="_Toc112661707"/>
      <w:bookmarkStart w:id="13" w:name="_Toc157421348"/>
      <w:r>
        <w:rPr>
          <w:rFonts w:hint="eastAsia" w:eastAsia="宋体"/>
          <w:lang w:eastAsia="zh-CN"/>
        </w:rPr>
        <w:t>【各级政府及村（居）民委员会职责】</w:t>
      </w:r>
      <w:bookmarkEnd w:id="12"/>
      <w:bookmarkEnd w:id="13"/>
    </w:p>
    <w:p>
      <w:pPr>
        <w:rPr>
          <w:rFonts w:eastAsia="宋体"/>
          <w:lang w:eastAsia="zh-CN"/>
        </w:rPr>
      </w:pPr>
      <w:r>
        <w:rPr>
          <w:rFonts w:hint="eastAsia" w:eastAsia="宋体"/>
          <w:lang w:eastAsia="zh-CN"/>
        </w:rPr>
        <w:t>县级以上人民政府负责本行政区域历史文化名城、名镇、名村、街区，历史地段和历史建筑的保护利用和监督管理工作，将保护工作纳入国民经济和社会发展规划，</w:t>
      </w:r>
      <w:bookmarkStart w:id="14" w:name="_Hlk155937299"/>
      <w:r>
        <w:rPr>
          <w:rFonts w:hint="eastAsia" w:eastAsia="宋体"/>
          <w:lang w:eastAsia="zh-CN"/>
        </w:rPr>
        <w:t>根据实际情况在财政预算中安排专项保护资金。</w:t>
      </w:r>
    </w:p>
    <w:bookmarkEnd w:id="14"/>
    <w:p>
      <w:pPr>
        <w:rPr>
          <w:rFonts w:eastAsia="宋体"/>
          <w:lang w:eastAsia="zh-CN"/>
        </w:rPr>
      </w:pPr>
      <w:r>
        <w:rPr>
          <w:rFonts w:hint="eastAsia" w:eastAsia="宋体"/>
          <w:lang w:eastAsia="zh-CN"/>
        </w:rPr>
        <w:t>乡镇人民政府、街道办事处负责本辖区历史文化名镇、名村、街区，历史地段和历史建筑保护与管理的具体工作。</w:t>
      </w:r>
    </w:p>
    <w:p>
      <w:pPr>
        <w:rPr>
          <w:rFonts w:eastAsia="宋体"/>
          <w:lang w:eastAsia="zh-CN"/>
        </w:rPr>
      </w:pPr>
      <w:r>
        <w:rPr>
          <w:rFonts w:hint="eastAsia" w:eastAsia="宋体"/>
          <w:lang w:eastAsia="zh-CN"/>
        </w:rPr>
        <w:t>村民委员会、居民委员会应当配合做好历史文化名村、街区，历史地段和历史建筑的保护工作。</w:t>
      </w:r>
    </w:p>
    <w:p>
      <w:pPr>
        <w:rPr>
          <w:rFonts w:eastAsia="楷体"/>
          <w:lang w:eastAsia="zh-CN"/>
        </w:rPr>
      </w:pPr>
    </w:p>
    <w:p>
      <w:pPr>
        <w:pStyle w:val="27"/>
        <w:rPr>
          <w:rFonts w:eastAsia="宋体"/>
          <w:lang w:eastAsia="zh-CN"/>
        </w:rPr>
      </w:pPr>
      <w:bookmarkStart w:id="15" w:name="_Toc157421349"/>
      <w:bookmarkStart w:id="16" w:name="_Toc112661708"/>
      <w:r>
        <w:rPr>
          <w:rFonts w:hint="eastAsia" w:eastAsia="宋体"/>
          <w:lang w:eastAsia="zh-CN"/>
        </w:rPr>
        <w:t>【部门职责】</w:t>
      </w:r>
      <w:bookmarkEnd w:id="15"/>
      <w:bookmarkEnd w:id="16"/>
    </w:p>
    <w:p>
      <w:pPr>
        <w:rPr>
          <w:rFonts w:eastAsia="宋体"/>
          <w:lang w:eastAsia="zh-CN"/>
        </w:rPr>
      </w:pPr>
      <w:r>
        <w:rPr>
          <w:rFonts w:hint="eastAsia" w:eastAsia="宋体"/>
          <w:lang w:eastAsia="zh-CN"/>
        </w:rPr>
        <w:t>省住房城乡建设主管部门会同文物主管部门负责全省历史文化名城、名镇、名村、街区和历史地段保护工作的指导、监督和检查，制定相关标准和规范。</w:t>
      </w:r>
    </w:p>
    <w:p>
      <w:pPr>
        <w:rPr>
          <w:rFonts w:eastAsia="宋体"/>
          <w:lang w:eastAsia="zh-CN"/>
        </w:rPr>
      </w:pPr>
      <w:r>
        <w:rPr>
          <w:rFonts w:hint="eastAsia" w:eastAsia="宋体"/>
          <w:lang w:eastAsia="zh-CN"/>
        </w:rPr>
        <w:t>地级以上市、县级人民政府确定的保护主管部门会同文物主管部门，负责本行政区域内历史文化名城、名镇、名村、街区和历史地段的保护利用和监督管理工作。</w:t>
      </w:r>
    </w:p>
    <w:p>
      <w:pPr>
        <w:rPr>
          <w:rFonts w:eastAsia="宋体"/>
          <w:lang w:eastAsia="zh-CN"/>
        </w:rPr>
      </w:pPr>
      <w:r>
        <w:rPr>
          <w:rFonts w:hint="eastAsia" w:eastAsia="宋体"/>
          <w:lang w:eastAsia="zh-CN"/>
        </w:rPr>
        <w:t>县级以上人民政府确定的保护主管部门负责历史建筑的保护利用和监督管理工作。</w:t>
      </w:r>
    </w:p>
    <w:p>
      <w:pPr>
        <w:rPr>
          <w:rFonts w:eastAsia="宋体"/>
          <w:lang w:eastAsia="zh-CN"/>
        </w:rPr>
      </w:pPr>
      <w:bookmarkStart w:id="17" w:name="_Hlk155937372"/>
      <w:r>
        <w:rPr>
          <w:rFonts w:hint="eastAsia" w:eastAsia="宋体"/>
          <w:lang w:eastAsia="zh-CN"/>
        </w:rPr>
        <w:t>其他相关部门按照各自职责参与保护与管理工作。</w:t>
      </w:r>
    </w:p>
    <w:bookmarkEnd w:id="17"/>
    <w:p>
      <w:pPr>
        <w:rPr>
          <w:rFonts w:eastAsia="宋体"/>
          <w:lang w:eastAsia="zh-CN"/>
        </w:rPr>
      </w:pPr>
    </w:p>
    <w:p>
      <w:pPr>
        <w:pStyle w:val="27"/>
        <w:rPr>
          <w:rFonts w:eastAsia="宋体"/>
          <w:lang w:eastAsia="zh-CN"/>
        </w:rPr>
      </w:pPr>
      <w:bookmarkStart w:id="18" w:name="_Toc112661709"/>
      <w:bookmarkStart w:id="19" w:name="_Toc157421350"/>
      <w:r>
        <w:rPr>
          <w:rFonts w:hint="eastAsia" w:eastAsia="宋体"/>
          <w:lang w:eastAsia="zh-CN"/>
        </w:rPr>
        <w:t>【历史文化名城保护管理工作协调机制】</w:t>
      </w:r>
      <w:bookmarkEnd w:id="18"/>
      <w:bookmarkEnd w:id="19"/>
    </w:p>
    <w:p>
      <w:pPr>
        <w:rPr>
          <w:rFonts w:eastAsia="楷体"/>
          <w:lang w:eastAsia="zh-CN"/>
        </w:rPr>
      </w:pPr>
      <w:r>
        <w:rPr>
          <w:rFonts w:hint="eastAsia" w:eastAsia="宋体"/>
          <w:lang w:eastAsia="zh-CN"/>
        </w:rPr>
        <w:t>历史文化名城所在地</w:t>
      </w:r>
      <w:bookmarkStart w:id="20" w:name="_Hlk152011312"/>
      <w:r>
        <w:rPr>
          <w:rFonts w:hint="eastAsia" w:eastAsia="宋体"/>
          <w:lang w:eastAsia="zh-CN"/>
        </w:rPr>
        <w:t>地级以上市、县级</w:t>
      </w:r>
      <w:bookmarkEnd w:id="20"/>
      <w:r>
        <w:rPr>
          <w:rFonts w:hint="eastAsia" w:eastAsia="宋体"/>
          <w:lang w:eastAsia="zh-CN"/>
        </w:rPr>
        <w:t>人民政府应当建立历史文化名城保护管理工作协调机制，负责审议历史文化名城、名镇、名村、街区，历史地段和历史建筑保护和管理中的重大事项，协调、指导和监督保护管理工作。有条件的可以成立历史文化名城保护委员会和专家委员会。</w:t>
      </w:r>
      <w:r>
        <w:rPr>
          <w:rFonts w:eastAsia="宋体"/>
          <w:lang w:eastAsia="zh-CN"/>
        </w:rPr>
        <w:t xml:space="preserve"> </w:t>
      </w:r>
    </w:p>
    <w:p>
      <w:pPr>
        <w:rPr>
          <w:rFonts w:eastAsia="楷体"/>
          <w:lang w:eastAsia="zh-CN"/>
        </w:rPr>
      </w:pPr>
      <w:bookmarkStart w:id="21" w:name="_Toc118196909"/>
      <w:bookmarkEnd w:id="21"/>
      <w:bookmarkStart w:id="22" w:name="_Toc118403849"/>
      <w:bookmarkEnd w:id="22"/>
      <w:bookmarkStart w:id="23" w:name="_Toc118403850"/>
      <w:bookmarkEnd w:id="23"/>
      <w:bookmarkStart w:id="24" w:name="_Toc118196910"/>
      <w:bookmarkEnd w:id="24"/>
    </w:p>
    <w:p>
      <w:pPr>
        <w:pStyle w:val="27"/>
        <w:rPr>
          <w:rFonts w:eastAsia="宋体"/>
          <w:lang w:eastAsia="zh-CN"/>
        </w:rPr>
      </w:pPr>
      <w:bookmarkStart w:id="25" w:name="_Toc112661711"/>
      <w:bookmarkStart w:id="26" w:name="_Toc157421351"/>
      <w:r>
        <w:rPr>
          <w:rFonts w:hint="eastAsia" w:eastAsia="宋体"/>
          <w:lang w:eastAsia="zh-CN"/>
        </w:rPr>
        <w:t>【社会参与】</w:t>
      </w:r>
      <w:bookmarkEnd w:id="25"/>
      <w:bookmarkEnd w:id="26"/>
    </w:p>
    <w:p>
      <w:pPr>
        <w:rPr>
          <w:rFonts w:eastAsia="宋体"/>
          <w:lang w:eastAsia="zh-CN"/>
        </w:rPr>
      </w:pPr>
      <w:r>
        <w:rPr>
          <w:rFonts w:hint="eastAsia" w:eastAsia="宋体"/>
          <w:lang w:eastAsia="zh-CN"/>
        </w:rPr>
        <w:t>鼓励和支持公民、法人和其他组织以捐赠、资助、提供技术服务或者志愿服务等方式，参与历史文化名城、名镇、名村、街区，历史地段和历史建筑的保护、利用和运营管理工作，保证原住居民的参与，保障原住居民的合法权益。</w:t>
      </w:r>
    </w:p>
    <w:p>
      <w:pPr>
        <w:rPr>
          <w:rFonts w:eastAsia="宋体"/>
          <w:lang w:eastAsia="zh-CN"/>
        </w:rPr>
      </w:pPr>
    </w:p>
    <w:p>
      <w:pPr>
        <w:pStyle w:val="27"/>
        <w:rPr>
          <w:rFonts w:eastAsia="宋体"/>
          <w:lang w:eastAsia="zh-CN"/>
        </w:rPr>
      </w:pPr>
      <w:bookmarkStart w:id="27" w:name="_Toc157421352"/>
      <w:bookmarkStart w:id="28" w:name="_Toc112661712"/>
      <w:r>
        <w:rPr>
          <w:rFonts w:hint="eastAsia" w:eastAsia="宋体"/>
          <w:lang w:eastAsia="zh-CN"/>
        </w:rPr>
        <w:t>【宣传教育培训】</w:t>
      </w:r>
      <w:bookmarkEnd w:id="27"/>
      <w:bookmarkEnd w:id="28"/>
    </w:p>
    <w:p>
      <w:pPr>
        <w:rPr>
          <w:rFonts w:eastAsia="宋体"/>
          <w:lang w:eastAsia="zh-CN"/>
        </w:rPr>
      </w:pPr>
      <w:r>
        <w:rPr>
          <w:rFonts w:hint="eastAsia" w:eastAsia="宋体"/>
          <w:lang w:eastAsia="zh-CN"/>
        </w:rPr>
        <w:t>县级以上人民政府及有关部门应当加强历史文化名城、名镇、名村、街区，历史地段和历史建筑保护的宣传教育，鼓励通过组织专家讲座、场景体验等多种形式开展宣传活动，普及保护知识，提高公众保护意识。</w:t>
      </w:r>
    </w:p>
    <w:p>
      <w:pPr>
        <w:rPr>
          <w:rFonts w:eastAsia="楷体"/>
          <w:lang w:eastAsia="zh-CN"/>
        </w:rPr>
      </w:pPr>
      <w:r>
        <w:rPr>
          <w:rFonts w:hint="eastAsia" w:eastAsia="宋体"/>
          <w:lang w:eastAsia="zh-CN"/>
        </w:rPr>
        <w:t>县级以上人民政府应当保护本土建筑特色和传统建筑建造技艺，加强高等学校、职业学校相关学科专业建设，加强传统建筑工匠的培养。</w:t>
      </w:r>
    </w:p>
    <w:p>
      <w:pPr>
        <w:rPr>
          <w:rFonts w:eastAsia="宋体"/>
          <w:lang w:eastAsia="zh-CN"/>
        </w:rPr>
      </w:pPr>
      <w:r>
        <w:rPr>
          <w:rFonts w:eastAsia="宋体"/>
          <w:lang w:eastAsia="zh-CN"/>
        </w:rPr>
        <w:br w:type="page"/>
      </w:r>
    </w:p>
    <w:p>
      <w:pPr>
        <w:numPr>
          <w:ilvl w:val="0"/>
          <w:numId w:val="2"/>
        </w:numPr>
        <w:snapToGrid/>
        <w:spacing w:line="360" w:lineRule="auto"/>
        <w:ind w:left="0" w:firstLine="0" w:firstLineChars="0"/>
        <w:jc w:val="center"/>
        <w:outlineLvl w:val="0"/>
        <w:rPr>
          <w:rFonts w:ascii="黑体" w:hAnsi="黑体" w:eastAsia="黑体" w:cs="黑体"/>
          <w:kern w:val="2"/>
          <w:sz w:val="32"/>
          <w:szCs w:val="32"/>
          <w:lang w:eastAsia="zh-CN"/>
        </w:rPr>
      </w:pPr>
      <w:bookmarkStart w:id="29" w:name="_Toc112661713"/>
      <w:bookmarkEnd w:id="29"/>
      <w:bookmarkStart w:id="30" w:name="_Toc157421353"/>
      <w:r>
        <w:rPr>
          <w:rFonts w:hint="eastAsia" w:ascii="黑体" w:hAnsi="黑体" w:eastAsia="黑体" w:cs="黑体"/>
          <w:kern w:val="2"/>
          <w:sz w:val="32"/>
          <w:szCs w:val="32"/>
          <w:lang w:eastAsia="zh-CN"/>
        </w:rPr>
        <w:t>申报认定</w:t>
      </w:r>
      <w:bookmarkEnd w:id="30"/>
    </w:p>
    <w:p>
      <w:pPr>
        <w:pStyle w:val="27"/>
        <w:rPr>
          <w:rFonts w:eastAsia="宋体"/>
          <w:lang w:eastAsia="zh-CN"/>
        </w:rPr>
      </w:pPr>
      <w:bookmarkStart w:id="31" w:name="_Toc112661715"/>
      <w:bookmarkEnd w:id="31"/>
      <w:bookmarkStart w:id="32" w:name="_Toc112661716"/>
      <w:bookmarkStart w:id="33" w:name="_Toc157421354"/>
      <w:r>
        <w:rPr>
          <w:rFonts w:hint="eastAsia" w:eastAsia="宋体"/>
          <w:lang w:eastAsia="zh-CN"/>
        </w:rPr>
        <w:t>【历史文化资源普查认定】</w:t>
      </w:r>
      <w:bookmarkEnd w:id="32"/>
      <w:bookmarkEnd w:id="33"/>
    </w:p>
    <w:p>
      <w:pPr>
        <w:rPr>
          <w:rFonts w:eastAsia="宋体"/>
          <w:lang w:eastAsia="zh-CN"/>
        </w:rPr>
      </w:pPr>
      <w:bookmarkStart w:id="34" w:name="_Hlk152011468"/>
      <w:r>
        <w:rPr>
          <w:rFonts w:hint="eastAsia" w:eastAsia="宋体"/>
          <w:lang w:eastAsia="zh-CN"/>
        </w:rPr>
        <w:t>地级以上市、县级</w:t>
      </w:r>
      <w:bookmarkEnd w:id="34"/>
      <w:r>
        <w:rPr>
          <w:rFonts w:hint="eastAsia" w:eastAsia="宋体"/>
          <w:lang w:eastAsia="zh-CN"/>
        </w:rPr>
        <w:t>人民政府应当定期开展本行政区域内的历史文化资源普查、核查和调查评估，对单位或者个人提供的历史文化资源保护线索应当组织核实，在土地出让、城市更新和新区建设前应当开展历史文化资源调查评估，及时按程序认定保护对象，丰富保护名录。</w:t>
      </w:r>
    </w:p>
    <w:p>
      <w:pPr>
        <w:rPr>
          <w:rFonts w:eastAsia="楷体"/>
          <w:lang w:eastAsia="zh-CN"/>
        </w:rPr>
      </w:pPr>
    </w:p>
    <w:p>
      <w:pPr>
        <w:pStyle w:val="27"/>
        <w:rPr>
          <w:rFonts w:eastAsia="宋体"/>
          <w:lang w:eastAsia="zh-CN"/>
        </w:rPr>
      </w:pPr>
      <w:bookmarkStart w:id="35" w:name="_Toc157421355"/>
      <w:bookmarkStart w:id="36" w:name="_Toc112661717"/>
      <w:r>
        <w:rPr>
          <w:rFonts w:hint="eastAsia" w:eastAsia="宋体"/>
          <w:lang w:eastAsia="zh-CN"/>
        </w:rPr>
        <w:t>【预保护制度】</w:t>
      </w:r>
      <w:bookmarkEnd w:id="35"/>
      <w:bookmarkEnd w:id="36"/>
    </w:p>
    <w:p>
      <w:pPr>
        <w:rPr>
          <w:rFonts w:eastAsia="宋体"/>
          <w:lang w:eastAsia="zh-CN"/>
        </w:rPr>
      </w:pPr>
      <w:bookmarkStart w:id="37" w:name="_Hlk155937487"/>
      <w:r>
        <w:rPr>
          <w:rFonts w:hint="eastAsia" w:eastAsia="宋体"/>
          <w:lang w:eastAsia="zh-CN"/>
        </w:rPr>
        <w:t>对历史文化资源普查、核查和调查评估发现的，或者单位、个人提供的历史文化资源保护线索，所在地县级以上人民政府应当组织专家论证，具有保护价值的，确定为预先保护对象。</w:t>
      </w:r>
    </w:p>
    <w:p>
      <w:pPr>
        <w:rPr>
          <w:rFonts w:eastAsia="宋体"/>
          <w:lang w:eastAsia="zh-CN"/>
        </w:rPr>
      </w:pPr>
      <w:r>
        <w:rPr>
          <w:rFonts w:hint="eastAsia" w:eastAsia="宋体"/>
          <w:lang w:eastAsia="zh-CN"/>
        </w:rPr>
        <w:t>所在地县级以上人民政府应当对预先保护对象进行保护，并制作预先保护通知送达所有权人、使用人或管理人。因预先保护对有关单位或者个人的合法权益造成损失的，应当依法给予补偿。预先保护期间</w:t>
      </w:r>
      <w:r>
        <w:rPr>
          <w:rFonts w:ascii="宋体" w:hAnsi="宋体" w:eastAsia="宋体" w:cs="宋体"/>
          <w:lang w:eastAsia="zh-CN"/>
        </w:rPr>
        <w:t>按照拟推荐保护对象对应类别的相关管理要求执行</w:t>
      </w:r>
      <w:r>
        <w:rPr>
          <w:rFonts w:hint="eastAsia" w:eastAsia="宋体"/>
          <w:lang w:eastAsia="zh-CN"/>
        </w:rPr>
        <w:t>。</w:t>
      </w:r>
    </w:p>
    <w:p>
      <w:pPr>
        <w:rPr>
          <w:rFonts w:eastAsia="宋体"/>
          <w:lang w:eastAsia="zh-CN"/>
        </w:rPr>
      </w:pPr>
      <w:r>
        <w:rPr>
          <w:rFonts w:hint="eastAsia" w:eastAsia="宋体"/>
          <w:lang w:eastAsia="zh-CN"/>
        </w:rPr>
        <w:t>所在地县级以上人民政府确定的保护主管部门应当会同有关部门在十二个月内按本条例第十五条规定的程序将预先保护对象申请纳入保护名录，在上报审批前应当充分论证，征求有关部门、利害关系人、专家及公众意见，公示时间不得少于三十日。</w:t>
      </w:r>
    </w:p>
    <w:p>
      <w:pPr>
        <w:rPr>
          <w:rFonts w:eastAsia="宋体"/>
          <w:lang w:eastAsia="zh-CN"/>
        </w:rPr>
      </w:pPr>
      <w:r>
        <w:rPr>
          <w:rFonts w:hint="eastAsia" w:eastAsia="宋体"/>
          <w:lang w:eastAsia="zh-CN"/>
        </w:rPr>
        <w:t>预先保护对象超过十二个月未被纳入保护名录的，预先保护自行失效。</w:t>
      </w:r>
    </w:p>
    <w:bookmarkEnd w:id="37"/>
    <w:p>
      <w:pPr>
        <w:rPr>
          <w:rFonts w:eastAsia="宋体"/>
          <w:lang w:eastAsia="zh-CN"/>
        </w:rPr>
      </w:pPr>
    </w:p>
    <w:p>
      <w:pPr>
        <w:pStyle w:val="27"/>
        <w:rPr>
          <w:rFonts w:eastAsia="宋体"/>
          <w:lang w:eastAsia="zh-CN"/>
        </w:rPr>
      </w:pPr>
      <w:bookmarkStart w:id="38" w:name="_Toc157421356"/>
      <w:bookmarkStart w:id="39" w:name="_Toc112661718"/>
      <w:r>
        <w:rPr>
          <w:rFonts w:hint="eastAsia" w:eastAsia="宋体"/>
          <w:lang w:eastAsia="zh-CN"/>
        </w:rPr>
        <w:t>【历史文化名城、名镇、名村的申报条件】</w:t>
      </w:r>
      <w:bookmarkEnd w:id="38"/>
      <w:bookmarkEnd w:id="39"/>
    </w:p>
    <w:p>
      <w:pPr>
        <w:rPr>
          <w:rFonts w:eastAsia="宋体"/>
          <w:lang w:eastAsia="zh-CN"/>
        </w:rPr>
      </w:pPr>
      <w:bookmarkStart w:id="40" w:name="_Hlk155937535"/>
      <w:r>
        <w:rPr>
          <w:rFonts w:hint="eastAsia" w:eastAsia="宋体"/>
          <w:lang w:eastAsia="zh-CN"/>
        </w:rPr>
        <w:t>历史文化名城、名镇、名村分为国家历史文化名城和广东省历史文化名城，中国历史文化名镇、名村和广东省历史文化名镇、名村。</w:t>
      </w:r>
    </w:p>
    <w:p>
      <w:pPr>
        <w:rPr>
          <w:rFonts w:eastAsia="宋体"/>
          <w:lang w:eastAsia="zh-CN"/>
        </w:rPr>
      </w:pPr>
      <w:r>
        <w:rPr>
          <w:rFonts w:hint="eastAsia" w:eastAsia="宋体"/>
          <w:lang w:eastAsia="zh-CN"/>
        </w:rPr>
        <w:t>国家历史文化名城，中国历史文化名镇、名村的申报、批准条件与程序，依照国务院《历史文化名城名镇名村保护条例》的规定执行。</w:t>
      </w:r>
    </w:p>
    <w:p>
      <w:pPr>
        <w:rPr>
          <w:rFonts w:eastAsia="宋体"/>
          <w:lang w:eastAsia="zh-CN"/>
        </w:rPr>
      </w:pPr>
      <w:r>
        <w:rPr>
          <w:rFonts w:hint="eastAsia" w:eastAsia="宋体"/>
          <w:lang w:eastAsia="zh-CN"/>
        </w:rPr>
        <w:t>具备下列条件的城市、镇、村庄，可以申报广东省历史文化名城、名镇、名村：</w:t>
      </w:r>
    </w:p>
    <w:p>
      <w:pPr>
        <w:rPr>
          <w:rFonts w:eastAsia="宋体"/>
          <w:lang w:eastAsia="zh-CN"/>
        </w:rPr>
      </w:pPr>
      <w:r>
        <w:rPr>
          <w:rFonts w:hint="eastAsia" w:eastAsia="宋体"/>
          <w:lang w:eastAsia="zh-CN"/>
        </w:rPr>
        <w:t>（一）不可移动文物丰富；</w:t>
      </w:r>
    </w:p>
    <w:p>
      <w:pPr>
        <w:rPr>
          <w:rFonts w:eastAsia="宋体"/>
          <w:lang w:eastAsia="zh-CN"/>
        </w:rPr>
      </w:pPr>
      <w:r>
        <w:rPr>
          <w:rFonts w:hint="eastAsia" w:eastAsia="宋体"/>
          <w:lang w:eastAsia="zh-CN"/>
        </w:rPr>
        <w:t>（二）历史建筑集中成片；</w:t>
      </w:r>
    </w:p>
    <w:p>
      <w:pPr>
        <w:rPr>
          <w:rFonts w:eastAsia="宋体"/>
          <w:lang w:eastAsia="zh-CN"/>
        </w:rPr>
      </w:pPr>
      <w:r>
        <w:rPr>
          <w:rFonts w:hint="eastAsia" w:eastAsia="宋体"/>
          <w:lang w:eastAsia="zh-CN"/>
        </w:rPr>
        <w:t>（三）保留传统格局和历史风貌；</w:t>
      </w:r>
    </w:p>
    <w:p>
      <w:pPr>
        <w:rPr>
          <w:rFonts w:eastAsia="宋体"/>
          <w:lang w:eastAsia="zh-CN"/>
        </w:rPr>
      </w:pPr>
      <w:r>
        <w:rPr>
          <w:rFonts w:hint="eastAsia" w:eastAsia="宋体"/>
          <w:lang w:eastAsia="zh-CN"/>
        </w:rPr>
        <w:t>（四）具有重要历史文化价值，能展现中华悠久文明历史、近现代历史进程、红色历程、改革开放和社会主义现代化建设征程之一，或具有典型岭南文化、海丝文化、革命文化、改革开放文化、华侨文化等地域文化特色之一。</w:t>
      </w:r>
    </w:p>
    <w:p>
      <w:pPr>
        <w:rPr>
          <w:rFonts w:eastAsia="宋体"/>
          <w:lang w:eastAsia="zh-CN"/>
        </w:rPr>
      </w:pPr>
      <w:r>
        <w:rPr>
          <w:rFonts w:hint="eastAsia" w:eastAsia="宋体"/>
          <w:lang w:eastAsia="zh-CN"/>
        </w:rPr>
        <w:t>申报广东省历史文化名城的，在所申报的广东省历史文化名城保护范围内还应当有一个以上的历史文化街区或两个以上的历史地段。</w:t>
      </w:r>
    </w:p>
    <w:bookmarkEnd w:id="40"/>
    <w:p>
      <w:pPr>
        <w:rPr>
          <w:rFonts w:eastAsia="楷体"/>
          <w:lang w:eastAsia="zh-CN"/>
        </w:rPr>
      </w:pPr>
    </w:p>
    <w:p>
      <w:pPr>
        <w:pStyle w:val="27"/>
        <w:rPr>
          <w:rFonts w:eastAsia="宋体"/>
          <w:lang w:eastAsia="zh-CN"/>
        </w:rPr>
      </w:pPr>
      <w:bookmarkStart w:id="41" w:name="_Toc157421357"/>
      <w:bookmarkStart w:id="42" w:name="_Toc112661720"/>
      <w:r>
        <w:rPr>
          <w:rFonts w:hint="eastAsia" w:eastAsia="宋体"/>
          <w:lang w:eastAsia="zh-CN"/>
        </w:rPr>
        <w:t>【历史文化街区申报条件】</w:t>
      </w:r>
      <w:bookmarkEnd w:id="41"/>
      <w:bookmarkEnd w:id="42"/>
    </w:p>
    <w:p>
      <w:pPr>
        <w:rPr>
          <w:rFonts w:eastAsia="宋体"/>
          <w:lang w:eastAsia="zh-CN"/>
        </w:rPr>
      </w:pPr>
      <w:bookmarkStart w:id="43" w:name="_Hlk155937555"/>
      <w:r>
        <w:rPr>
          <w:rFonts w:hint="eastAsia" w:eastAsia="宋体"/>
          <w:lang w:eastAsia="zh-CN"/>
        </w:rPr>
        <w:t>不可移动文物丰富、历史建筑集中成片、能够较完整和真实地体现传统格局和历史风貌，并具有一定规模，具备下列历史文化价值之一的区域，可以申报历史文化街区：</w:t>
      </w:r>
      <w:r>
        <w:rPr>
          <w:rFonts w:eastAsia="宋体"/>
          <w:lang w:eastAsia="zh-CN"/>
        </w:rPr>
        <w:t xml:space="preserve"> </w:t>
      </w:r>
    </w:p>
    <w:p>
      <w:pPr>
        <w:rPr>
          <w:rFonts w:eastAsia="宋体"/>
          <w:strike/>
          <w:lang w:eastAsia="zh-CN"/>
        </w:rPr>
      </w:pPr>
      <w:r>
        <w:rPr>
          <w:rFonts w:hint="eastAsia" w:eastAsia="宋体"/>
          <w:lang w:eastAsia="zh-CN"/>
        </w:rPr>
        <w:t>（一）在城镇形成和发展过程中起到重要作用，与历史名人和重大历史事件相关，能够体现中华悠久文明历史、近现代历史进程、红色历程、改革开放、社会主义现代化建设征程等某一特定时期的建设成就；</w:t>
      </w:r>
    </w:p>
    <w:p>
      <w:pPr>
        <w:rPr>
          <w:rFonts w:eastAsia="宋体"/>
          <w:lang w:eastAsia="zh-CN"/>
        </w:rPr>
      </w:pPr>
      <w:r>
        <w:rPr>
          <w:rFonts w:hint="eastAsia" w:eastAsia="宋体"/>
          <w:lang w:eastAsia="zh-CN"/>
        </w:rPr>
        <w:t>（二）空间格局、肌理和风貌等体现岭南文化、海丝文化、革命文化、改革开放文化、华侨文化等地域文化特色之一或时代风格。</w:t>
      </w:r>
    </w:p>
    <w:p>
      <w:pPr>
        <w:rPr>
          <w:rFonts w:eastAsia="宋体"/>
          <w:lang w:eastAsia="zh-CN"/>
        </w:rPr>
      </w:pPr>
      <w:r>
        <w:rPr>
          <w:rFonts w:hint="eastAsia" w:eastAsia="宋体"/>
          <w:lang w:eastAsia="zh-CN"/>
        </w:rPr>
        <w:t>（三）保留丰富的非物质文化遗产和优秀传统文化，保持传统生活延续性，承载了历史记忆和情感。</w:t>
      </w:r>
    </w:p>
    <w:bookmarkEnd w:id="43"/>
    <w:p>
      <w:pPr>
        <w:rPr>
          <w:rFonts w:eastAsia="宋体"/>
          <w:lang w:eastAsia="zh-CN"/>
        </w:rPr>
      </w:pPr>
    </w:p>
    <w:p>
      <w:pPr>
        <w:pStyle w:val="27"/>
        <w:rPr>
          <w:rFonts w:eastAsia="宋体"/>
          <w:lang w:eastAsia="zh-CN"/>
        </w:rPr>
      </w:pPr>
      <w:bookmarkStart w:id="44" w:name="_Toc157421358"/>
      <w:bookmarkStart w:id="45" w:name="_Toc112661721"/>
      <w:r>
        <w:rPr>
          <w:rFonts w:hint="eastAsia" w:eastAsia="宋体"/>
          <w:lang w:eastAsia="zh-CN"/>
        </w:rPr>
        <w:t>【历史地段认定条件】</w:t>
      </w:r>
      <w:bookmarkEnd w:id="44"/>
      <w:bookmarkEnd w:id="45"/>
    </w:p>
    <w:p>
      <w:pPr>
        <w:rPr>
          <w:rFonts w:eastAsia="宋体"/>
          <w:lang w:eastAsia="zh-CN"/>
        </w:rPr>
      </w:pPr>
      <w:bookmarkStart w:id="46" w:name="_Hlk155937579"/>
      <w:r>
        <w:rPr>
          <w:rFonts w:hint="eastAsia" w:eastAsia="宋体"/>
          <w:lang w:eastAsia="zh-CN"/>
        </w:rPr>
        <w:t>符合以下条件，尚未认定为历史文化街区的旧广场、旧厂区、旧车站、旧校园、古驿道、历史景观等地区，可以申报历史地段：</w:t>
      </w:r>
    </w:p>
    <w:p>
      <w:pPr>
        <w:rPr>
          <w:rFonts w:eastAsia="宋体"/>
          <w:lang w:eastAsia="zh-CN"/>
        </w:rPr>
      </w:pPr>
      <w:r>
        <w:rPr>
          <w:rFonts w:hint="eastAsia" w:eastAsia="宋体"/>
          <w:lang w:eastAsia="zh-CN"/>
        </w:rPr>
        <w:t>（一）能够体现某一特定历史时期的城乡建设特征或特殊的自然环境，具有重要历史文化价值。</w:t>
      </w:r>
    </w:p>
    <w:p>
      <w:pPr>
        <w:rPr>
          <w:rFonts w:eastAsia="宋体"/>
          <w:lang w:eastAsia="zh-CN"/>
        </w:rPr>
      </w:pPr>
      <w:r>
        <w:rPr>
          <w:rFonts w:hint="eastAsia" w:eastAsia="宋体"/>
          <w:lang w:eastAsia="zh-CN"/>
        </w:rPr>
        <w:t>（二）物质载体具备一定的规模。</w:t>
      </w:r>
    </w:p>
    <w:bookmarkEnd w:id="46"/>
    <w:p>
      <w:pPr>
        <w:rPr>
          <w:rFonts w:eastAsia="楷体"/>
          <w:lang w:eastAsia="zh-CN"/>
        </w:rPr>
      </w:pPr>
    </w:p>
    <w:p>
      <w:pPr>
        <w:pStyle w:val="27"/>
        <w:rPr>
          <w:rFonts w:eastAsia="宋体"/>
          <w:lang w:eastAsia="zh-CN"/>
        </w:rPr>
      </w:pPr>
      <w:bookmarkStart w:id="47" w:name="_Toc112661722"/>
      <w:bookmarkEnd w:id="47"/>
      <w:bookmarkStart w:id="48" w:name="_Toc157421359"/>
      <w:bookmarkStart w:id="49" w:name="_Toc112661723"/>
      <w:r>
        <w:rPr>
          <w:rFonts w:hint="eastAsia" w:eastAsia="宋体"/>
          <w:lang w:eastAsia="zh-CN"/>
        </w:rPr>
        <w:t>【历史建筑认定条件】</w:t>
      </w:r>
      <w:bookmarkEnd w:id="48"/>
      <w:bookmarkEnd w:id="49"/>
    </w:p>
    <w:p>
      <w:pPr>
        <w:rPr>
          <w:rFonts w:eastAsia="宋体"/>
          <w:lang w:eastAsia="zh-CN"/>
        </w:rPr>
      </w:pPr>
      <w:bookmarkStart w:id="50" w:name="_Hlk155937590"/>
      <w:r>
        <w:rPr>
          <w:rFonts w:hint="eastAsia" w:eastAsia="宋体"/>
          <w:lang w:eastAsia="zh-CN"/>
        </w:rPr>
        <w:t>建成</w:t>
      </w:r>
      <w:r>
        <w:rPr>
          <w:rFonts w:eastAsia="宋体"/>
          <w:lang w:eastAsia="zh-CN"/>
        </w:rPr>
        <w:t>30</w:t>
      </w:r>
      <w:r>
        <w:rPr>
          <w:rFonts w:hint="eastAsia" w:eastAsia="宋体"/>
          <w:lang w:eastAsia="zh-CN"/>
        </w:rPr>
        <w:t>年以上，具备下列条件之一，未公布为文物保护单位，也未登记为不可移动文物的建筑物、构筑物，可以确定为历史建筑：</w:t>
      </w:r>
    </w:p>
    <w:p>
      <w:pPr>
        <w:rPr>
          <w:rFonts w:eastAsia="宋体"/>
          <w:lang w:eastAsia="zh-CN"/>
        </w:rPr>
      </w:pPr>
      <w:r>
        <w:rPr>
          <w:rFonts w:hint="eastAsia" w:eastAsia="宋体"/>
          <w:lang w:eastAsia="zh-CN"/>
        </w:rPr>
        <w:t>（一）能够体现某一特定时期的建设成就，或者与重要历史事件、历史名人相关联；</w:t>
      </w:r>
    </w:p>
    <w:p>
      <w:pPr>
        <w:rPr>
          <w:rFonts w:eastAsia="宋体"/>
          <w:lang w:eastAsia="zh-CN"/>
        </w:rPr>
      </w:pPr>
      <w:r>
        <w:rPr>
          <w:rFonts w:hint="eastAsia" w:eastAsia="宋体"/>
          <w:lang w:eastAsia="zh-CN"/>
        </w:rPr>
        <w:t>（二）能够反映历史风貌和地方特色，或者代表一定时期建筑设计风格；</w:t>
      </w:r>
    </w:p>
    <w:p>
      <w:pPr>
        <w:rPr>
          <w:rFonts w:eastAsia="宋体"/>
          <w:lang w:eastAsia="zh-CN"/>
        </w:rPr>
      </w:pPr>
      <w:r>
        <w:rPr>
          <w:rFonts w:hint="eastAsia" w:eastAsia="宋体"/>
          <w:lang w:eastAsia="zh-CN"/>
        </w:rPr>
        <w:t>（三）建筑材料、结构、施工工艺代表了一定时期的建造科学与技术，或者代表了传统建造技艺的传承；</w:t>
      </w:r>
    </w:p>
    <w:p>
      <w:pPr>
        <w:rPr>
          <w:rFonts w:eastAsia="宋体"/>
          <w:lang w:eastAsia="zh-CN"/>
        </w:rPr>
      </w:pPr>
      <w:r>
        <w:rPr>
          <w:rFonts w:hint="eastAsia" w:eastAsia="宋体"/>
          <w:lang w:eastAsia="zh-CN"/>
        </w:rPr>
        <w:t>（四）具有其他价值特色。</w:t>
      </w:r>
    </w:p>
    <w:p>
      <w:pPr>
        <w:rPr>
          <w:rFonts w:eastAsia="宋体"/>
          <w:lang w:eastAsia="zh-CN"/>
        </w:rPr>
      </w:pPr>
      <w:r>
        <w:rPr>
          <w:rFonts w:hint="eastAsia" w:eastAsia="宋体"/>
          <w:lang w:eastAsia="zh-CN"/>
        </w:rPr>
        <w:t>对建成时间虽不满</w:t>
      </w:r>
      <w:r>
        <w:rPr>
          <w:rFonts w:eastAsia="宋体"/>
          <w:lang w:eastAsia="zh-CN"/>
        </w:rPr>
        <w:t>30</w:t>
      </w:r>
      <w:r>
        <w:rPr>
          <w:rFonts w:hint="eastAsia" w:eastAsia="宋体"/>
          <w:lang w:eastAsia="zh-CN"/>
        </w:rPr>
        <w:t>年，但反映广东改革开放时代和社会经济文化发展特点，增强群体心理认同感的建筑物、构筑物，也可确定为历史建筑。</w:t>
      </w:r>
    </w:p>
    <w:bookmarkEnd w:id="50"/>
    <w:p>
      <w:pPr>
        <w:rPr>
          <w:rFonts w:eastAsia="楷体"/>
          <w:lang w:eastAsia="zh-CN"/>
        </w:rPr>
      </w:pPr>
    </w:p>
    <w:p>
      <w:pPr>
        <w:pStyle w:val="27"/>
        <w:rPr>
          <w:rFonts w:eastAsia="宋体"/>
          <w:lang w:eastAsia="zh-CN"/>
        </w:rPr>
      </w:pPr>
      <w:bookmarkStart w:id="51" w:name="_Toc151041668"/>
      <w:bookmarkEnd w:id="51"/>
      <w:bookmarkStart w:id="52" w:name="_Toc151041672"/>
      <w:bookmarkEnd w:id="52"/>
      <w:bookmarkStart w:id="53" w:name="_Toc151041666"/>
      <w:bookmarkEnd w:id="53"/>
      <w:bookmarkStart w:id="54" w:name="_Toc151041664"/>
      <w:bookmarkEnd w:id="54"/>
      <w:bookmarkStart w:id="55" w:name="_Toc151041665"/>
      <w:bookmarkEnd w:id="55"/>
      <w:bookmarkStart w:id="56" w:name="_Toc151041670"/>
      <w:bookmarkEnd w:id="56"/>
      <w:bookmarkStart w:id="57" w:name="_Toc151041669"/>
      <w:bookmarkEnd w:id="57"/>
      <w:bookmarkStart w:id="58" w:name="_Toc151041671"/>
      <w:bookmarkEnd w:id="58"/>
      <w:bookmarkStart w:id="59" w:name="_Toc151041667"/>
      <w:bookmarkEnd w:id="59"/>
      <w:bookmarkStart w:id="60" w:name="_Toc112661726"/>
      <w:bookmarkStart w:id="61" w:name="_Toc157421360"/>
      <w:r>
        <w:rPr>
          <w:rFonts w:hint="eastAsia" w:eastAsia="宋体"/>
          <w:lang w:eastAsia="zh-CN"/>
        </w:rPr>
        <w:t>【</w:t>
      </w:r>
      <w:bookmarkStart w:id="62" w:name="_Hlk116861403"/>
      <w:r>
        <w:rPr>
          <w:rFonts w:hint="eastAsia" w:eastAsia="宋体"/>
          <w:lang w:eastAsia="zh-CN"/>
        </w:rPr>
        <w:t>申报、批准、确定程序</w:t>
      </w:r>
      <w:bookmarkEnd w:id="62"/>
      <w:r>
        <w:rPr>
          <w:rFonts w:hint="eastAsia" w:eastAsia="宋体"/>
          <w:lang w:eastAsia="zh-CN"/>
        </w:rPr>
        <w:t>】</w:t>
      </w:r>
      <w:bookmarkEnd w:id="60"/>
      <w:bookmarkEnd w:id="61"/>
    </w:p>
    <w:p>
      <w:pPr>
        <w:rPr>
          <w:rFonts w:eastAsia="宋体"/>
          <w:lang w:eastAsia="zh-CN"/>
        </w:rPr>
      </w:pPr>
      <w:bookmarkStart w:id="63" w:name="_Hlk155937602"/>
      <w:r>
        <w:rPr>
          <w:rFonts w:hint="eastAsia" w:eastAsia="宋体"/>
          <w:lang w:eastAsia="zh-CN"/>
        </w:rPr>
        <w:t>申报广东省历史文化名城、名镇、名村、街区和历史地段的，由所在地地级以上市、县级人民政府提出申请，经省住房城乡建设主管部门会同文物主管部门组织有关部门、专家进行审查论证，报省人民政府批准公布。</w:t>
      </w:r>
    </w:p>
    <w:p>
      <w:pPr>
        <w:rPr>
          <w:rFonts w:eastAsia="宋体"/>
          <w:lang w:eastAsia="zh-CN"/>
        </w:rPr>
      </w:pPr>
      <w:r>
        <w:rPr>
          <w:rFonts w:hint="eastAsia" w:eastAsia="宋体"/>
          <w:lang w:eastAsia="zh-CN"/>
        </w:rPr>
        <w:t>历史建筑由城市、县人民政府确定的保护主管部门提出，报本级人民政府确定公布。</w:t>
      </w:r>
    </w:p>
    <w:p>
      <w:pPr>
        <w:rPr>
          <w:rFonts w:eastAsia="宋体"/>
          <w:lang w:eastAsia="zh-CN"/>
        </w:rPr>
      </w:pPr>
      <w:r>
        <w:rPr>
          <w:rFonts w:hint="eastAsia" w:eastAsia="宋体"/>
          <w:lang w:eastAsia="zh-CN"/>
        </w:rPr>
        <w:t>历史建筑被依法公布为文物保护单位或登记为不可移动文物，从有利于完整保护的角度，按照相对严格的标准予以保护。</w:t>
      </w:r>
    </w:p>
    <w:bookmarkEnd w:id="63"/>
    <w:p>
      <w:pPr>
        <w:rPr>
          <w:rFonts w:eastAsia="楷体"/>
          <w:lang w:eastAsia="zh-CN"/>
        </w:rPr>
      </w:pPr>
    </w:p>
    <w:p>
      <w:pPr>
        <w:pStyle w:val="27"/>
        <w:rPr>
          <w:rFonts w:eastAsia="宋体"/>
          <w:lang w:eastAsia="zh-CN"/>
        </w:rPr>
      </w:pPr>
      <w:bookmarkStart w:id="64" w:name="_Toc112661727"/>
      <w:bookmarkEnd w:id="64"/>
      <w:bookmarkStart w:id="65" w:name="_Toc112661728"/>
      <w:bookmarkStart w:id="66" w:name="_Toc157421361"/>
      <w:r>
        <w:rPr>
          <w:rFonts w:hint="eastAsia" w:eastAsia="宋体"/>
          <w:lang w:eastAsia="zh-CN"/>
        </w:rPr>
        <w:t>【指定程序】</w:t>
      </w:r>
      <w:bookmarkEnd w:id="65"/>
      <w:bookmarkEnd w:id="66"/>
    </w:p>
    <w:p>
      <w:pPr>
        <w:rPr>
          <w:rFonts w:eastAsia="宋体"/>
          <w:lang w:eastAsia="zh-CN"/>
        </w:rPr>
      </w:pPr>
      <w:bookmarkStart w:id="67" w:name="_Hlk155937713"/>
      <w:r>
        <w:rPr>
          <w:rFonts w:hint="eastAsia" w:eastAsia="宋体"/>
          <w:lang w:eastAsia="zh-CN"/>
        </w:rPr>
        <w:t>对符合本条例第十一、十二、十三条规定的条件而未申报广东省历史文化名城、名镇、名村、街区和历史地段的，省住房城乡建设主管部门会同文物主管部门经专家充分论证之后，可以向所在地地级以上市、县级人民政府提出申报建议，仍不申报的，可以直接向省人民政府提出确定为广东省历史文化名城、名镇、名村、街区和历史地段的建议。</w:t>
      </w:r>
    </w:p>
    <w:bookmarkEnd w:id="67"/>
    <w:p>
      <w:pPr>
        <w:rPr>
          <w:rFonts w:eastAsia="宋体"/>
          <w:lang w:eastAsia="zh-CN"/>
        </w:rPr>
      </w:pPr>
    </w:p>
    <w:p>
      <w:pPr>
        <w:pStyle w:val="27"/>
        <w:rPr>
          <w:rFonts w:ascii="楷体" w:hAnsi="楷体" w:eastAsia="宋体"/>
          <w:lang w:eastAsia="zh-CN"/>
        </w:rPr>
      </w:pPr>
      <w:bookmarkStart w:id="68" w:name="_Toc157421362"/>
      <w:r>
        <w:rPr>
          <w:rFonts w:hint="eastAsia" w:eastAsia="宋体"/>
          <w:lang w:eastAsia="zh-CN"/>
        </w:rPr>
        <w:t>【名录调整】</w:t>
      </w:r>
      <w:bookmarkEnd w:id="68"/>
    </w:p>
    <w:p>
      <w:pPr>
        <w:rPr>
          <w:rFonts w:eastAsia="宋体"/>
          <w:lang w:eastAsia="zh-CN"/>
        </w:rPr>
      </w:pPr>
      <w:bookmarkStart w:id="69" w:name="_Hlk155937727"/>
      <w:r>
        <w:rPr>
          <w:rFonts w:hint="eastAsia" w:eastAsia="宋体"/>
          <w:lang w:eastAsia="zh-CN"/>
        </w:rPr>
        <w:t>经确定公布的保护名录不得擅自调整、撤销。</w:t>
      </w:r>
    </w:p>
    <w:p>
      <w:pPr>
        <w:rPr>
          <w:rFonts w:eastAsia="宋体"/>
          <w:lang w:eastAsia="zh-CN"/>
        </w:rPr>
      </w:pPr>
      <w:r>
        <w:rPr>
          <w:rFonts w:hint="eastAsia" w:eastAsia="宋体"/>
          <w:lang w:eastAsia="zh-CN"/>
        </w:rPr>
        <w:t>保护名录中的保护对象因不可抗力损毁、灭失的，所在地地级以上市、县级人民政府确定的保护主管部门应当会同相关部门提出保护名录调整方案，按照原审批程序报送审批。</w:t>
      </w:r>
    </w:p>
    <w:p>
      <w:pPr>
        <w:rPr>
          <w:rFonts w:eastAsia="宋体"/>
          <w:lang w:eastAsia="zh-CN"/>
        </w:rPr>
      </w:pPr>
      <w:r>
        <w:rPr>
          <w:rFonts w:hint="eastAsia" w:eastAsia="宋体"/>
          <w:lang w:eastAsia="zh-CN"/>
        </w:rPr>
        <w:t>已纳入保护名录的保护对象，因保护不力使其历史文化价值受到严重影响的，批准机关应当将其列入濒危名单，予以公布，并责成所在地相关责任主体限期采取补救措施。</w:t>
      </w:r>
    </w:p>
    <w:p>
      <w:pPr>
        <w:rPr>
          <w:rFonts w:eastAsia="宋体"/>
          <w:lang w:eastAsia="zh-CN"/>
        </w:rPr>
      </w:pPr>
      <w:r>
        <w:rPr>
          <w:rFonts w:hint="eastAsia" w:eastAsia="宋体"/>
          <w:lang w:eastAsia="zh-CN"/>
        </w:rPr>
        <w:t>列入濒危名单的保护对象，经评估整改合格的，不再列为濒危。经评估整改不合格的，退出保护名录。</w:t>
      </w:r>
    </w:p>
    <w:bookmarkEnd w:id="69"/>
    <w:p>
      <w:pPr>
        <w:rPr>
          <w:rFonts w:eastAsia="宋体"/>
          <w:lang w:eastAsia="zh-CN"/>
        </w:rPr>
      </w:pPr>
    </w:p>
    <w:p>
      <w:pPr>
        <w:pStyle w:val="27"/>
        <w:rPr>
          <w:rFonts w:eastAsia="宋体"/>
          <w:lang w:eastAsia="zh-CN"/>
        </w:rPr>
      </w:pPr>
      <w:bookmarkStart w:id="70" w:name="_Toc112661731"/>
      <w:bookmarkStart w:id="71" w:name="_Toc157421363"/>
      <w:r>
        <w:rPr>
          <w:rFonts w:hint="eastAsia" w:eastAsia="宋体"/>
          <w:lang w:eastAsia="zh-CN"/>
        </w:rPr>
        <w:t>【保护对象档案】</w:t>
      </w:r>
      <w:bookmarkEnd w:id="70"/>
      <w:bookmarkEnd w:id="71"/>
    </w:p>
    <w:p>
      <w:pPr>
        <w:ind w:firstLine="520"/>
        <w:rPr>
          <w:rFonts w:eastAsia="宋体"/>
          <w:spacing w:val="20"/>
          <w:szCs w:val="22"/>
          <w:lang w:eastAsia="zh-CN"/>
        </w:rPr>
      </w:pPr>
      <w:r>
        <w:rPr>
          <w:rFonts w:hint="eastAsia" w:eastAsia="宋体"/>
          <w:spacing w:val="20"/>
          <w:szCs w:val="22"/>
          <w:lang w:eastAsia="zh-CN"/>
        </w:rPr>
        <w:t>地级以上市、县级人民政府应当开展历史文化资源数据采集工作，建立保护对象档案，进行数字化管理并动态维护更新，提升动态监测管理水平。保护对象档案应当按照政府信息公开的要求向公众公开。</w:t>
      </w:r>
    </w:p>
    <w:p>
      <w:pPr>
        <w:rPr>
          <w:rFonts w:eastAsia="楷体"/>
          <w:lang w:eastAsia="zh-CN"/>
        </w:rPr>
      </w:pPr>
      <w:r>
        <w:rPr>
          <w:rFonts w:eastAsia="楷体"/>
          <w:lang w:eastAsia="zh-CN"/>
        </w:rPr>
        <w:br w:type="page"/>
      </w:r>
    </w:p>
    <w:p>
      <w:pPr>
        <w:numPr>
          <w:ilvl w:val="0"/>
          <w:numId w:val="2"/>
        </w:numPr>
        <w:snapToGrid/>
        <w:spacing w:line="360" w:lineRule="auto"/>
        <w:ind w:left="0" w:firstLine="0" w:firstLineChars="0"/>
        <w:jc w:val="center"/>
        <w:outlineLvl w:val="0"/>
        <w:rPr>
          <w:rFonts w:ascii="黑体" w:hAnsi="黑体" w:eastAsia="黑体" w:cs="黑体"/>
          <w:kern w:val="2"/>
          <w:sz w:val="32"/>
          <w:szCs w:val="32"/>
          <w:lang w:eastAsia="zh-CN"/>
        </w:rPr>
      </w:pPr>
      <w:bookmarkStart w:id="72" w:name="_Toc112661734"/>
      <w:bookmarkEnd w:id="72"/>
      <w:bookmarkStart w:id="73" w:name="_Toc112661732"/>
      <w:bookmarkEnd w:id="73"/>
      <w:bookmarkStart w:id="74" w:name="_Toc112661735"/>
      <w:bookmarkEnd w:id="74"/>
      <w:bookmarkStart w:id="75" w:name="_Toc112661733"/>
      <w:bookmarkEnd w:id="75"/>
      <w:bookmarkStart w:id="76" w:name="_Toc157421364"/>
      <w:bookmarkStart w:id="77" w:name="_Toc112661736"/>
      <w:r>
        <w:rPr>
          <w:rFonts w:hint="eastAsia" w:ascii="黑体" w:hAnsi="黑体" w:eastAsia="黑体" w:cs="黑体"/>
          <w:kern w:val="2"/>
          <w:sz w:val="32"/>
          <w:szCs w:val="32"/>
          <w:lang w:eastAsia="zh-CN"/>
        </w:rPr>
        <w:t>保护规划</w:t>
      </w:r>
      <w:bookmarkEnd w:id="76"/>
      <w:bookmarkEnd w:id="77"/>
    </w:p>
    <w:p>
      <w:pPr>
        <w:pStyle w:val="27"/>
        <w:rPr>
          <w:rFonts w:eastAsia="宋体"/>
          <w:lang w:eastAsia="zh-CN"/>
        </w:rPr>
      </w:pPr>
      <w:bookmarkStart w:id="78" w:name="_Toc112661737"/>
      <w:bookmarkStart w:id="79" w:name="_Toc157421365"/>
      <w:r>
        <w:rPr>
          <w:rFonts w:hint="eastAsia" w:eastAsia="宋体"/>
          <w:lang w:eastAsia="zh-CN"/>
        </w:rPr>
        <w:t>【编制主体】</w:t>
      </w:r>
      <w:bookmarkEnd w:id="78"/>
      <w:bookmarkEnd w:id="79"/>
    </w:p>
    <w:p>
      <w:pPr>
        <w:rPr>
          <w:rFonts w:eastAsia="宋体"/>
          <w:lang w:eastAsia="zh-CN"/>
        </w:rPr>
      </w:pPr>
      <w:bookmarkStart w:id="80" w:name="_Hlk155937753"/>
      <w:r>
        <w:rPr>
          <w:rFonts w:hint="eastAsia" w:eastAsia="宋体"/>
          <w:lang w:eastAsia="zh-CN"/>
        </w:rPr>
        <w:t>历史文化名城、街区、历史地段所在地的城市、县人民政府，应当自批准公布之日起一年内组织编制保护规划；历史文化名镇、名村所在地县级人民政府，应当自批准公布之日起一年内组织编制保护规划。历史建筑所在地的城市、县人民政府确定的保护主管部门，应当自批准公布之日起一年内组织编制保护规划。</w:t>
      </w:r>
    </w:p>
    <w:bookmarkEnd w:id="80"/>
    <w:p>
      <w:pPr>
        <w:rPr>
          <w:rFonts w:eastAsia="楷体"/>
          <w:lang w:eastAsia="zh-CN"/>
        </w:rPr>
      </w:pPr>
    </w:p>
    <w:p>
      <w:pPr>
        <w:pStyle w:val="27"/>
        <w:rPr>
          <w:rFonts w:eastAsia="宋体"/>
          <w:lang w:eastAsia="zh-CN"/>
        </w:rPr>
      </w:pPr>
      <w:bookmarkStart w:id="81" w:name="_Toc157421366"/>
      <w:bookmarkStart w:id="82" w:name="_Toc112661738"/>
      <w:r>
        <w:rPr>
          <w:rFonts w:hint="eastAsia" w:eastAsia="宋体"/>
          <w:lang w:eastAsia="zh-CN"/>
        </w:rPr>
        <w:t>【保护规划内容】</w:t>
      </w:r>
      <w:bookmarkEnd w:id="81"/>
      <w:bookmarkEnd w:id="82"/>
    </w:p>
    <w:p>
      <w:pPr>
        <w:rPr>
          <w:rFonts w:eastAsia="宋体"/>
          <w:strike/>
          <w:lang w:eastAsia="zh-CN"/>
        </w:rPr>
      </w:pPr>
      <w:bookmarkStart w:id="83" w:name="_Hlk155937919"/>
      <w:r>
        <w:rPr>
          <w:rFonts w:hint="eastAsia" w:eastAsia="宋体"/>
          <w:lang w:eastAsia="zh-CN"/>
        </w:rPr>
        <w:t>历史文化名城、名镇、名村、街区、历史地段保护规划应当包括下列内容：</w:t>
      </w:r>
    </w:p>
    <w:p>
      <w:pPr>
        <w:rPr>
          <w:rFonts w:eastAsia="宋体"/>
          <w:lang w:eastAsia="zh-CN"/>
        </w:rPr>
      </w:pPr>
      <w:r>
        <w:rPr>
          <w:rFonts w:hint="eastAsia" w:eastAsia="宋体"/>
          <w:lang w:eastAsia="zh-CN"/>
        </w:rPr>
        <w:t>（一）历史文化价值与特色；</w:t>
      </w:r>
    </w:p>
    <w:p>
      <w:pPr>
        <w:rPr>
          <w:rFonts w:eastAsia="宋体"/>
          <w:lang w:eastAsia="zh-CN"/>
        </w:rPr>
      </w:pPr>
      <w:r>
        <w:rPr>
          <w:rFonts w:hint="eastAsia" w:eastAsia="宋体"/>
          <w:lang w:eastAsia="zh-CN"/>
        </w:rPr>
        <w:t>（二）保护目标和保护原则；</w:t>
      </w:r>
    </w:p>
    <w:p>
      <w:pPr>
        <w:rPr>
          <w:rFonts w:eastAsia="宋体"/>
          <w:lang w:eastAsia="zh-CN"/>
        </w:rPr>
      </w:pPr>
      <w:r>
        <w:rPr>
          <w:rFonts w:hint="eastAsia" w:eastAsia="宋体"/>
          <w:lang w:eastAsia="zh-CN"/>
        </w:rPr>
        <w:t>（三）保护内容和保护范围；</w:t>
      </w:r>
    </w:p>
    <w:p>
      <w:pPr>
        <w:rPr>
          <w:rFonts w:eastAsia="宋体"/>
          <w:lang w:eastAsia="zh-CN"/>
        </w:rPr>
      </w:pPr>
      <w:r>
        <w:rPr>
          <w:rFonts w:hint="eastAsia" w:eastAsia="宋体"/>
          <w:lang w:eastAsia="zh-CN"/>
        </w:rPr>
        <w:t>（四）保护措施、开发强度和建设控制要求；</w:t>
      </w:r>
    </w:p>
    <w:p>
      <w:pPr>
        <w:rPr>
          <w:rFonts w:eastAsia="宋体"/>
          <w:lang w:eastAsia="zh-CN"/>
        </w:rPr>
      </w:pPr>
      <w:r>
        <w:rPr>
          <w:rFonts w:hint="eastAsia" w:eastAsia="宋体"/>
          <w:lang w:eastAsia="zh-CN"/>
        </w:rPr>
        <w:t>（五）传统格局和历史风貌保护要求；</w:t>
      </w:r>
    </w:p>
    <w:p>
      <w:pPr>
        <w:rPr>
          <w:rFonts w:eastAsia="宋体"/>
          <w:lang w:eastAsia="zh-CN"/>
        </w:rPr>
      </w:pPr>
      <w:r>
        <w:rPr>
          <w:rFonts w:hint="eastAsia" w:eastAsia="宋体"/>
          <w:lang w:eastAsia="zh-CN"/>
        </w:rPr>
        <w:t>（六）规划分期实施方案和实施保障。</w:t>
      </w:r>
    </w:p>
    <w:p>
      <w:pPr>
        <w:rPr>
          <w:rFonts w:eastAsia="宋体"/>
          <w:lang w:eastAsia="zh-CN"/>
        </w:rPr>
      </w:pPr>
      <w:r>
        <w:rPr>
          <w:rFonts w:hint="eastAsia" w:eastAsia="宋体"/>
          <w:lang w:eastAsia="zh-CN"/>
        </w:rPr>
        <w:t>历史文化名城保护规划还应划定历史城区范围。</w:t>
      </w:r>
    </w:p>
    <w:p>
      <w:pPr>
        <w:rPr>
          <w:rFonts w:eastAsia="宋体"/>
          <w:lang w:eastAsia="zh-CN"/>
        </w:rPr>
      </w:pPr>
      <w:r>
        <w:rPr>
          <w:rFonts w:hint="eastAsia" w:eastAsia="宋体"/>
          <w:lang w:eastAsia="zh-CN"/>
        </w:rPr>
        <w:t>历史文化名镇、名村、街区、历史地段保护规划还应包括保护范围内建筑物、构筑物和环境要素的分类保护整治要求，改善交通等基础设施、公共服务设施、居住环境的规划方案，防灾和环境保护要求。</w:t>
      </w:r>
    </w:p>
    <w:p>
      <w:pPr>
        <w:rPr>
          <w:rFonts w:eastAsia="宋体"/>
          <w:lang w:eastAsia="zh-CN"/>
        </w:rPr>
      </w:pPr>
      <w:r>
        <w:rPr>
          <w:rFonts w:hint="eastAsia" w:eastAsia="宋体"/>
          <w:lang w:eastAsia="zh-CN"/>
        </w:rPr>
        <w:t>历史文化名城、名镇、街区、历史地段保护规划的规划期限应当与城市、镇国土空间规划的规划期限相一致；历史文化名村保护规划的规划期限应当与村庄规划的规划期限相一致。</w:t>
      </w:r>
    </w:p>
    <w:p>
      <w:pPr>
        <w:rPr>
          <w:rFonts w:eastAsia="宋体"/>
          <w:strike/>
          <w:lang w:eastAsia="zh-CN"/>
        </w:rPr>
      </w:pPr>
    </w:p>
    <w:bookmarkEnd w:id="83"/>
    <w:p>
      <w:pPr>
        <w:pStyle w:val="27"/>
        <w:rPr>
          <w:rFonts w:eastAsia="宋体"/>
          <w:lang w:eastAsia="zh-CN"/>
        </w:rPr>
      </w:pPr>
      <w:bookmarkStart w:id="84" w:name="_Toc156812198"/>
      <w:bookmarkEnd w:id="84"/>
      <w:bookmarkStart w:id="85" w:name="_Toc155945068"/>
      <w:bookmarkEnd w:id="85"/>
      <w:bookmarkStart w:id="86" w:name="_Toc155947486"/>
      <w:bookmarkEnd w:id="86"/>
      <w:bookmarkStart w:id="87" w:name="_Toc112661740"/>
      <w:bookmarkStart w:id="88" w:name="_Toc157421367"/>
      <w:r>
        <w:rPr>
          <w:rFonts w:hint="eastAsia" w:eastAsia="宋体"/>
          <w:lang w:eastAsia="zh-CN"/>
        </w:rPr>
        <w:t>【历史建筑保护规划内容】</w:t>
      </w:r>
      <w:bookmarkEnd w:id="87"/>
      <w:bookmarkEnd w:id="88"/>
    </w:p>
    <w:p>
      <w:pPr>
        <w:rPr>
          <w:rFonts w:eastAsia="宋体"/>
          <w:lang w:eastAsia="zh-CN"/>
        </w:rPr>
      </w:pPr>
      <w:bookmarkStart w:id="89" w:name="_Hlk155938017"/>
      <w:r>
        <w:rPr>
          <w:rFonts w:hint="eastAsia" w:eastAsia="宋体"/>
          <w:lang w:eastAsia="zh-CN"/>
        </w:rPr>
        <w:t>历史建筑保护规划以保护图则的形式呈现，应当包括历史文化价值特色和现状评估、保护范围、价值要素及周边历史环境的信息图像、合理利用措施和维护修缮指引。</w:t>
      </w:r>
    </w:p>
    <w:bookmarkEnd w:id="89"/>
    <w:p>
      <w:pPr>
        <w:rPr>
          <w:rFonts w:eastAsia="楷体"/>
          <w:lang w:eastAsia="zh-CN"/>
        </w:rPr>
      </w:pPr>
    </w:p>
    <w:p>
      <w:pPr>
        <w:pStyle w:val="27"/>
        <w:rPr>
          <w:rFonts w:eastAsia="宋体"/>
          <w:lang w:eastAsia="zh-CN"/>
        </w:rPr>
      </w:pPr>
      <w:bookmarkStart w:id="90" w:name="_Toc157421368"/>
      <w:bookmarkStart w:id="91" w:name="_Toc112661742"/>
      <w:r>
        <w:rPr>
          <w:rFonts w:hint="eastAsia" w:eastAsia="宋体"/>
          <w:lang w:eastAsia="zh-CN"/>
        </w:rPr>
        <w:t>【规划公示、专家评审】</w:t>
      </w:r>
      <w:bookmarkEnd w:id="90"/>
      <w:bookmarkEnd w:id="91"/>
    </w:p>
    <w:p>
      <w:pPr>
        <w:rPr>
          <w:rFonts w:eastAsia="宋体"/>
          <w:lang w:eastAsia="zh-CN"/>
        </w:rPr>
      </w:pPr>
      <w:bookmarkStart w:id="92" w:name="_Hlk155945777"/>
      <w:bookmarkStart w:id="93" w:name="_Hlk155938032"/>
      <w:r>
        <w:rPr>
          <w:rFonts w:hint="eastAsia" w:eastAsia="宋体"/>
          <w:lang w:eastAsia="zh-CN"/>
        </w:rPr>
        <w:t>保护规划</w:t>
      </w:r>
      <w:bookmarkEnd w:id="92"/>
      <w:r>
        <w:rPr>
          <w:rFonts w:hint="eastAsia" w:eastAsia="宋体"/>
          <w:lang w:eastAsia="zh-CN"/>
        </w:rPr>
        <w:t>报送审批前，组织编制机关应当广泛征求有关部门、专家和公众的意见</w:t>
      </w:r>
      <w:bookmarkStart w:id="94" w:name="_Hlk155945784"/>
      <w:r>
        <w:rPr>
          <w:rFonts w:hint="eastAsia" w:eastAsia="宋体"/>
          <w:lang w:eastAsia="zh-CN"/>
        </w:rPr>
        <w:t>。历史文化名城、名镇、街区、历史地段保护规划应向社会公示，</w:t>
      </w:r>
      <w:bookmarkEnd w:id="94"/>
      <w:r>
        <w:rPr>
          <w:rFonts w:hint="eastAsia" w:eastAsia="宋体"/>
          <w:lang w:eastAsia="zh-CN"/>
        </w:rPr>
        <w:t>公示时间不少于三十日；必要时，可以举行听证。</w:t>
      </w:r>
    </w:p>
    <w:p>
      <w:pPr>
        <w:rPr>
          <w:rFonts w:eastAsia="宋体"/>
          <w:lang w:eastAsia="zh-CN"/>
        </w:rPr>
      </w:pPr>
      <w:bookmarkStart w:id="95" w:name="_Hlk155945791"/>
      <w:r>
        <w:rPr>
          <w:rFonts w:hint="eastAsia" w:eastAsia="宋体"/>
          <w:lang w:eastAsia="zh-CN"/>
        </w:rPr>
        <w:t>保护规划</w:t>
      </w:r>
      <w:bookmarkEnd w:id="95"/>
      <w:r>
        <w:rPr>
          <w:rFonts w:hint="eastAsia" w:eastAsia="宋体"/>
          <w:lang w:eastAsia="zh-CN"/>
        </w:rPr>
        <w:t>编制阶段，组织编制机关应当组织专家审查。历史文化名城、名镇、名村保护规划成果还应当报省级主管部门组织专家审查。</w:t>
      </w:r>
    </w:p>
    <w:p>
      <w:pPr>
        <w:rPr>
          <w:rFonts w:eastAsia="宋体"/>
          <w:lang w:eastAsia="zh-CN"/>
        </w:rPr>
      </w:pPr>
      <w:r>
        <w:rPr>
          <w:rFonts w:hint="eastAsia" w:eastAsia="宋体"/>
          <w:lang w:eastAsia="zh-CN"/>
        </w:rPr>
        <w:t>组织编制机关应当充分考虑专家和公众的意见，规划报送审批文件中附具意见采纳情况以及理由；经听证的，还应当附具听证笔录。</w:t>
      </w:r>
    </w:p>
    <w:bookmarkEnd w:id="93"/>
    <w:p>
      <w:pPr>
        <w:rPr>
          <w:rFonts w:eastAsia="楷体"/>
          <w:lang w:eastAsia="zh-CN"/>
        </w:rPr>
      </w:pPr>
    </w:p>
    <w:p>
      <w:pPr>
        <w:pStyle w:val="27"/>
        <w:rPr>
          <w:rFonts w:eastAsia="宋体"/>
          <w:lang w:eastAsia="zh-CN"/>
        </w:rPr>
      </w:pPr>
      <w:bookmarkStart w:id="96" w:name="_Toc157421369"/>
      <w:bookmarkStart w:id="97" w:name="_Toc112661743"/>
      <w:r>
        <w:rPr>
          <w:rFonts w:hint="eastAsia" w:eastAsia="宋体"/>
          <w:lang w:eastAsia="zh-CN"/>
        </w:rPr>
        <w:t>【规划审批、备案与公布】</w:t>
      </w:r>
      <w:bookmarkEnd w:id="96"/>
      <w:bookmarkEnd w:id="97"/>
    </w:p>
    <w:p>
      <w:pPr>
        <w:rPr>
          <w:rFonts w:eastAsia="宋体"/>
          <w:lang w:eastAsia="zh-CN"/>
        </w:rPr>
      </w:pPr>
      <w:bookmarkStart w:id="98" w:name="_Hlk152012063"/>
      <w:bookmarkStart w:id="99" w:name="_Hlk155938082"/>
      <w:r>
        <w:rPr>
          <w:rFonts w:hint="eastAsia" w:eastAsia="宋体"/>
          <w:lang w:eastAsia="zh-CN"/>
        </w:rPr>
        <w:t>历史文化名城、名镇、名村保护规划由省人民政府审批；历史文化街区、历史地段保护规划由地级以上市人民政府审批</w:t>
      </w:r>
      <w:bookmarkEnd w:id="98"/>
      <w:r>
        <w:rPr>
          <w:rFonts w:hint="eastAsia" w:eastAsia="宋体"/>
          <w:lang w:eastAsia="zh-CN"/>
        </w:rPr>
        <w:t>；历史建筑保护规划由城市、县人民政府审批。历史文化街区、历史地段保护规划报批前，应当经省住房城乡建设主管部门会同文物主管部门审查同意。</w:t>
      </w:r>
    </w:p>
    <w:p>
      <w:pPr>
        <w:rPr>
          <w:rFonts w:eastAsia="宋体"/>
          <w:lang w:eastAsia="zh-CN"/>
        </w:rPr>
      </w:pPr>
      <w:r>
        <w:rPr>
          <w:rFonts w:hint="eastAsia" w:eastAsia="宋体"/>
          <w:lang w:eastAsia="zh-CN"/>
        </w:rPr>
        <w:t>经依法批准的历史文化名城、名镇、名村、街区、历史地段保护规划，应当报省级主管部门备案。</w:t>
      </w:r>
    </w:p>
    <w:p>
      <w:pPr>
        <w:rPr>
          <w:rFonts w:eastAsia="宋体"/>
          <w:lang w:eastAsia="zh-CN"/>
        </w:rPr>
      </w:pPr>
      <w:r>
        <w:rPr>
          <w:rFonts w:hint="eastAsia" w:eastAsia="宋体"/>
          <w:lang w:eastAsia="zh-CN"/>
        </w:rPr>
        <w:t>组织编制机关应当自规划批准之日起三十日内公布。</w:t>
      </w:r>
    </w:p>
    <w:p>
      <w:pPr>
        <w:rPr>
          <w:rFonts w:eastAsia="宋体"/>
          <w:lang w:eastAsia="zh-CN"/>
        </w:rPr>
      </w:pPr>
      <w:r>
        <w:rPr>
          <w:rFonts w:hint="eastAsia" w:eastAsia="宋体"/>
          <w:lang w:eastAsia="zh-CN"/>
        </w:rPr>
        <w:t>经依法批准的保护规划是保护、管理历史文化名城、名镇、名村、街区，历史地段和历史建筑的依据。任何单位和个人应当服从规划管理。</w:t>
      </w:r>
    </w:p>
    <w:bookmarkEnd w:id="99"/>
    <w:p>
      <w:pPr>
        <w:rPr>
          <w:rFonts w:eastAsia="宋体"/>
          <w:lang w:eastAsia="zh-CN"/>
        </w:rPr>
      </w:pPr>
    </w:p>
    <w:p>
      <w:pPr>
        <w:pStyle w:val="27"/>
        <w:rPr>
          <w:rFonts w:eastAsia="宋体"/>
          <w:lang w:eastAsia="zh-CN"/>
        </w:rPr>
      </w:pPr>
      <w:bookmarkStart w:id="100" w:name="_Toc112661746"/>
      <w:bookmarkStart w:id="101" w:name="_Toc157421370"/>
      <w:r>
        <w:rPr>
          <w:rFonts w:hint="eastAsia" w:eastAsia="宋体"/>
          <w:lang w:eastAsia="zh-CN"/>
        </w:rPr>
        <w:t>【规划衔接】</w:t>
      </w:r>
      <w:bookmarkEnd w:id="100"/>
      <w:bookmarkEnd w:id="101"/>
    </w:p>
    <w:p>
      <w:pPr>
        <w:rPr>
          <w:rFonts w:eastAsia="宋体"/>
          <w:lang w:eastAsia="zh-CN"/>
        </w:rPr>
      </w:pPr>
      <w:bookmarkStart w:id="102" w:name="_Hlk155938211"/>
      <w:r>
        <w:rPr>
          <w:rFonts w:hint="eastAsia" w:eastAsia="宋体"/>
          <w:lang w:eastAsia="zh-CN"/>
        </w:rPr>
        <w:t>历史文化名城、名镇保护规划的强制性内容应当纳入市、县、镇国土空间总体规划；村庄规划应当落实历史文化名村保护规划的主要内容，详细规划应当落实保护规划的强制性内容。</w:t>
      </w:r>
    </w:p>
    <w:p>
      <w:pPr>
        <w:rPr>
          <w:rFonts w:ascii="仿宋_GB2312" w:hAnsi="黑体" w:eastAsia="楷体"/>
          <w:lang w:eastAsia="zh-CN"/>
        </w:rPr>
      </w:pPr>
      <w:r>
        <w:rPr>
          <w:rFonts w:hint="eastAsia" w:eastAsia="宋体"/>
          <w:lang w:eastAsia="zh-CN"/>
        </w:rPr>
        <w:t>经依法批准的保护规划应当纳入同级国土空间基础信息平台。</w:t>
      </w:r>
      <w:bookmarkEnd w:id="102"/>
      <w:r>
        <w:rPr>
          <w:rFonts w:ascii="仿宋_GB2312" w:hAnsi="黑体" w:eastAsia="楷体"/>
          <w:lang w:eastAsia="zh-CN"/>
        </w:rPr>
        <w:br w:type="page"/>
      </w:r>
    </w:p>
    <w:p>
      <w:pPr>
        <w:numPr>
          <w:ilvl w:val="0"/>
          <w:numId w:val="2"/>
        </w:numPr>
        <w:snapToGrid/>
        <w:spacing w:line="360" w:lineRule="auto"/>
        <w:ind w:left="0" w:firstLine="0" w:firstLineChars="0"/>
        <w:jc w:val="center"/>
        <w:outlineLvl w:val="0"/>
        <w:rPr>
          <w:rFonts w:ascii="黑体" w:hAnsi="黑体" w:eastAsia="黑体" w:cs="黑体"/>
          <w:kern w:val="2"/>
          <w:sz w:val="32"/>
          <w:szCs w:val="32"/>
          <w:lang w:eastAsia="zh-CN"/>
        </w:rPr>
      </w:pPr>
      <w:bookmarkStart w:id="103" w:name="_Toc112661747"/>
      <w:bookmarkEnd w:id="103"/>
      <w:bookmarkStart w:id="104" w:name="_Toc157421371"/>
      <w:bookmarkStart w:id="105" w:name="_Toc112661748"/>
      <w:r>
        <w:rPr>
          <w:rFonts w:hint="eastAsia" w:ascii="黑体" w:hAnsi="黑体" w:eastAsia="黑体" w:cs="黑体"/>
          <w:kern w:val="2"/>
          <w:sz w:val="32"/>
          <w:szCs w:val="32"/>
          <w:lang w:eastAsia="zh-CN"/>
        </w:rPr>
        <w:t>保护措施</w:t>
      </w:r>
      <w:bookmarkEnd w:id="104"/>
      <w:bookmarkEnd w:id="105"/>
    </w:p>
    <w:p>
      <w:pPr>
        <w:pStyle w:val="27"/>
        <w:rPr>
          <w:rFonts w:eastAsia="宋体"/>
          <w:lang w:eastAsia="zh-CN"/>
        </w:rPr>
      </w:pPr>
      <w:bookmarkStart w:id="106" w:name="_Toc157421372"/>
      <w:bookmarkStart w:id="107" w:name="_Toc112661749"/>
      <w:r>
        <w:rPr>
          <w:rFonts w:hint="eastAsia" w:eastAsia="宋体"/>
          <w:lang w:eastAsia="zh-CN"/>
        </w:rPr>
        <w:t>【保护总体要求】</w:t>
      </w:r>
      <w:bookmarkEnd w:id="106"/>
      <w:bookmarkEnd w:id="107"/>
    </w:p>
    <w:p>
      <w:pPr>
        <w:ind w:firstLine="520"/>
        <w:rPr>
          <w:rFonts w:eastAsia="宋体"/>
          <w:spacing w:val="20"/>
          <w:szCs w:val="22"/>
          <w:lang w:eastAsia="zh-CN"/>
        </w:rPr>
      </w:pPr>
      <w:bookmarkStart w:id="108" w:name="_Hlk155938223"/>
      <w:r>
        <w:rPr>
          <w:rFonts w:hint="eastAsia" w:eastAsia="宋体"/>
          <w:spacing w:val="20"/>
          <w:szCs w:val="22"/>
          <w:lang w:eastAsia="zh-CN"/>
        </w:rPr>
        <w:t>历史文化名城、名镇、名村、街区、历史地段应当整体保护，保持传统格局、历史风貌和空间尺度，保护与其相互依存的自然景观和环境；注重其文化内涵，加强活态保护，尊重原住居民生活形态和传统习惯。</w:t>
      </w:r>
    </w:p>
    <w:p>
      <w:pPr>
        <w:ind w:firstLine="520"/>
        <w:rPr>
          <w:rFonts w:eastAsia="宋体"/>
          <w:spacing w:val="20"/>
          <w:szCs w:val="22"/>
          <w:lang w:eastAsia="zh-CN"/>
        </w:rPr>
      </w:pPr>
      <w:r>
        <w:rPr>
          <w:rFonts w:hint="eastAsia" w:eastAsia="宋体"/>
          <w:spacing w:val="20"/>
          <w:szCs w:val="22"/>
          <w:lang w:eastAsia="zh-CN"/>
        </w:rPr>
        <w:t>历史文化名城、名镇、名村、街区，历史地段和历史建筑保护范围内的土地利用和各项建设，应当符合保护规划的规定。</w:t>
      </w:r>
    </w:p>
    <w:p>
      <w:pPr>
        <w:ind w:firstLine="520"/>
        <w:rPr>
          <w:rFonts w:eastAsia="宋体"/>
          <w:lang w:eastAsia="zh-CN"/>
        </w:rPr>
      </w:pPr>
      <w:r>
        <w:rPr>
          <w:rFonts w:hint="eastAsia" w:eastAsia="宋体"/>
          <w:spacing w:val="20"/>
          <w:szCs w:val="22"/>
          <w:lang w:eastAsia="zh-CN"/>
        </w:rPr>
        <w:t>城市更新、新区建设和基础设施建设涉及保护对象的，地级以上市、县级人民政府应当明确保护要求、相关责任和义务。</w:t>
      </w:r>
    </w:p>
    <w:bookmarkEnd w:id="108"/>
    <w:p>
      <w:pPr>
        <w:rPr>
          <w:rFonts w:eastAsia="宋体"/>
          <w:lang w:eastAsia="zh-CN"/>
        </w:rPr>
      </w:pPr>
    </w:p>
    <w:p>
      <w:pPr>
        <w:pStyle w:val="27"/>
        <w:rPr>
          <w:rFonts w:eastAsia="宋体"/>
          <w:lang w:eastAsia="zh-CN"/>
        </w:rPr>
      </w:pPr>
      <w:bookmarkStart w:id="109" w:name="_Toc112661752"/>
      <w:bookmarkStart w:id="110" w:name="_Toc157421373"/>
      <w:r>
        <w:rPr>
          <w:rFonts w:hint="eastAsia" w:eastAsia="宋体"/>
          <w:lang w:eastAsia="zh-CN"/>
        </w:rPr>
        <w:t>【保护责任人制度】</w:t>
      </w:r>
      <w:bookmarkEnd w:id="109"/>
      <w:bookmarkEnd w:id="110"/>
    </w:p>
    <w:p>
      <w:pPr>
        <w:ind w:firstLine="520"/>
        <w:rPr>
          <w:rFonts w:eastAsia="宋体"/>
          <w:spacing w:val="20"/>
          <w:szCs w:val="22"/>
          <w:lang w:eastAsia="zh-CN"/>
        </w:rPr>
      </w:pPr>
      <w:r>
        <w:rPr>
          <w:rFonts w:hint="eastAsia" w:eastAsia="宋体"/>
          <w:spacing w:val="20"/>
          <w:szCs w:val="22"/>
          <w:lang w:eastAsia="zh-CN"/>
        </w:rPr>
        <w:t>实行保护责任人制度，保护责任人按照下列规定确定：</w:t>
      </w:r>
    </w:p>
    <w:p>
      <w:pPr>
        <w:ind w:firstLine="520"/>
        <w:rPr>
          <w:rFonts w:eastAsia="宋体"/>
          <w:spacing w:val="20"/>
          <w:szCs w:val="22"/>
          <w:lang w:eastAsia="zh-CN"/>
        </w:rPr>
      </w:pPr>
      <w:r>
        <w:rPr>
          <w:rFonts w:hint="eastAsia" w:eastAsia="宋体"/>
          <w:spacing w:val="20"/>
          <w:szCs w:val="22"/>
          <w:lang w:eastAsia="zh-CN"/>
        </w:rPr>
        <w:t>（一）历史文化名城的保护责任人为市、县人民政府。</w:t>
      </w:r>
    </w:p>
    <w:p>
      <w:pPr>
        <w:ind w:firstLine="520"/>
        <w:rPr>
          <w:rFonts w:eastAsia="宋体"/>
          <w:spacing w:val="20"/>
          <w:szCs w:val="22"/>
          <w:lang w:eastAsia="zh-CN"/>
        </w:rPr>
      </w:pPr>
      <w:r>
        <w:rPr>
          <w:rFonts w:hint="eastAsia" w:eastAsia="宋体"/>
          <w:spacing w:val="20"/>
          <w:szCs w:val="22"/>
          <w:lang w:eastAsia="zh-CN"/>
        </w:rPr>
        <w:t>（二）历史文化名镇、名村、街区、历史地段的保护责任人由所在地的县级人民政府指定。</w:t>
      </w:r>
    </w:p>
    <w:p>
      <w:pPr>
        <w:ind w:firstLine="520"/>
        <w:rPr>
          <w:rFonts w:eastAsia="宋体"/>
          <w:spacing w:val="20"/>
          <w:szCs w:val="22"/>
          <w:lang w:eastAsia="zh-CN"/>
        </w:rPr>
      </w:pPr>
      <w:r>
        <w:rPr>
          <w:rFonts w:hint="eastAsia" w:eastAsia="宋体"/>
          <w:spacing w:val="20"/>
          <w:szCs w:val="22"/>
          <w:lang w:eastAsia="zh-CN"/>
        </w:rPr>
        <w:t>（三）国有历史建筑使用人为保护责任人；非国有历史建筑的所有权人为保护责任人，所有权人不明但有使用人的，使用人为保护责任人。</w:t>
      </w:r>
      <w:r>
        <w:rPr>
          <w:rFonts w:hint="eastAsia" w:ascii="宋体" w:hAnsi="宋体" w:eastAsia="宋体" w:cs="宋体"/>
          <w:color w:val="333333"/>
          <w:shd w:val="clear" w:color="auto" w:fill="FFFFFF"/>
          <w:lang w:eastAsia="zh-CN"/>
        </w:rPr>
        <w:t>无法确定保护责任人的</w:t>
      </w:r>
      <w:r>
        <w:rPr>
          <w:rFonts w:hint="eastAsia" w:eastAsia="宋体"/>
          <w:spacing w:val="20"/>
          <w:szCs w:val="22"/>
          <w:lang w:eastAsia="zh-CN"/>
        </w:rPr>
        <w:t>，县级人民政府应当及时指定保护责任人。</w:t>
      </w:r>
    </w:p>
    <w:p>
      <w:pPr>
        <w:ind w:firstLine="520"/>
        <w:rPr>
          <w:rFonts w:eastAsia="宋体"/>
          <w:lang w:eastAsia="zh-CN"/>
        </w:rPr>
      </w:pPr>
      <w:r>
        <w:rPr>
          <w:rFonts w:hint="eastAsia" w:eastAsia="宋体"/>
          <w:spacing w:val="20"/>
          <w:szCs w:val="22"/>
          <w:lang w:eastAsia="zh-CN"/>
        </w:rPr>
        <w:t>跨行政区域的保护对象的保护责任人由所在地上一级人民政府指定。</w:t>
      </w:r>
    </w:p>
    <w:p>
      <w:pPr>
        <w:rPr>
          <w:rFonts w:eastAsia="宋体"/>
          <w:lang w:eastAsia="zh-CN"/>
        </w:rPr>
      </w:pPr>
    </w:p>
    <w:p>
      <w:pPr>
        <w:pStyle w:val="27"/>
        <w:rPr>
          <w:rFonts w:eastAsia="宋体"/>
          <w:lang w:eastAsia="zh-CN"/>
        </w:rPr>
      </w:pPr>
      <w:bookmarkStart w:id="111" w:name="_Toc157421374"/>
      <w:bookmarkStart w:id="112" w:name="_Toc112661757"/>
      <w:r>
        <w:rPr>
          <w:rFonts w:hint="eastAsia" w:eastAsia="宋体"/>
          <w:lang w:eastAsia="zh-CN"/>
        </w:rPr>
        <w:t>【保护标志】</w:t>
      </w:r>
      <w:bookmarkEnd w:id="111"/>
      <w:bookmarkEnd w:id="112"/>
    </w:p>
    <w:p>
      <w:pPr>
        <w:rPr>
          <w:rFonts w:eastAsia="宋体"/>
          <w:lang w:eastAsia="zh-CN"/>
        </w:rPr>
      </w:pPr>
      <w:bookmarkStart w:id="113" w:name="_Hlk156558233"/>
      <w:bookmarkStart w:id="114" w:name="_Hlk155938270"/>
      <w:r>
        <w:rPr>
          <w:rFonts w:hint="eastAsia" w:eastAsia="宋体"/>
          <w:lang w:eastAsia="zh-CN"/>
        </w:rPr>
        <w:t>县级人民政府应当在历史文化名镇、名村、街区、历史地段核心保护范围的主要出入口设置保护标志，对历史建筑设置保护标志。</w:t>
      </w:r>
      <w:r>
        <w:rPr>
          <w:rFonts w:eastAsia="宋体"/>
          <w:lang w:eastAsia="zh-CN"/>
        </w:rPr>
        <w:t xml:space="preserve"> </w:t>
      </w:r>
    </w:p>
    <w:p>
      <w:pPr>
        <w:rPr>
          <w:rFonts w:eastAsia="宋体"/>
          <w:lang w:eastAsia="zh-CN"/>
        </w:rPr>
      </w:pPr>
      <w:r>
        <w:rPr>
          <w:rFonts w:hint="eastAsia" w:eastAsia="宋体"/>
          <w:lang w:eastAsia="zh-CN"/>
        </w:rPr>
        <w:t>任何单位和个人不得擅自设置、移动、涂改或者损毁保护标志。</w:t>
      </w:r>
      <w:bookmarkEnd w:id="113"/>
    </w:p>
    <w:bookmarkEnd w:id="114"/>
    <w:p>
      <w:pPr>
        <w:rPr>
          <w:rFonts w:eastAsia="楷体"/>
          <w:lang w:eastAsia="zh-CN"/>
        </w:rPr>
      </w:pPr>
    </w:p>
    <w:p>
      <w:pPr>
        <w:pStyle w:val="27"/>
        <w:rPr>
          <w:rFonts w:eastAsia="宋体"/>
          <w:lang w:eastAsia="zh-CN"/>
        </w:rPr>
      </w:pPr>
      <w:bookmarkStart w:id="115" w:name="_Toc112661758"/>
      <w:bookmarkStart w:id="116" w:name="_Toc157421375"/>
      <w:r>
        <w:rPr>
          <w:rFonts w:hint="eastAsia" w:eastAsia="宋体"/>
          <w:lang w:eastAsia="zh-CN"/>
        </w:rPr>
        <w:t>【禁止性行为】</w:t>
      </w:r>
      <w:bookmarkEnd w:id="115"/>
      <w:bookmarkEnd w:id="116"/>
    </w:p>
    <w:p>
      <w:pPr>
        <w:ind w:firstLine="520"/>
        <w:rPr>
          <w:rFonts w:eastAsia="宋体"/>
          <w:spacing w:val="20"/>
          <w:szCs w:val="22"/>
          <w:lang w:eastAsia="zh-CN"/>
        </w:rPr>
      </w:pPr>
      <w:bookmarkStart w:id="117" w:name="_Hlk155356634"/>
      <w:bookmarkStart w:id="118" w:name="_Hlk155938299"/>
      <w:r>
        <w:rPr>
          <w:rFonts w:hint="eastAsia" w:eastAsia="宋体"/>
          <w:spacing w:val="20"/>
          <w:szCs w:val="22"/>
          <w:lang w:eastAsia="zh-CN"/>
        </w:rPr>
        <w:t>在历史文化名城、名镇、名村、街区、历史地段保护范围内禁止下列行为：</w:t>
      </w:r>
    </w:p>
    <w:p>
      <w:pPr>
        <w:ind w:firstLine="520"/>
        <w:rPr>
          <w:rFonts w:eastAsia="宋体"/>
          <w:spacing w:val="20"/>
          <w:szCs w:val="22"/>
          <w:lang w:eastAsia="zh-CN"/>
        </w:rPr>
      </w:pPr>
      <w:r>
        <w:rPr>
          <w:rFonts w:hint="eastAsia" w:eastAsia="宋体"/>
          <w:spacing w:val="20"/>
          <w:szCs w:val="22"/>
          <w:lang w:eastAsia="zh-CN"/>
        </w:rPr>
        <w:t>（一）开山、采石、采砂、开矿、危害古树名木等破坏传统格局和历史风貌的活动；</w:t>
      </w:r>
    </w:p>
    <w:p>
      <w:pPr>
        <w:ind w:firstLine="520"/>
        <w:rPr>
          <w:rFonts w:eastAsia="宋体"/>
          <w:spacing w:val="20"/>
          <w:szCs w:val="22"/>
          <w:lang w:eastAsia="zh-CN"/>
        </w:rPr>
      </w:pPr>
      <w:r>
        <w:rPr>
          <w:rFonts w:hint="eastAsia" w:eastAsia="宋体"/>
          <w:spacing w:val="20"/>
          <w:szCs w:val="22"/>
          <w:lang w:eastAsia="zh-CN"/>
        </w:rPr>
        <w:t>（二）占用保护规划确定保留的园林绿地、河湖水系、道路等；</w:t>
      </w:r>
    </w:p>
    <w:p>
      <w:pPr>
        <w:ind w:firstLine="520"/>
        <w:rPr>
          <w:rFonts w:eastAsia="宋体"/>
          <w:spacing w:val="20"/>
          <w:szCs w:val="22"/>
          <w:lang w:eastAsia="zh-CN"/>
        </w:rPr>
      </w:pPr>
      <w:r>
        <w:rPr>
          <w:rFonts w:hint="eastAsia" w:eastAsia="宋体"/>
          <w:spacing w:val="20"/>
          <w:szCs w:val="22"/>
          <w:lang w:eastAsia="zh-CN"/>
        </w:rPr>
        <w:t>（三）修建生产、储存爆炸性、易燃性、放射性、毒害性、腐蚀性物品的工厂、仓库、码头等；</w:t>
      </w:r>
    </w:p>
    <w:p>
      <w:pPr>
        <w:ind w:firstLine="520"/>
        <w:rPr>
          <w:rFonts w:eastAsia="宋体"/>
          <w:spacing w:val="20"/>
          <w:szCs w:val="22"/>
          <w:lang w:eastAsia="zh-CN"/>
        </w:rPr>
      </w:pPr>
      <w:r>
        <w:rPr>
          <w:rFonts w:hint="eastAsia" w:eastAsia="宋体"/>
          <w:spacing w:val="20"/>
          <w:szCs w:val="22"/>
          <w:lang w:eastAsia="zh-CN"/>
        </w:rPr>
        <w:t>（四）对保护规划确定保护的建筑物、构筑物进行改变原风貌的维修或者装饰；</w:t>
      </w:r>
    </w:p>
    <w:p>
      <w:pPr>
        <w:ind w:firstLine="520"/>
        <w:rPr>
          <w:rFonts w:eastAsia="宋体"/>
          <w:spacing w:val="20"/>
          <w:szCs w:val="22"/>
          <w:lang w:eastAsia="zh-CN"/>
        </w:rPr>
      </w:pPr>
      <w:r>
        <w:rPr>
          <w:rFonts w:hint="eastAsia" w:eastAsia="宋体"/>
          <w:spacing w:val="20"/>
          <w:szCs w:val="22"/>
          <w:lang w:eastAsia="zh-CN"/>
        </w:rPr>
        <w:t>（五）修建损害传统格局和历史风貌的建筑物、构筑物和其他设施；</w:t>
      </w:r>
    </w:p>
    <w:p>
      <w:pPr>
        <w:ind w:firstLine="520"/>
        <w:rPr>
          <w:rFonts w:eastAsia="宋体"/>
          <w:spacing w:val="20"/>
          <w:szCs w:val="22"/>
          <w:lang w:eastAsia="zh-CN"/>
        </w:rPr>
      </w:pPr>
      <w:r>
        <w:rPr>
          <w:rFonts w:hint="eastAsia" w:eastAsia="宋体"/>
          <w:spacing w:val="20"/>
          <w:szCs w:val="22"/>
          <w:lang w:eastAsia="zh-CN"/>
        </w:rPr>
        <w:t>（六）设置破坏或者影响风貌的广告、标牌、招贴；</w:t>
      </w:r>
    </w:p>
    <w:p>
      <w:pPr>
        <w:ind w:firstLine="520"/>
        <w:rPr>
          <w:rFonts w:eastAsia="宋体"/>
          <w:spacing w:val="20"/>
          <w:szCs w:val="22"/>
          <w:lang w:eastAsia="zh-CN"/>
        </w:rPr>
      </w:pPr>
      <w:r>
        <w:rPr>
          <w:rFonts w:hint="eastAsia" w:eastAsia="宋体"/>
          <w:spacing w:val="20"/>
          <w:szCs w:val="22"/>
          <w:lang w:eastAsia="zh-CN"/>
        </w:rPr>
        <w:t>（七）随处倾倒垃圾、排放污水等污染环境的；</w:t>
      </w:r>
    </w:p>
    <w:p>
      <w:pPr>
        <w:ind w:firstLine="520"/>
        <w:rPr>
          <w:rFonts w:eastAsia="宋体"/>
          <w:spacing w:val="20"/>
          <w:szCs w:val="22"/>
          <w:lang w:eastAsia="zh-CN"/>
        </w:rPr>
      </w:pPr>
      <w:r>
        <w:rPr>
          <w:rFonts w:hint="eastAsia" w:eastAsia="宋体"/>
          <w:spacing w:val="20"/>
          <w:szCs w:val="22"/>
          <w:lang w:eastAsia="zh-CN"/>
        </w:rPr>
        <w:t>（八）损毁非物质文化遗产组成部分的实物和场所；</w:t>
      </w:r>
    </w:p>
    <w:p>
      <w:pPr>
        <w:ind w:firstLine="520"/>
        <w:rPr>
          <w:rFonts w:eastAsia="宋体"/>
          <w:spacing w:val="20"/>
          <w:szCs w:val="22"/>
          <w:lang w:eastAsia="zh-CN"/>
        </w:rPr>
      </w:pPr>
      <w:r>
        <w:rPr>
          <w:rFonts w:hint="eastAsia" w:eastAsia="宋体"/>
          <w:spacing w:val="20"/>
          <w:szCs w:val="22"/>
          <w:lang w:eastAsia="zh-CN"/>
        </w:rPr>
        <w:t>（九）法律、法规禁止的其他行为。</w:t>
      </w:r>
    </w:p>
    <w:p>
      <w:pPr>
        <w:ind w:firstLine="520"/>
        <w:rPr>
          <w:rFonts w:eastAsia="宋体"/>
          <w:spacing w:val="20"/>
          <w:szCs w:val="22"/>
          <w:lang w:eastAsia="zh-CN"/>
        </w:rPr>
      </w:pPr>
      <w:r>
        <w:rPr>
          <w:rFonts w:hint="eastAsia" w:eastAsia="宋体"/>
          <w:spacing w:val="20"/>
          <w:szCs w:val="22"/>
          <w:lang w:eastAsia="zh-CN"/>
        </w:rPr>
        <w:t>禁止任何单位或者个人对历史建筑进行下列行为：</w:t>
      </w:r>
    </w:p>
    <w:p>
      <w:pPr>
        <w:ind w:firstLine="520"/>
        <w:rPr>
          <w:rFonts w:eastAsia="宋体"/>
          <w:spacing w:val="20"/>
          <w:szCs w:val="22"/>
          <w:lang w:eastAsia="zh-CN"/>
        </w:rPr>
      </w:pPr>
      <w:r>
        <w:rPr>
          <w:rFonts w:hint="eastAsia" w:eastAsia="宋体"/>
          <w:spacing w:val="20"/>
          <w:szCs w:val="22"/>
          <w:lang w:eastAsia="zh-CN"/>
        </w:rPr>
        <w:t>（一）在历史建筑上刻划、涂污；</w:t>
      </w:r>
    </w:p>
    <w:p>
      <w:pPr>
        <w:ind w:firstLine="520"/>
        <w:rPr>
          <w:rFonts w:eastAsia="宋体"/>
          <w:spacing w:val="20"/>
          <w:szCs w:val="22"/>
          <w:lang w:eastAsia="zh-CN"/>
        </w:rPr>
      </w:pPr>
      <w:r>
        <w:rPr>
          <w:rFonts w:hint="eastAsia" w:eastAsia="宋体"/>
          <w:spacing w:val="20"/>
          <w:szCs w:val="22"/>
          <w:lang w:eastAsia="zh-CN"/>
        </w:rPr>
        <w:t>（二）擅自拆卸、转让被确定为核心价值要素的构件；</w:t>
      </w:r>
    </w:p>
    <w:p>
      <w:pPr>
        <w:ind w:firstLine="520"/>
        <w:rPr>
          <w:rFonts w:eastAsia="宋体"/>
          <w:lang w:eastAsia="zh-CN"/>
        </w:rPr>
      </w:pPr>
      <w:r>
        <w:rPr>
          <w:rFonts w:hint="eastAsia" w:eastAsia="宋体"/>
          <w:spacing w:val="20"/>
          <w:szCs w:val="22"/>
          <w:lang w:eastAsia="zh-CN"/>
        </w:rPr>
        <w:t>（三）其他损坏历史建筑的行为</w:t>
      </w:r>
      <w:r>
        <w:rPr>
          <w:rFonts w:hint="eastAsia" w:eastAsia="宋体"/>
          <w:lang w:eastAsia="zh-CN"/>
        </w:rPr>
        <w:t>。</w:t>
      </w:r>
      <w:bookmarkEnd w:id="117"/>
    </w:p>
    <w:bookmarkEnd w:id="118"/>
    <w:p>
      <w:pPr>
        <w:ind w:firstLine="0" w:firstLineChars="0"/>
        <w:rPr>
          <w:rFonts w:eastAsia="宋体"/>
          <w:lang w:eastAsia="zh-CN"/>
        </w:rPr>
      </w:pPr>
    </w:p>
    <w:p>
      <w:pPr>
        <w:pStyle w:val="27"/>
        <w:rPr>
          <w:rFonts w:eastAsia="宋体"/>
          <w:lang w:eastAsia="zh-CN"/>
        </w:rPr>
      </w:pPr>
      <w:bookmarkStart w:id="119" w:name="_Toc157421376"/>
      <w:bookmarkStart w:id="120" w:name="_Toc112661759"/>
      <w:r>
        <w:rPr>
          <w:rFonts w:hint="eastAsia" w:eastAsia="宋体"/>
          <w:lang w:eastAsia="zh-CN"/>
        </w:rPr>
        <w:t>【建设控制要求】</w:t>
      </w:r>
      <w:bookmarkEnd w:id="119"/>
      <w:bookmarkEnd w:id="120"/>
    </w:p>
    <w:p>
      <w:pPr>
        <w:ind w:firstLine="520"/>
        <w:rPr>
          <w:rFonts w:eastAsia="宋体"/>
          <w:spacing w:val="20"/>
          <w:szCs w:val="22"/>
          <w:lang w:eastAsia="zh-CN"/>
        </w:rPr>
      </w:pPr>
      <w:bookmarkStart w:id="121" w:name="_Hlk155938366"/>
      <w:r>
        <w:rPr>
          <w:rFonts w:hint="eastAsia" w:eastAsia="宋体"/>
          <w:spacing w:val="20"/>
          <w:szCs w:val="22"/>
          <w:lang w:eastAsia="zh-CN"/>
        </w:rPr>
        <w:t>在历史文化名镇、名村、街区核心保护范围内，不得进行新建、扩建活动。但是，新建、扩建必要的基础设施和公共服务设施除外。</w:t>
      </w:r>
    </w:p>
    <w:p>
      <w:pPr>
        <w:ind w:firstLine="520"/>
        <w:rPr>
          <w:rFonts w:eastAsia="宋体"/>
          <w:spacing w:val="20"/>
          <w:szCs w:val="22"/>
          <w:lang w:eastAsia="zh-CN"/>
        </w:rPr>
      </w:pPr>
      <w:r>
        <w:rPr>
          <w:rFonts w:hint="eastAsia" w:eastAsia="宋体"/>
          <w:spacing w:val="20"/>
          <w:szCs w:val="22"/>
          <w:lang w:eastAsia="zh-CN"/>
        </w:rPr>
        <w:t>在历史文化名镇、名村、街区核心保护范围内，拆除历史建筑以外的建筑物、构筑物或者其他设施的，应当经地级以上市、县级人民政府确定的保护主管部门会同文物主管部门批准。</w:t>
      </w:r>
    </w:p>
    <w:p>
      <w:pPr>
        <w:ind w:firstLine="520"/>
        <w:rPr>
          <w:rFonts w:eastAsia="宋体"/>
          <w:spacing w:val="20"/>
          <w:szCs w:val="22"/>
          <w:lang w:eastAsia="zh-CN"/>
        </w:rPr>
      </w:pPr>
      <w:r>
        <w:rPr>
          <w:rFonts w:hint="eastAsia" w:eastAsia="宋体"/>
          <w:spacing w:val="20"/>
          <w:szCs w:val="22"/>
          <w:lang w:eastAsia="zh-CN"/>
        </w:rPr>
        <w:t>历史文化名镇、名村、街区保护范围的建设活动，应当符合保护规划确定的建设控制要求，在高度、体量、色彩等方面与历史风貌相协调；因实施保护规划以及保持或者恢复传统格局、历史风貌的需要，难以符合现行技术标准和规范的，在保持原有建筑基底，不改变四至关系，且不减少相邻建筑原有建筑间距的前提下，经专家论证后，可以进行相关建设活动，并依法办理规划许可等手续。</w:t>
      </w:r>
      <w:r>
        <w:rPr>
          <w:rFonts w:eastAsia="宋体"/>
          <w:spacing w:val="20"/>
          <w:szCs w:val="22"/>
          <w:lang w:eastAsia="zh-CN"/>
        </w:rPr>
        <w:t xml:space="preserve"> </w:t>
      </w:r>
      <w:r>
        <w:rPr>
          <w:rFonts w:hint="eastAsia" w:eastAsia="宋体"/>
          <w:spacing w:val="20"/>
          <w:szCs w:val="22"/>
          <w:lang w:eastAsia="zh-CN"/>
        </w:rPr>
        <w:t>历史地段保护范围内的建设活动应当符合保护规划的要求。</w:t>
      </w:r>
    </w:p>
    <w:p>
      <w:pPr>
        <w:ind w:firstLine="520"/>
        <w:rPr>
          <w:rFonts w:eastAsia="宋体"/>
          <w:lang w:eastAsia="zh-CN"/>
        </w:rPr>
      </w:pPr>
      <w:r>
        <w:rPr>
          <w:rFonts w:hint="eastAsia" w:eastAsia="宋体"/>
          <w:spacing w:val="20"/>
          <w:szCs w:val="22"/>
          <w:lang w:eastAsia="zh-CN"/>
        </w:rPr>
        <w:t>新建或改扩建干线公路、铁路、高压电力线路、输油管线、燃气干线管道不得穿越历史文化名镇、名村、街区、历史地段核心保护范围。确实存在重大风险隐患的，应当按照规划逐步迁出。</w:t>
      </w:r>
    </w:p>
    <w:bookmarkEnd w:id="121"/>
    <w:p>
      <w:pPr>
        <w:rPr>
          <w:rFonts w:eastAsia="宋体"/>
          <w:lang w:eastAsia="zh-CN"/>
        </w:rPr>
      </w:pPr>
    </w:p>
    <w:p>
      <w:pPr>
        <w:pStyle w:val="27"/>
        <w:rPr>
          <w:rFonts w:eastAsia="宋体"/>
          <w:lang w:eastAsia="zh-CN"/>
        </w:rPr>
      </w:pPr>
      <w:bookmarkStart w:id="122" w:name="_Toc157421377"/>
      <w:bookmarkStart w:id="123" w:name="_Toc112661766"/>
      <w:r>
        <w:rPr>
          <w:rFonts w:hint="eastAsia" w:eastAsia="宋体"/>
          <w:lang w:eastAsia="zh-CN"/>
        </w:rPr>
        <w:t>【维护修缮要求】</w:t>
      </w:r>
      <w:bookmarkEnd w:id="122"/>
      <w:bookmarkEnd w:id="123"/>
    </w:p>
    <w:p>
      <w:pPr>
        <w:rPr>
          <w:rFonts w:eastAsia="宋体"/>
          <w:lang w:eastAsia="zh-CN"/>
        </w:rPr>
      </w:pPr>
      <w:bookmarkStart w:id="124" w:name="_Hlk155938400"/>
      <w:bookmarkStart w:id="125" w:name="_Hlk156565731"/>
      <w:r>
        <w:rPr>
          <w:rFonts w:hint="eastAsia" w:eastAsia="宋体"/>
          <w:lang w:eastAsia="zh-CN"/>
        </w:rPr>
        <w:t>历史建筑应当按照保护规划的要求进行维护、修缮和使用。对历史建筑进行外部修缮装饰、添加设施以及改变历史建筑的结构或者使用性质的，应当经城市、县人民政府确定的保护主管部门会同文物主管部门批准。</w:t>
      </w:r>
    </w:p>
    <w:p>
      <w:pPr>
        <w:rPr>
          <w:rFonts w:eastAsia="宋体"/>
          <w:lang w:eastAsia="zh-CN"/>
        </w:rPr>
      </w:pPr>
      <w:r>
        <w:rPr>
          <w:rFonts w:hint="eastAsia" w:eastAsia="宋体"/>
          <w:lang w:eastAsia="zh-CN"/>
        </w:rPr>
        <w:t>保护责任人负责历史建筑的维护和修缮。保护责任人承担保护修缮费用确有困难的，可以向城市、县人民政府申请资金补助及技术指导，或者由城市、县人民政府通过产权置换、收购等方式，采取措施进行保护。</w:t>
      </w:r>
    </w:p>
    <w:p>
      <w:pPr>
        <w:rPr>
          <w:rFonts w:eastAsia="宋体"/>
          <w:lang w:eastAsia="zh-CN"/>
        </w:rPr>
      </w:pPr>
      <w:r>
        <w:rPr>
          <w:rFonts w:hint="eastAsia" w:eastAsia="宋体"/>
          <w:lang w:eastAsia="zh-CN"/>
        </w:rPr>
        <w:t>保护修缮资金补助相关标准，由城市、县人民政府另行制定</w:t>
      </w:r>
      <w:bookmarkEnd w:id="124"/>
      <w:r>
        <w:rPr>
          <w:rFonts w:hint="eastAsia" w:eastAsia="宋体"/>
          <w:lang w:eastAsia="zh-CN"/>
        </w:rPr>
        <w:t>。</w:t>
      </w:r>
      <w:bookmarkEnd w:id="125"/>
    </w:p>
    <w:p>
      <w:pPr>
        <w:rPr>
          <w:rFonts w:eastAsia="楷体"/>
          <w:lang w:eastAsia="zh-CN"/>
        </w:rPr>
      </w:pPr>
    </w:p>
    <w:p>
      <w:pPr>
        <w:pStyle w:val="27"/>
        <w:rPr>
          <w:rFonts w:eastAsia="宋体"/>
          <w:lang w:eastAsia="zh-CN"/>
        </w:rPr>
      </w:pPr>
      <w:bookmarkStart w:id="126" w:name="_Toc112661767"/>
      <w:bookmarkStart w:id="127" w:name="_Toc157421378"/>
      <w:r>
        <w:rPr>
          <w:rFonts w:hint="eastAsia" w:eastAsia="宋体"/>
          <w:lang w:eastAsia="zh-CN"/>
        </w:rPr>
        <w:t>【原址保护要求】</w:t>
      </w:r>
      <w:bookmarkEnd w:id="126"/>
      <w:bookmarkEnd w:id="127"/>
    </w:p>
    <w:p>
      <w:pPr>
        <w:rPr>
          <w:rFonts w:eastAsia="宋体"/>
          <w:lang w:eastAsia="zh-CN"/>
        </w:rPr>
      </w:pPr>
      <w:bookmarkStart w:id="128" w:name="_Hlk155938409"/>
      <w:r>
        <w:rPr>
          <w:rFonts w:hint="eastAsia" w:eastAsia="宋体"/>
          <w:lang w:eastAsia="zh-CN"/>
        </w:rPr>
        <w:t>建设工程选址，应当避开历史建筑；因特殊情况不能避开的，应当实施原址保护。对历史建筑实施原址保护的，建设单位应当编制历史建筑保护方案，报城市、县人民政府确定的保护主管部门会同文物主管部门批准。</w:t>
      </w:r>
    </w:p>
    <w:p>
      <w:pPr>
        <w:rPr>
          <w:rFonts w:eastAsia="宋体"/>
          <w:lang w:eastAsia="zh-CN"/>
        </w:rPr>
      </w:pPr>
      <w:r>
        <w:rPr>
          <w:rFonts w:hint="eastAsia" w:eastAsia="宋体"/>
          <w:lang w:eastAsia="zh-CN"/>
        </w:rPr>
        <w:t>因公共利益需要进行建设活动，对历史建筑无法实施原址保护、必须迁移异地保护或者拆除的，应当由地级以上市人民政府确定的保护主管部门会同文物主管部门，报省住房城乡建设主管部门会同文物主管部门批准。</w:t>
      </w:r>
    </w:p>
    <w:p>
      <w:pPr>
        <w:rPr>
          <w:rFonts w:eastAsia="宋体"/>
          <w:lang w:eastAsia="zh-CN"/>
        </w:rPr>
      </w:pPr>
      <w:r>
        <w:rPr>
          <w:rFonts w:hint="eastAsia" w:eastAsia="宋体"/>
          <w:lang w:eastAsia="zh-CN"/>
        </w:rPr>
        <w:t>历史建筑原址保护、迁移所需费用，由建设单位列入建设工程预算。</w:t>
      </w:r>
    </w:p>
    <w:p>
      <w:pPr>
        <w:rPr>
          <w:rFonts w:eastAsia="宋体"/>
          <w:lang w:eastAsia="zh-CN"/>
        </w:rPr>
      </w:pPr>
    </w:p>
    <w:bookmarkEnd w:id="128"/>
    <w:p>
      <w:pPr>
        <w:pStyle w:val="27"/>
        <w:rPr>
          <w:rFonts w:eastAsia="宋体"/>
          <w:lang w:eastAsia="zh-CN"/>
        </w:rPr>
      </w:pPr>
      <w:bookmarkStart w:id="129" w:name="_Toc157421379"/>
      <w:r>
        <w:rPr>
          <w:rFonts w:hint="eastAsia" w:eastAsia="宋体"/>
          <w:lang w:eastAsia="zh-CN"/>
        </w:rPr>
        <w:t>【消防保障方案】</w:t>
      </w:r>
      <w:bookmarkEnd w:id="129"/>
    </w:p>
    <w:p>
      <w:pPr>
        <w:ind w:firstLine="520"/>
        <w:rPr>
          <w:rFonts w:eastAsia="宋体"/>
          <w:spacing w:val="20"/>
          <w:szCs w:val="22"/>
          <w:lang w:eastAsia="zh-CN"/>
        </w:rPr>
      </w:pPr>
      <w:r>
        <w:rPr>
          <w:rFonts w:hint="eastAsia" w:eastAsia="宋体"/>
          <w:spacing w:val="20"/>
          <w:szCs w:val="22"/>
          <w:lang w:eastAsia="zh-CN"/>
        </w:rPr>
        <w:t>历史文化名镇、名村、街区、历史地段应当按照消防安全重点单位管理，设置消防设施，明确消防安全责任人，建立消防组织；核心保护范围内确因保护需要，无法按照消防技术标准设置的，由地级以上市、县级人民政府消防救援机构会同确定的保护主管部门和文物部门制定防火安全保障方案。</w:t>
      </w:r>
    </w:p>
    <w:p>
      <w:pPr>
        <w:rPr>
          <w:rFonts w:eastAsia="宋体"/>
          <w:lang w:eastAsia="zh-CN"/>
        </w:rPr>
      </w:pPr>
    </w:p>
    <w:p>
      <w:pPr>
        <w:pStyle w:val="27"/>
        <w:rPr>
          <w:rFonts w:eastAsia="宋体"/>
          <w:lang w:eastAsia="zh-CN"/>
        </w:rPr>
      </w:pPr>
      <w:bookmarkStart w:id="130" w:name="_Toc157421380"/>
      <w:bookmarkStart w:id="131" w:name="_Hlk155938441"/>
      <w:r>
        <w:rPr>
          <w:rFonts w:hint="eastAsia" w:eastAsia="宋体"/>
          <w:lang w:eastAsia="zh-CN"/>
        </w:rPr>
        <w:t>【特殊消防设计】</w:t>
      </w:r>
      <w:bookmarkEnd w:id="130"/>
    </w:p>
    <w:p>
      <w:pPr>
        <w:rPr>
          <w:rFonts w:eastAsia="宋体"/>
          <w:lang w:eastAsia="zh-CN"/>
        </w:rPr>
      </w:pPr>
      <w:bookmarkStart w:id="132" w:name="_Hlk155938418"/>
      <w:r>
        <w:rPr>
          <w:rFonts w:hint="eastAsia" w:eastAsia="宋体"/>
          <w:lang w:eastAsia="zh-CN"/>
        </w:rPr>
        <w:t>历史建筑改造执行现行国家工程建设消防技术标准，确实无法满足现行国家工程建设消防技术标准要求的，应当由所在地县级人民政府确定的保护主管部门会同有关部门制定科学合理的技术方案。</w:t>
      </w:r>
    </w:p>
    <w:bookmarkEnd w:id="131"/>
    <w:bookmarkEnd w:id="132"/>
    <w:p>
      <w:pPr>
        <w:rPr>
          <w:rFonts w:eastAsia="宋体"/>
          <w:lang w:eastAsia="zh-CN"/>
        </w:rPr>
      </w:pPr>
    </w:p>
    <w:p>
      <w:pPr>
        <w:pStyle w:val="27"/>
        <w:rPr>
          <w:rFonts w:eastAsia="宋体"/>
          <w:lang w:eastAsia="zh-CN"/>
        </w:rPr>
      </w:pPr>
      <w:bookmarkStart w:id="133" w:name="_Toc157421381"/>
      <w:bookmarkStart w:id="134" w:name="_Toc112661756"/>
      <w:r>
        <w:rPr>
          <w:rFonts w:hint="eastAsia" w:eastAsia="宋体"/>
          <w:lang w:eastAsia="zh-CN"/>
        </w:rPr>
        <w:t>【应急措施】</w:t>
      </w:r>
      <w:bookmarkEnd w:id="133"/>
      <w:bookmarkEnd w:id="134"/>
    </w:p>
    <w:p>
      <w:pPr>
        <w:ind w:firstLine="520"/>
        <w:rPr>
          <w:rFonts w:eastAsia="宋体"/>
          <w:spacing w:val="20"/>
          <w:szCs w:val="22"/>
          <w:lang w:eastAsia="zh-CN"/>
        </w:rPr>
      </w:pPr>
      <w:r>
        <w:rPr>
          <w:rFonts w:hint="eastAsia" w:eastAsia="宋体"/>
          <w:spacing w:val="20"/>
          <w:szCs w:val="22"/>
          <w:lang w:eastAsia="zh-CN"/>
        </w:rPr>
        <w:t>保护责任人应当制定应急处置预案，综合运用人防、物防、技防等手段，提高历史文化名城、名镇、名村、街区、历史地段的防灾减灾救灾能力。</w:t>
      </w:r>
    </w:p>
    <w:p>
      <w:pPr>
        <w:ind w:firstLine="520"/>
        <w:rPr>
          <w:rFonts w:eastAsia="宋体"/>
          <w:spacing w:val="20"/>
          <w:szCs w:val="22"/>
          <w:lang w:eastAsia="zh-CN"/>
        </w:rPr>
      </w:pPr>
      <w:r>
        <w:rPr>
          <w:rFonts w:hint="eastAsia" w:eastAsia="宋体"/>
          <w:spacing w:val="20"/>
          <w:szCs w:val="22"/>
          <w:lang w:eastAsia="zh-CN"/>
        </w:rPr>
        <w:t>历史文化名城、名镇、名村、街区，历史地段和历史建筑遭受灾害造成重大损失、发生或者可能发生危及安全的突发事件时，所在地县级人民政府及有关部门应当及时采取应急措施，组织抢救保护，并向上一级人民政府报告。</w:t>
      </w:r>
    </w:p>
    <w:p>
      <w:pPr>
        <w:rPr>
          <w:rFonts w:eastAsia="宋体"/>
          <w:lang w:eastAsia="zh-CN"/>
        </w:rPr>
      </w:pPr>
    </w:p>
    <w:p>
      <w:pPr>
        <w:pStyle w:val="27"/>
        <w:rPr>
          <w:rFonts w:eastAsia="宋体"/>
          <w:lang w:eastAsia="zh-CN"/>
        </w:rPr>
      </w:pPr>
      <w:bookmarkStart w:id="135" w:name="_Toc112661751"/>
      <w:bookmarkStart w:id="136" w:name="_Toc157421382"/>
      <w:r>
        <w:rPr>
          <w:rFonts w:hint="eastAsia" w:eastAsia="宋体"/>
          <w:lang w:eastAsia="zh-CN"/>
        </w:rPr>
        <w:t>【补偿机制】</w:t>
      </w:r>
      <w:bookmarkEnd w:id="135"/>
      <w:bookmarkEnd w:id="136"/>
    </w:p>
    <w:p>
      <w:pPr>
        <w:ind w:firstLine="520"/>
        <w:rPr>
          <w:rFonts w:eastAsia="宋体"/>
          <w:spacing w:val="20"/>
          <w:szCs w:val="22"/>
          <w:lang w:eastAsia="zh-CN"/>
        </w:rPr>
      </w:pPr>
      <w:r>
        <w:rPr>
          <w:rFonts w:hint="eastAsia" w:eastAsia="宋体"/>
          <w:spacing w:val="20"/>
          <w:szCs w:val="22"/>
          <w:lang w:eastAsia="zh-CN"/>
        </w:rPr>
        <w:t>因历史文化名城、名镇、名村、街区，历史地段和历史建筑保护需要，依法征收房屋，因依法批准设置的项目和设施导致需要停业、转产、关闭或者拆除，恢复、调整或者改变建筑的使用性质，执行相关建设控制要求，导致所有权人或者使用人的合法权益受到损害的，所在地县级人民政府应当采用征收安置、住房保障、宅基地置换、货币补偿等方式予以安排。</w:t>
      </w:r>
    </w:p>
    <w:p>
      <w:pPr>
        <w:rPr>
          <w:rFonts w:eastAsia="宋体"/>
          <w:lang w:eastAsia="zh-CN"/>
        </w:rPr>
      </w:pPr>
      <w:r>
        <w:rPr>
          <w:rFonts w:eastAsia="宋体"/>
          <w:lang w:eastAsia="zh-CN"/>
        </w:rPr>
        <w:br w:type="page"/>
      </w:r>
    </w:p>
    <w:p>
      <w:pPr>
        <w:numPr>
          <w:ilvl w:val="0"/>
          <w:numId w:val="2"/>
        </w:numPr>
        <w:snapToGrid/>
        <w:spacing w:line="360" w:lineRule="auto"/>
        <w:ind w:left="0" w:firstLine="0" w:firstLineChars="0"/>
        <w:jc w:val="center"/>
        <w:outlineLvl w:val="0"/>
        <w:rPr>
          <w:rFonts w:ascii="黑体" w:hAnsi="黑体" w:eastAsia="黑体" w:cs="黑体"/>
          <w:kern w:val="2"/>
          <w:sz w:val="32"/>
          <w:szCs w:val="32"/>
          <w:lang w:eastAsia="zh-CN"/>
        </w:rPr>
      </w:pPr>
      <w:bookmarkStart w:id="137" w:name="_Toc112661768"/>
      <w:bookmarkEnd w:id="137"/>
      <w:bookmarkStart w:id="138" w:name="_Toc112661770"/>
      <w:bookmarkStart w:id="139" w:name="_Toc157161759"/>
      <w:bookmarkStart w:id="140" w:name="_Toc157421383"/>
      <w:r>
        <w:rPr>
          <w:rFonts w:hint="eastAsia" w:ascii="黑体" w:hAnsi="黑体" w:eastAsia="黑体" w:cs="黑体"/>
          <w:kern w:val="2"/>
          <w:sz w:val="32"/>
          <w:szCs w:val="32"/>
          <w:lang w:eastAsia="zh-CN"/>
        </w:rPr>
        <w:t>传承</w:t>
      </w:r>
      <w:bookmarkEnd w:id="138"/>
      <w:r>
        <w:rPr>
          <w:rFonts w:hint="eastAsia" w:ascii="黑体" w:hAnsi="黑体" w:eastAsia="黑体" w:cs="黑体"/>
          <w:kern w:val="2"/>
          <w:sz w:val="32"/>
          <w:szCs w:val="32"/>
          <w:lang w:eastAsia="zh-CN"/>
        </w:rPr>
        <w:t>利用</w:t>
      </w:r>
      <w:bookmarkEnd w:id="139"/>
      <w:r>
        <w:rPr>
          <w:rFonts w:hint="eastAsia" w:ascii="黑体" w:hAnsi="黑体" w:eastAsia="黑体" w:cs="黑体"/>
          <w:kern w:val="2"/>
          <w:sz w:val="32"/>
          <w:szCs w:val="32"/>
          <w:lang w:eastAsia="zh-CN"/>
        </w:rPr>
        <w:t>与监督检查</w:t>
      </w:r>
      <w:bookmarkEnd w:id="140"/>
    </w:p>
    <w:p>
      <w:pPr>
        <w:pStyle w:val="27"/>
        <w:tabs>
          <w:tab w:val="clear" w:pos="420"/>
        </w:tabs>
        <w:rPr>
          <w:rFonts w:eastAsia="宋体"/>
          <w:lang w:eastAsia="zh-CN"/>
        </w:rPr>
      </w:pPr>
      <w:bookmarkStart w:id="141" w:name="_Toc157421384"/>
      <w:bookmarkStart w:id="142" w:name="_Toc157161760"/>
      <w:bookmarkStart w:id="143" w:name="_Toc112661771"/>
      <w:bookmarkStart w:id="144" w:name="_Hlk155938528"/>
      <w:r>
        <w:rPr>
          <w:rFonts w:hint="eastAsia" w:eastAsia="宋体"/>
          <w:lang w:eastAsia="zh-CN"/>
        </w:rPr>
        <w:t>【历史文化名城名镇名村传承利用】</w:t>
      </w:r>
      <w:bookmarkEnd w:id="141"/>
    </w:p>
    <w:bookmarkEnd w:id="142"/>
    <w:bookmarkEnd w:id="143"/>
    <w:p>
      <w:pPr>
        <w:ind w:firstLine="520"/>
        <w:rPr>
          <w:rFonts w:eastAsia="宋体"/>
          <w:spacing w:val="20"/>
          <w:szCs w:val="22"/>
          <w:lang w:eastAsia="zh-CN"/>
        </w:rPr>
      </w:pPr>
      <w:r>
        <w:rPr>
          <w:rFonts w:hint="eastAsia" w:eastAsia="宋体"/>
          <w:spacing w:val="20"/>
          <w:szCs w:val="22"/>
          <w:lang w:eastAsia="zh-CN"/>
        </w:rPr>
        <w:t>地级以上市、县级人民政府应当依照保护规划制定历史文化名城、名镇、名村保护与利用的实施方案，明确工作目标、重点任务、保障措施等内容并组织实施，充分展示历史文化资源的价值特色。</w:t>
      </w:r>
    </w:p>
    <w:p>
      <w:pPr>
        <w:ind w:firstLine="520"/>
        <w:rPr>
          <w:rFonts w:eastAsia="宋体"/>
          <w:lang w:eastAsia="zh-CN"/>
        </w:rPr>
      </w:pPr>
      <w:r>
        <w:rPr>
          <w:rFonts w:hint="eastAsia" w:eastAsia="宋体"/>
          <w:spacing w:val="20"/>
          <w:szCs w:val="22"/>
          <w:lang w:eastAsia="zh-CN"/>
        </w:rPr>
        <w:t>地级以上市、县级人民政府应当完善历史城区以及历史文化名镇、名村的核心保护范围内的公共服务设施和市政公用设施，依托各类历史文化遗产发展多样化特色产业，适度开展文化旅游、传统工艺和传统技艺加工制作等与传统文化相协调的产业。</w:t>
      </w:r>
    </w:p>
    <w:bookmarkEnd w:id="144"/>
    <w:p>
      <w:pPr>
        <w:rPr>
          <w:rFonts w:eastAsia="楷体"/>
          <w:lang w:eastAsia="zh-CN"/>
        </w:rPr>
      </w:pPr>
    </w:p>
    <w:p>
      <w:pPr>
        <w:pStyle w:val="27"/>
        <w:rPr>
          <w:rFonts w:eastAsia="宋体"/>
          <w:lang w:eastAsia="zh-CN"/>
        </w:rPr>
      </w:pPr>
      <w:bookmarkStart w:id="145" w:name="_Toc157421385"/>
      <w:bookmarkStart w:id="146" w:name="_Toc112661774"/>
      <w:r>
        <w:rPr>
          <w:rFonts w:hint="eastAsia" w:eastAsia="宋体"/>
          <w:lang w:eastAsia="zh-CN"/>
        </w:rPr>
        <w:t>【历史文化街区</w:t>
      </w:r>
      <w:r>
        <w:rPr>
          <w:rFonts w:eastAsia="宋体"/>
          <w:lang w:eastAsia="zh-CN"/>
        </w:rPr>
        <w:t>和</w:t>
      </w:r>
      <w:r>
        <w:rPr>
          <w:rFonts w:hint="eastAsia" w:eastAsia="宋体"/>
          <w:lang w:eastAsia="zh-CN"/>
        </w:rPr>
        <w:t>历史地段传承利用】</w:t>
      </w:r>
      <w:bookmarkEnd w:id="145"/>
      <w:bookmarkEnd w:id="146"/>
    </w:p>
    <w:p>
      <w:pPr>
        <w:ind w:firstLine="520"/>
        <w:rPr>
          <w:rFonts w:eastAsia="宋体"/>
          <w:lang w:eastAsia="zh-CN"/>
        </w:rPr>
      </w:pPr>
      <w:bookmarkStart w:id="147" w:name="_Hlk155938596"/>
      <w:r>
        <w:rPr>
          <w:rFonts w:hint="eastAsia" w:eastAsia="宋体"/>
          <w:spacing w:val="20"/>
          <w:szCs w:val="22"/>
          <w:lang w:eastAsia="zh-CN"/>
        </w:rPr>
        <w:t>城市、县人民政府应当采用小规模、渐进式微改造等方式促进历史文化街区、历史地段的传承利用，改善整体风貌，增加公共开放空间，补足配套基础设施和公共服务设施，扶持老字号、非物质文化遗产代表项目，培育文化、创意、创新产业，完善城市功能，提升城市活力。</w:t>
      </w:r>
    </w:p>
    <w:bookmarkEnd w:id="147"/>
    <w:p>
      <w:pPr>
        <w:rPr>
          <w:rFonts w:eastAsia="楷体"/>
          <w:lang w:eastAsia="zh-CN"/>
        </w:rPr>
      </w:pPr>
    </w:p>
    <w:p>
      <w:pPr>
        <w:pStyle w:val="27"/>
        <w:rPr>
          <w:rFonts w:eastAsia="宋体"/>
          <w:lang w:eastAsia="zh-CN"/>
        </w:rPr>
      </w:pPr>
      <w:bookmarkStart w:id="148" w:name="_Toc112661775"/>
      <w:bookmarkStart w:id="149" w:name="_Toc157421386"/>
      <w:r>
        <w:rPr>
          <w:rFonts w:hint="eastAsia" w:eastAsia="宋体"/>
          <w:lang w:eastAsia="zh-CN"/>
        </w:rPr>
        <w:t>【历史建筑活化利用】</w:t>
      </w:r>
      <w:bookmarkEnd w:id="148"/>
      <w:bookmarkEnd w:id="149"/>
    </w:p>
    <w:p>
      <w:pPr>
        <w:rPr>
          <w:rFonts w:eastAsia="宋体"/>
          <w:lang w:eastAsia="zh-CN"/>
        </w:rPr>
      </w:pPr>
      <w:bookmarkStart w:id="150" w:name="_Hlk155938604"/>
      <w:r>
        <w:rPr>
          <w:rFonts w:hint="eastAsia" w:eastAsia="宋体"/>
          <w:lang w:eastAsia="zh-CN"/>
        </w:rPr>
        <w:t>在确保建筑安全、保持原有外观风貌和典型构件的基础上，历史建筑可以通过加建、改建和添加设施等方式适应现代生产生活需要，鼓励延续历史建筑原有使用功能，允许在</w:t>
      </w:r>
      <w:bookmarkStart w:id="151" w:name="_Hlk155345889"/>
      <w:r>
        <w:rPr>
          <w:rFonts w:hint="eastAsia" w:eastAsia="宋体"/>
          <w:lang w:eastAsia="zh-CN"/>
        </w:rPr>
        <w:t>符合保护要求</w:t>
      </w:r>
      <w:bookmarkEnd w:id="151"/>
      <w:r>
        <w:rPr>
          <w:rFonts w:hint="eastAsia" w:eastAsia="宋体"/>
          <w:lang w:eastAsia="zh-CN"/>
        </w:rPr>
        <w:t>的前提下开展多样化使用。</w:t>
      </w:r>
    </w:p>
    <w:p>
      <w:pPr>
        <w:rPr>
          <w:rFonts w:eastAsia="宋体"/>
          <w:lang w:eastAsia="zh-CN"/>
        </w:rPr>
      </w:pPr>
      <w:r>
        <w:rPr>
          <w:rFonts w:hint="eastAsia" w:eastAsia="宋体"/>
          <w:lang w:eastAsia="zh-CN"/>
        </w:rPr>
        <w:t>省住房城乡建设主管部门按有关规定组织评选广东省优秀历史建筑。</w:t>
      </w:r>
    </w:p>
    <w:bookmarkEnd w:id="150"/>
    <w:p>
      <w:pPr>
        <w:rPr>
          <w:rFonts w:eastAsia="楷体"/>
          <w:lang w:eastAsia="zh-CN"/>
        </w:rPr>
      </w:pPr>
    </w:p>
    <w:p>
      <w:pPr>
        <w:pStyle w:val="27"/>
        <w:rPr>
          <w:rFonts w:eastAsia="宋体"/>
          <w:lang w:eastAsia="zh-CN"/>
        </w:rPr>
      </w:pPr>
      <w:bookmarkStart w:id="152" w:name="_Toc157421387"/>
      <w:r>
        <w:rPr>
          <w:rFonts w:hint="eastAsia" w:eastAsia="宋体"/>
          <w:lang w:eastAsia="zh-CN"/>
        </w:rPr>
        <w:t>【活态传承】</w:t>
      </w:r>
      <w:bookmarkEnd w:id="152"/>
    </w:p>
    <w:p>
      <w:pPr>
        <w:rPr>
          <w:rFonts w:eastAsia="宋体"/>
          <w:lang w:eastAsia="zh-CN"/>
        </w:rPr>
      </w:pPr>
      <w:bookmarkStart w:id="153" w:name="_Hlk155938615"/>
      <w:r>
        <w:rPr>
          <w:rFonts w:hint="eastAsia" w:eastAsia="宋体"/>
          <w:lang w:eastAsia="zh-CN"/>
        </w:rPr>
        <w:t>鼓励历史文化名城、名镇、名村、街区，历史地段和历史建筑的原住居民在原址居住，在符合保护规划规定的前提下，改善生产生活条件，从事非物质文化遗产传承和利用、当地特色产业的生产经营等相关活动，促进原有形态、生活方式的延续传承。尊重原住居民的意愿，不得以保护利用为由强制将原住居民整体迁出。</w:t>
      </w:r>
    </w:p>
    <w:p>
      <w:pPr>
        <w:ind w:firstLine="520"/>
        <w:rPr>
          <w:rFonts w:eastAsia="宋体"/>
          <w:lang w:eastAsia="zh-CN"/>
        </w:rPr>
      </w:pPr>
      <w:r>
        <w:rPr>
          <w:rFonts w:hint="eastAsia" w:eastAsia="宋体"/>
          <w:spacing w:val="20"/>
          <w:szCs w:val="22"/>
          <w:lang w:eastAsia="zh-CN"/>
        </w:rPr>
        <w:t>依托历史文化名城、名镇、名村、街区进行开发建设活动，不得整体交由企业管理。</w:t>
      </w:r>
    </w:p>
    <w:bookmarkEnd w:id="153"/>
    <w:p>
      <w:pPr>
        <w:rPr>
          <w:rFonts w:eastAsia="楷体"/>
          <w:lang w:eastAsia="zh-CN"/>
        </w:rPr>
      </w:pPr>
    </w:p>
    <w:p>
      <w:pPr>
        <w:pStyle w:val="27"/>
        <w:rPr>
          <w:rFonts w:eastAsia="宋体"/>
          <w:lang w:eastAsia="zh-CN"/>
        </w:rPr>
      </w:pPr>
      <w:bookmarkStart w:id="154" w:name="_Toc112661778"/>
      <w:bookmarkStart w:id="155" w:name="_Toc157421388"/>
      <w:r>
        <w:rPr>
          <w:rFonts w:hint="eastAsia" w:eastAsia="宋体"/>
          <w:lang w:eastAsia="zh-CN"/>
        </w:rPr>
        <w:t>【挖掘阐释】</w:t>
      </w:r>
      <w:bookmarkEnd w:id="154"/>
      <w:bookmarkEnd w:id="155"/>
    </w:p>
    <w:p>
      <w:pPr>
        <w:ind w:firstLine="520"/>
        <w:rPr>
          <w:rFonts w:eastAsia="宋体"/>
          <w:spacing w:val="20"/>
          <w:szCs w:val="22"/>
          <w:lang w:eastAsia="zh-CN"/>
        </w:rPr>
      </w:pPr>
      <w:r>
        <w:rPr>
          <w:rFonts w:eastAsia="宋体"/>
          <w:spacing w:val="20"/>
          <w:szCs w:val="22"/>
          <w:lang w:eastAsia="zh-CN"/>
        </w:rPr>
        <w:t>县级以上人民政府应当</w:t>
      </w:r>
      <w:r>
        <w:rPr>
          <w:rFonts w:hint="eastAsia" w:eastAsia="宋体"/>
          <w:spacing w:val="20"/>
          <w:szCs w:val="22"/>
          <w:lang w:eastAsia="zh-CN"/>
        </w:rPr>
        <w:t>加强非物质文化遗产的搜集、整理、研究和保护，挖掘和阐释文化价值和精神内涵，与历史文化名城、名镇、名村、街区，历史地段和历史建筑的传承利用有机结合，促进传统文化与现代生活结合。</w:t>
      </w:r>
    </w:p>
    <w:p>
      <w:pPr>
        <w:rPr>
          <w:rFonts w:eastAsia="宋体"/>
          <w:lang w:eastAsia="zh-CN"/>
        </w:rPr>
      </w:pPr>
    </w:p>
    <w:p>
      <w:pPr>
        <w:pStyle w:val="27"/>
        <w:rPr>
          <w:rFonts w:eastAsia="宋体"/>
          <w:lang w:eastAsia="zh-CN"/>
        </w:rPr>
      </w:pPr>
      <w:bookmarkStart w:id="156" w:name="_Toc157421389"/>
      <w:bookmarkStart w:id="157" w:name="_Toc112661780"/>
      <w:r>
        <w:rPr>
          <w:rFonts w:hint="eastAsia" w:eastAsia="宋体"/>
          <w:lang w:eastAsia="zh-CN"/>
        </w:rPr>
        <w:t>【</w:t>
      </w:r>
      <w:bookmarkStart w:id="158" w:name="_Hlk155938652"/>
      <w:r>
        <w:rPr>
          <w:rFonts w:hint="eastAsia" w:eastAsia="宋体"/>
          <w:lang w:eastAsia="zh-CN"/>
        </w:rPr>
        <w:t>鼓励创新</w:t>
      </w:r>
      <w:bookmarkEnd w:id="158"/>
      <w:r>
        <w:rPr>
          <w:rFonts w:hint="eastAsia" w:eastAsia="宋体"/>
          <w:lang w:eastAsia="zh-CN"/>
        </w:rPr>
        <w:t>】</w:t>
      </w:r>
      <w:bookmarkEnd w:id="156"/>
      <w:bookmarkEnd w:id="157"/>
    </w:p>
    <w:p>
      <w:pPr>
        <w:rPr>
          <w:rFonts w:eastAsia="宋体"/>
          <w:lang w:eastAsia="zh-CN"/>
        </w:rPr>
      </w:pPr>
      <w:bookmarkStart w:id="159" w:name="_Hlk155938645"/>
      <w:r>
        <w:rPr>
          <w:rFonts w:hint="eastAsia" w:eastAsia="宋体"/>
          <w:lang w:eastAsia="zh-CN"/>
        </w:rPr>
        <w:t>县级以上人民政府应当加大政策引导和扶持力度，支持和鼓励在文化旅游、活态传承、金融服务、产业发展、宣传展示等方面的创新，提升历史文化名城、名镇、名村、街区，历史地段和历史建筑的保护利用水平。</w:t>
      </w:r>
    </w:p>
    <w:p>
      <w:pPr>
        <w:rPr>
          <w:rFonts w:eastAsia="宋体"/>
          <w:lang w:eastAsia="zh-CN"/>
        </w:rPr>
      </w:pPr>
    </w:p>
    <w:bookmarkEnd w:id="159"/>
    <w:p>
      <w:pPr>
        <w:pStyle w:val="27"/>
        <w:rPr>
          <w:rFonts w:eastAsia="宋体"/>
          <w:lang w:eastAsia="zh-CN"/>
        </w:rPr>
      </w:pPr>
      <w:bookmarkStart w:id="160" w:name="_Toc112661781"/>
      <w:bookmarkEnd w:id="160"/>
      <w:bookmarkStart w:id="161" w:name="_Toc112661783"/>
      <w:bookmarkStart w:id="162" w:name="_Toc157421390"/>
      <w:r>
        <w:rPr>
          <w:rFonts w:hint="eastAsia" w:eastAsia="宋体"/>
          <w:lang w:eastAsia="zh-CN"/>
        </w:rPr>
        <w:t>【评估工作】</w:t>
      </w:r>
      <w:bookmarkEnd w:id="161"/>
      <w:bookmarkEnd w:id="162"/>
    </w:p>
    <w:p>
      <w:pPr>
        <w:ind w:firstLine="520"/>
        <w:rPr>
          <w:rFonts w:eastAsia="宋体"/>
          <w:spacing w:val="20"/>
          <w:szCs w:val="22"/>
          <w:lang w:eastAsia="zh-CN"/>
        </w:rPr>
      </w:pPr>
      <w:bookmarkStart w:id="163" w:name="_Hlk155938663"/>
      <w:r>
        <w:rPr>
          <w:rFonts w:hint="eastAsia" w:eastAsia="宋体"/>
          <w:spacing w:val="20"/>
          <w:szCs w:val="22"/>
          <w:lang w:eastAsia="zh-CN"/>
        </w:rPr>
        <w:t>地级以上市、县级人民政府依法对本行政辖区范围内的历史文化名城、名镇、名村、街区，历史地段和历史建筑的保护状况开展评估，评估结果经市人民政府同意后，报上一级人民政府确定的保护主管部门。</w:t>
      </w:r>
    </w:p>
    <w:p>
      <w:pPr>
        <w:ind w:firstLine="520"/>
        <w:rPr>
          <w:rFonts w:eastAsia="宋体"/>
          <w:lang w:eastAsia="zh-CN"/>
        </w:rPr>
      </w:pPr>
      <w:r>
        <w:rPr>
          <w:rFonts w:hint="eastAsia" w:eastAsia="宋体"/>
          <w:spacing w:val="20"/>
          <w:szCs w:val="22"/>
          <w:lang w:eastAsia="zh-CN"/>
        </w:rPr>
        <w:t>省住房城乡建设主管部门应当会同文物主管部门对历史文化名城、名镇、名村、街区，历史地段和历史建筑的保护情况定期开展评估，发现存在保护不力等问题，及时向相关地级以上市、县级人民政府提出整改意见。地级以上市、县级人民政府应当对评估发现的问题进行整改并反馈。</w:t>
      </w:r>
    </w:p>
    <w:bookmarkEnd w:id="163"/>
    <w:p>
      <w:pPr>
        <w:rPr>
          <w:rFonts w:eastAsia="楷体"/>
          <w:lang w:eastAsia="zh-CN"/>
        </w:rPr>
      </w:pPr>
    </w:p>
    <w:p>
      <w:pPr>
        <w:pStyle w:val="27"/>
        <w:rPr>
          <w:rFonts w:eastAsia="宋体"/>
          <w:lang w:eastAsia="zh-CN"/>
        </w:rPr>
      </w:pPr>
      <w:bookmarkStart w:id="164" w:name="_Toc112661785"/>
      <w:bookmarkStart w:id="165" w:name="_Toc157421391"/>
      <w:r>
        <w:rPr>
          <w:rFonts w:hint="eastAsia" w:eastAsia="宋体"/>
          <w:lang w:eastAsia="zh-CN"/>
        </w:rPr>
        <w:t>【巡查检查】</w:t>
      </w:r>
      <w:bookmarkEnd w:id="164"/>
      <w:bookmarkEnd w:id="165"/>
    </w:p>
    <w:p>
      <w:pPr>
        <w:rPr>
          <w:rFonts w:eastAsia="宋体"/>
          <w:lang w:eastAsia="zh-CN"/>
        </w:rPr>
      </w:pPr>
      <w:bookmarkStart w:id="166" w:name="_Hlk155938672"/>
      <w:r>
        <w:rPr>
          <w:rFonts w:hint="eastAsia" w:eastAsia="宋体"/>
          <w:lang w:eastAsia="zh-CN"/>
        </w:rPr>
        <w:t>县级以上人民政府应当建立健全日常巡查管理机制和监督检查机制，做好历史文化名镇、名村、街区，历史地段和历史建筑的日常巡查和监督检查工作。</w:t>
      </w:r>
    </w:p>
    <w:p>
      <w:pPr>
        <w:rPr>
          <w:rFonts w:eastAsia="宋体"/>
          <w:lang w:eastAsia="zh-CN"/>
        </w:rPr>
      </w:pPr>
      <w:r>
        <w:rPr>
          <w:rFonts w:hint="eastAsia" w:eastAsia="宋体"/>
          <w:lang w:eastAsia="zh-CN"/>
        </w:rPr>
        <w:t>省人民政府、地级以上市人民政府应当按照相关规定，对历史文化保护传承工作问题突出、群众反映意见集中的地级以上市、县级人民政府进行约谈。</w:t>
      </w:r>
    </w:p>
    <w:bookmarkEnd w:id="166"/>
    <w:p>
      <w:pPr>
        <w:rPr>
          <w:rFonts w:eastAsia="宋体"/>
          <w:lang w:eastAsia="zh-CN"/>
        </w:rPr>
      </w:pPr>
    </w:p>
    <w:p>
      <w:pPr>
        <w:pStyle w:val="27"/>
        <w:rPr>
          <w:rFonts w:eastAsia="宋体"/>
          <w:lang w:eastAsia="zh-CN"/>
        </w:rPr>
      </w:pPr>
      <w:bookmarkStart w:id="167" w:name="_Toc112661787"/>
      <w:bookmarkEnd w:id="167"/>
      <w:bookmarkStart w:id="168" w:name="_Toc112661786"/>
      <w:bookmarkEnd w:id="168"/>
      <w:bookmarkStart w:id="169" w:name="_Toc112661788"/>
      <w:bookmarkEnd w:id="169"/>
      <w:bookmarkStart w:id="170" w:name="_Toc157421392"/>
      <w:bookmarkStart w:id="171" w:name="_Toc112661790"/>
      <w:r>
        <w:rPr>
          <w:rFonts w:hint="eastAsia" w:eastAsia="宋体"/>
          <w:lang w:eastAsia="zh-CN"/>
        </w:rPr>
        <w:t>【社会监督】</w:t>
      </w:r>
      <w:bookmarkEnd w:id="170"/>
      <w:bookmarkEnd w:id="171"/>
    </w:p>
    <w:p>
      <w:pPr>
        <w:rPr>
          <w:rFonts w:eastAsia="宋体"/>
          <w:lang w:eastAsia="zh-CN"/>
        </w:rPr>
      </w:pPr>
      <w:bookmarkStart w:id="172" w:name="_Hlk155938689"/>
      <w:r>
        <w:rPr>
          <w:rFonts w:hint="eastAsia" w:eastAsia="宋体"/>
          <w:lang w:eastAsia="zh-CN"/>
        </w:rPr>
        <w:t>任何单位和个人依法对破坏历史文化名城、名镇、名村、街区，历史地段和历史建筑的行为进行监督。</w:t>
      </w:r>
    </w:p>
    <w:p>
      <w:pPr>
        <w:widowControl/>
        <w:snapToGrid/>
        <w:spacing w:line="240" w:lineRule="auto"/>
        <w:ind w:firstLine="0" w:firstLineChars="0"/>
        <w:jc w:val="left"/>
        <w:rPr>
          <w:rFonts w:eastAsia="宋体"/>
          <w:lang w:eastAsia="zh-CN"/>
        </w:rPr>
      </w:pPr>
      <w:r>
        <w:rPr>
          <w:rFonts w:eastAsia="宋体"/>
          <w:lang w:eastAsia="zh-CN"/>
        </w:rPr>
        <w:br w:type="page"/>
      </w:r>
    </w:p>
    <w:bookmarkEnd w:id="172"/>
    <w:p>
      <w:pPr>
        <w:numPr>
          <w:ilvl w:val="0"/>
          <w:numId w:val="2"/>
        </w:numPr>
        <w:snapToGrid/>
        <w:spacing w:line="360" w:lineRule="auto"/>
        <w:ind w:left="0" w:firstLine="0" w:firstLineChars="0"/>
        <w:jc w:val="center"/>
        <w:outlineLvl w:val="0"/>
        <w:rPr>
          <w:rFonts w:ascii="黑体" w:hAnsi="黑体" w:eastAsia="黑体" w:cs="黑体"/>
          <w:kern w:val="2"/>
          <w:sz w:val="32"/>
          <w:szCs w:val="32"/>
          <w:lang w:eastAsia="zh-CN"/>
        </w:rPr>
      </w:pPr>
      <w:bookmarkStart w:id="173" w:name="_Toc156812232"/>
      <w:bookmarkEnd w:id="173"/>
      <w:bookmarkStart w:id="174" w:name="_Toc112661793"/>
      <w:bookmarkStart w:id="175" w:name="_Toc157421393"/>
      <w:r>
        <w:rPr>
          <w:rFonts w:hint="eastAsia" w:ascii="黑体" w:hAnsi="黑体" w:eastAsia="黑体" w:cs="黑体"/>
          <w:kern w:val="2"/>
          <w:sz w:val="32"/>
          <w:szCs w:val="32"/>
          <w:lang w:eastAsia="zh-CN"/>
        </w:rPr>
        <w:t>法律责任</w:t>
      </w:r>
      <w:bookmarkEnd w:id="174"/>
      <w:bookmarkEnd w:id="175"/>
    </w:p>
    <w:p>
      <w:pPr>
        <w:pStyle w:val="27"/>
        <w:rPr>
          <w:rFonts w:eastAsia="宋体"/>
          <w:lang w:eastAsia="zh-CN"/>
        </w:rPr>
      </w:pPr>
      <w:bookmarkStart w:id="176" w:name="_Toc112661792"/>
      <w:bookmarkEnd w:id="176"/>
      <w:bookmarkStart w:id="177" w:name="_Toc157421394"/>
      <w:bookmarkStart w:id="178" w:name="_Toc112661794"/>
      <w:r>
        <w:rPr>
          <w:rFonts w:hint="eastAsia" w:eastAsia="宋体"/>
          <w:lang w:eastAsia="zh-CN"/>
        </w:rPr>
        <w:t>【监督管理责任】</w:t>
      </w:r>
      <w:bookmarkEnd w:id="177"/>
      <w:bookmarkEnd w:id="178"/>
    </w:p>
    <w:p>
      <w:pPr>
        <w:rPr>
          <w:rFonts w:eastAsia="宋体"/>
          <w:strike/>
          <w:lang w:eastAsia="zh-CN"/>
        </w:rPr>
      </w:pPr>
      <w:bookmarkStart w:id="179" w:name="_Hlk155938699"/>
      <w:r>
        <w:rPr>
          <w:rFonts w:hint="eastAsia" w:eastAsia="宋体"/>
          <w:lang w:eastAsia="zh-CN"/>
        </w:rPr>
        <w:t>违反本条例规定，县级以上人民政府及其有关部门和乡（镇）人民政府的工作人员不履行监督管理职责，发现违法行为不查处或者有其他滥用职权、玩忽职守、徇私舞弊行为的，依法给予处分；构成犯罪的，依法追究刑事责任；尚不构成犯罪的，依法给予处分。</w:t>
      </w:r>
    </w:p>
    <w:bookmarkEnd w:id="179"/>
    <w:p>
      <w:pPr>
        <w:rPr>
          <w:rFonts w:eastAsia="楷体"/>
          <w:lang w:eastAsia="zh-CN"/>
        </w:rPr>
      </w:pPr>
    </w:p>
    <w:p>
      <w:pPr>
        <w:pStyle w:val="27"/>
        <w:rPr>
          <w:rFonts w:eastAsia="宋体"/>
          <w:lang w:eastAsia="zh-CN"/>
        </w:rPr>
      </w:pPr>
      <w:bookmarkStart w:id="180" w:name="_Toc157421395"/>
      <w:bookmarkStart w:id="181" w:name="_Toc112661795"/>
      <w:r>
        <w:rPr>
          <w:rFonts w:hint="eastAsia" w:eastAsia="宋体"/>
          <w:lang w:eastAsia="zh-CN"/>
        </w:rPr>
        <w:t>【规划编制审批责任】</w:t>
      </w:r>
      <w:bookmarkEnd w:id="180"/>
      <w:bookmarkEnd w:id="181"/>
    </w:p>
    <w:p>
      <w:pPr>
        <w:rPr>
          <w:rFonts w:eastAsia="宋体"/>
          <w:lang w:eastAsia="zh-CN"/>
        </w:rPr>
      </w:pPr>
      <w:bookmarkStart w:id="182" w:name="_Hlk155938713"/>
      <w:r>
        <w:rPr>
          <w:rFonts w:hint="eastAsia" w:eastAsia="宋体"/>
          <w:lang w:eastAsia="zh-CN"/>
        </w:rPr>
        <w:t xml:space="preserve">违反本条例规定，县级以上人民政府有下列行为之一的，由上级人民政府责令改正，对直接负责的主管人员和其他直接责任人员，依法给予处分： </w:t>
      </w:r>
    </w:p>
    <w:p>
      <w:pPr>
        <w:rPr>
          <w:rFonts w:eastAsia="宋体"/>
          <w:lang w:eastAsia="zh-CN"/>
        </w:rPr>
      </w:pPr>
      <w:r>
        <w:rPr>
          <w:rFonts w:hint="eastAsia" w:eastAsia="宋体"/>
          <w:lang w:eastAsia="zh-CN"/>
        </w:rPr>
        <w:t xml:space="preserve">（一）未组织编制保护规划的； </w:t>
      </w:r>
    </w:p>
    <w:p>
      <w:pPr>
        <w:rPr>
          <w:rFonts w:eastAsia="宋体"/>
          <w:lang w:eastAsia="zh-CN"/>
        </w:rPr>
      </w:pPr>
      <w:r>
        <w:rPr>
          <w:rFonts w:hint="eastAsia" w:eastAsia="宋体"/>
          <w:lang w:eastAsia="zh-CN"/>
        </w:rPr>
        <w:t xml:space="preserve">（二）未按照法定程序组织编制保护规划的； </w:t>
      </w:r>
    </w:p>
    <w:p>
      <w:pPr>
        <w:rPr>
          <w:rFonts w:eastAsia="宋体"/>
          <w:lang w:eastAsia="zh-CN"/>
        </w:rPr>
      </w:pPr>
      <w:r>
        <w:rPr>
          <w:rFonts w:hint="eastAsia" w:eastAsia="宋体"/>
          <w:lang w:eastAsia="zh-CN"/>
        </w:rPr>
        <w:t xml:space="preserve">（三）擅自修改保护规划的； </w:t>
      </w:r>
    </w:p>
    <w:p>
      <w:pPr>
        <w:rPr>
          <w:rFonts w:eastAsia="宋体"/>
          <w:lang w:eastAsia="zh-CN"/>
        </w:rPr>
      </w:pPr>
      <w:r>
        <w:rPr>
          <w:rFonts w:hint="eastAsia" w:eastAsia="宋体"/>
          <w:lang w:eastAsia="zh-CN"/>
        </w:rPr>
        <w:t>（四）未将批准的保护规划予以公布的；</w:t>
      </w:r>
    </w:p>
    <w:p>
      <w:pPr>
        <w:rPr>
          <w:rFonts w:eastAsia="宋体"/>
          <w:lang w:eastAsia="zh-CN"/>
        </w:rPr>
      </w:pPr>
      <w:r>
        <w:rPr>
          <w:rFonts w:hint="eastAsia" w:eastAsia="宋体"/>
          <w:lang w:eastAsia="zh-CN"/>
        </w:rPr>
        <w:t>（五）未按照保护规划的要求或者未按照法定程序履行规定的审批职责的。</w:t>
      </w:r>
    </w:p>
    <w:bookmarkEnd w:id="182"/>
    <w:p>
      <w:pPr>
        <w:rPr>
          <w:rFonts w:eastAsia="楷体"/>
          <w:lang w:eastAsia="zh-CN"/>
        </w:rPr>
      </w:pPr>
    </w:p>
    <w:p>
      <w:pPr>
        <w:pStyle w:val="27"/>
        <w:rPr>
          <w:rFonts w:eastAsia="宋体"/>
          <w:lang w:eastAsia="zh-CN"/>
        </w:rPr>
      </w:pPr>
      <w:bookmarkStart w:id="183" w:name="_Toc157421396"/>
      <w:bookmarkStart w:id="184" w:name="_Toc112661797"/>
      <w:r>
        <w:rPr>
          <w:rFonts w:hint="eastAsia" w:eastAsia="宋体"/>
          <w:lang w:eastAsia="zh-CN"/>
        </w:rPr>
        <w:t>【保护不力责任】</w:t>
      </w:r>
      <w:bookmarkEnd w:id="183"/>
      <w:bookmarkEnd w:id="184"/>
    </w:p>
    <w:p>
      <w:pPr>
        <w:rPr>
          <w:rFonts w:eastAsia="宋体"/>
          <w:strike/>
          <w:lang w:eastAsia="zh-CN"/>
        </w:rPr>
      </w:pPr>
      <w:bookmarkStart w:id="185" w:name="_Hlk155938722"/>
      <w:r>
        <w:rPr>
          <w:rFonts w:hint="eastAsia" w:eastAsia="宋体"/>
          <w:lang w:eastAsia="zh-CN"/>
        </w:rPr>
        <w:t>违反本条例规定，县级以上人民政府因保护不力，导致已批准公布的历史文化名城、名镇、名村、街区，历史地段和历史建筑遭受严重破坏、被列入濒危名单，由省人民政府予以通报批评；对直接负责的主管人员和其他直接责任人员，依法给予处分。</w:t>
      </w:r>
    </w:p>
    <w:bookmarkEnd w:id="185"/>
    <w:p>
      <w:pPr>
        <w:rPr>
          <w:rFonts w:eastAsia="楷体"/>
          <w:lang w:eastAsia="zh-CN"/>
        </w:rPr>
      </w:pPr>
    </w:p>
    <w:p>
      <w:pPr>
        <w:pStyle w:val="27"/>
        <w:rPr>
          <w:rFonts w:eastAsia="宋体"/>
          <w:lang w:eastAsia="zh-CN"/>
        </w:rPr>
      </w:pPr>
      <w:bookmarkStart w:id="186" w:name="_Toc157421397"/>
      <w:bookmarkStart w:id="187" w:name="_Toc112661798"/>
      <w:bookmarkStart w:id="188" w:name="_Hlk155344409"/>
      <w:r>
        <w:rPr>
          <w:rFonts w:hint="eastAsia" w:eastAsia="宋体"/>
          <w:lang w:eastAsia="zh-CN"/>
        </w:rPr>
        <w:t>【违反禁止性行为责任】</w:t>
      </w:r>
      <w:bookmarkEnd w:id="186"/>
      <w:bookmarkEnd w:id="187"/>
    </w:p>
    <w:p>
      <w:pPr>
        <w:ind w:firstLine="520"/>
        <w:rPr>
          <w:rFonts w:eastAsia="宋体"/>
          <w:spacing w:val="20"/>
          <w:szCs w:val="22"/>
          <w:lang w:eastAsia="zh-CN"/>
        </w:rPr>
      </w:pPr>
      <w:r>
        <w:rPr>
          <w:rFonts w:hint="eastAsia" w:eastAsia="宋体"/>
          <w:spacing w:val="20"/>
          <w:szCs w:val="22"/>
          <w:lang w:eastAsia="zh-CN"/>
        </w:rPr>
        <w:t>违反本条例规定，在历史文化名城、名镇、名村、街区、历史地段保护范围内有下列行为之一的，由县级以上人民政府确定的执法部门责令停止违法行为、限期恢复原状或者采取其他补救措施；有违法所得的，没收违法所得。逾期不恢复原状或者不采取其他补救措施的，县级以上人民政府确定的执法部门可以指定有能力的单位代为恢复原状或者采取其他补救措施，所需费用由违法者承担；造成严重后果的，对单位并处</w:t>
      </w:r>
      <w:r>
        <w:rPr>
          <w:rFonts w:eastAsia="宋体"/>
          <w:spacing w:val="20"/>
          <w:szCs w:val="22"/>
          <w:lang w:eastAsia="zh-CN"/>
        </w:rPr>
        <w:t>50</w:t>
      </w:r>
      <w:r>
        <w:rPr>
          <w:rFonts w:hint="eastAsia" w:eastAsia="宋体"/>
          <w:spacing w:val="20"/>
          <w:szCs w:val="22"/>
          <w:lang w:eastAsia="zh-CN"/>
        </w:rPr>
        <w:t>万元以上</w:t>
      </w:r>
      <w:r>
        <w:rPr>
          <w:rFonts w:eastAsia="宋体"/>
          <w:spacing w:val="20"/>
          <w:szCs w:val="22"/>
          <w:lang w:eastAsia="zh-CN"/>
        </w:rPr>
        <w:t>100</w:t>
      </w:r>
      <w:r>
        <w:rPr>
          <w:rFonts w:hint="eastAsia" w:eastAsia="宋体"/>
          <w:spacing w:val="20"/>
          <w:szCs w:val="22"/>
          <w:lang w:eastAsia="zh-CN"/>
        </w:rPr>
        <w:t>万元以下的罚款，对个人并处</w:t>
      </w:r>
      <w:r>
        <w:rPr>
          <w:rFonts w:eastAsia="宋体"/>
          <w:spacing w:val="20"/>
          <w:szCs w:val="22"/>
          <w:lang w:eastAsia="zh-CN"/>
        </w:rPr>
        <w:t>5</w:t>
      </w:r>
      <w:r>
        <w:rPr>
          <w:rFonts w:hint="eastAsia" w:eastAsia="宋体"/>
          <w:spacing w:val="20"/>
          <w:szCs w:val="22"/>
          <w:lang w:eastAsia="zh-CN"/>
        </w:rPr>
        <w:t>万元以上</w:t>
      </w:r>
      <w:r>
        <w:rPr>
          <w:rFonts w:eastAsia="宋体"/>
          <w:spacing w:val="20"/>
          <w:szCs w:val="22"/>
          <w:lang w:eastAsia="zh-CN"/>
        </w:rPr>
        <w:t>10</w:t>
      </w:r>
      <w:r>
        <w:rPr>
          <w:rFonts w:hint="eastAsia" w:eastAsia="宋体"/>
          <w:spacing w:val="20"/>
          <w:szCs w:val="22"/>
          <w:lang w:eastAsia="zh-CN"/>
        </w:rPr>
        <w:t>万元以下的罚款；造成损失的，依法承担赔偿责任：</w:t>
      </w:r>
    </w:p>
    <w:p>
      <w:pPr>
        <w:ind w:firstLine="520"/>
        <w:rPr>
          <w:rFonts w:eastAsia="宋体"/>
          <w:spacing w:val="20"/>
          <w:szCs w:val="22"/>
          <w:lang w:eastAsia="zh-CN"/>
        </w:rPr>
      </w:pPr>
      <w:r>
        <w:rPr>
          <w:rFonts w:hint="eastAsia" w:eastAsia="宋体"/>
          <w:spacing w:val="20"/>
          <w:szCs w:val="22"/>
          <w:lang w:eastAsia="zh-CN"/>
        </w:rPr>
        <w:t>（一）开山、采石、采砂、开矿、危害古树名木等破坏传统格局和历史风貌的活动；</w:t>
      </w:r>
    </w:p>
    <w:p>
      <w:pPr>
        <w:ind w:firstLine="520"/>
        <w:rPr>
          <w:rFonts w:eastAsia="宋体"/>
          <w:spacing w:val="20"/>
          <w:szCs w:val="22"/>
          <w:lang w:eastAsia="zh-CN"/>
        </w:rPr>
      </w:pPr>
      <w:r>
        <w:rPr>
          <w:rFonts w:hint="eastAsia" w:eastAsia="宋体"/>
          <w:spacing w:val="20"/>
          <w:szCs w:val="22"/>
          <w:lang w:eastAsia="zh-CN"/>
        </w:rPr>
        <w:t>（二）占用保护规划确定保留的园林绿地、河湖水系、道路等；</w:t>
      </w:r>
    </w:p>
    <w:p>
      <w:pPr>
        <w:ind w:firstLine="520"/>
        <w:rPr>
          <w:rFonts w:eastAsia="宋体"/>
          <w:spacing w:val="20"/>
          <w:szCs w:val="22"/>
          <w:lang w:eastAsia="zh-CN"/>
        </w:rPr>
      </w:pPr>
      <w:r>
        <w:rPr>
          <w:rFonts w:hint="eastAsia" w:eastAsia="宋体"/>
          <w:spacing w:val="20"/>
          <w:szCs w:val="22"/>
          <w:lang w:eastAsia="zh-CN"/>
        </w:rPr>
        <w:t>（三）修建生产、储存爆炸性、易燃性、放射性、毒害性、腐蚀性物品的工厂、仓库、码头等；</w:t>
      </w:r>
    </w:p>
    <w:p>
      <w:pPr>
        <w:ind w:firstLine="520"/>
        <w:rPr>
          <w:rFonts w:eastAsia="宋体"/>
          <w:spacing w:val="20"/>
          <w:szCs w:val="22"/>
          <w:lang w:eastAsia="zh-CN"/>
        </w:rPr>
      </w:pPr>
      <w:r>
        <w:rPr>
          <w:rFonts w:hint="eastAsia" w:eastAsia="宋体"/>
          <w:spacing w:val="20"/>
          <w:szCs w:val="22"/>
          <w:lang w:eastAsia="zh-CN"/>
        </w:rPr>
        <w:t>（四）对保护规划确定保护的建筑物、构筑物进行改变原风貌的维修或者装饰</w:t>
      </w:r>
    </w:p>
    <w:p>
      <w:pPr>
        <w:ind w:firstLine="520"/>
        <w:rPr>
          <w:rFonts w:eastAsia="宋体"/>
          <w:spacing w:val="20"/>
          <w:szCs w:val="22"/>
          <w:lang w:eastAsia="zh-CN"/>
        </w:rPr>
      </w:pPr>
      <w:r>
        <w:rPr>
          <w:rFonts w:hint="eastAsia" w:eastAsia="宋体"/>
          <w:spacing w:val="20"/>
          <w:szCs w:val="22"/>
          <w:lang w:eastAsia="zh-CN"/>
        </w:rPr>
        <w:t>（五）修建损害传统格局和历史风貌的建筑物、构筑物和其他设施；</w:t>
      </w:r>
    </w:p>
    <w:p>
      <w:pPr>
        <w:ind w:firstLine="520"/>
        <w:rPr>
          <w:rFonts w:eastAsia="宋体"/>
          <w:spacing w:val="20"/>
          <w:szCs w:val="22"/>
          <w:lang w:eastAsia="zh-CN"/>
        </w:rPr>
      </w:pPr>
      <w:r>
        <w:rPr>
          <w:rFonts w:hint="eastAsia" w:eastAsia="宋体"/>
          <w:spacing w:val="20"/>
          <w:szCs w:val="22"/>
          <w:lang w:eastAsia="zh-CN"/>
        </w:rPr>
        <w:t>（六）设置破坏或者影响风貌的广告、标牌、招贴；</w:t>
      </w:r>
    </w:p>
    <w:p>
      <w:pPr>
        <w:ind w:firstLine="520"/>
        <w:rPr>
          <w:rFonts w:eastAsia="宋体"/>
          <w:spacing w:val="20"/>
          <w:szCs w:val="22"/>
          <w:lang w:eastAsia="zh-CN"/>
        </w:rPr>
      </w:pPr>
      <w:r>
        <w:rPr>
          <w:rFonts w:hint="eastAsia" w:eastAsia="宋体"/>
          <w:spacing w:val="20"/>
          <w:szCs w:val="22"/>
          <w:lang w:eastAsia="zh-CN"/>
        </w:rPr>
        <w:t>（七）随处倾倒垃圾、排放污水等污染环境的；</w:t>
      </w:r>
    </w:p>
    <w:p>
      <w:pPr>
        <w:ind w:firstLine="520"/>
        <w:rPr>
          <w:rFonts w:eastAsia="宋体"/>
          <w:spacing w:val="20"/>
          <w:szCs w:val="22"/>
          <w:lang w:eastAsia="zh-CN"/>
        </w:rPr>
      </w:pPr>
      <w:r>
        <w:rPr>
          <w:rFonts w:hint="eastAsia" w:eastAsia="宋体"/>
          <w:spacing w:val="20"/>
          <w:szCs w:val="22"/>
          <w:lang w:eastAsia="zh-CN"/>
        </w:rPr>
        <w:t>（八）损毁非物质文化遗产组成部分的实物和场所；</w:t>
      </w:r>
    </w:p>
    <w:p>
      <w:pPr>
        <w:ind w:firstLine="520"/>
        <w:rPr>
          <w:rFonts w:eastAsia="宋体"/>
          <w:lang w:eastAsia="zh-CN"/>
        </w:rPr>
      </w:pPr>
      <w:r>
        <w:rPr>
          <w:rFonts w:hint="eastAsia" w:eastAsia="宋体"/>
          <w:spacing w:val="20"/>
          <w:szCs w:val="22"/>
          <w:lang w:eastAsia="zh-CN"/>
        </w:rPr>
        <w:t>（九）法律、法规禁止的其他行为。</w:t>
      </w:r>
    </w:p>
    <w:bookmarkEnd w:id="188"/>
    <w:p>
      <w:pPr>
        <w:rPr>
          <w:rFonts w:eastAsia="宋体"/>
          <w:lang w:eastAsia="zh-CN"/>
        </w:rPr>
      </w:pPr>
    </w:p>
    <w:p>
      <w:pPr>
        <w:pStyle w:val="27"/>
        <w:rPr>
          <w:rFonts w:eastAsia="宋体"/>
          <w:lang w:eastAsia="zh-CN"/>
        </w:rPr>
      </w:pPr>
      <w:bookmarkStart w:id="189" w:name="_Toc112661799"/>
      <w:bookmarkStart w:id="190" w:name="_Toc157421398"/>
      <w:r>
        <w:rPr>
          <w:rFonts w:hint="eastAsia" w:eastAsia="宋体"/>
          <w:lang w:eastAsia="zh-CN"/>
        </w:rPr>
        <w:t>【破坏历史建筑责任】</w:t>
      </w:r>
      <w:bookmarkEnd w:id="189"/>
      <w:bookmarkEnd w:id="190"/>
    </w:p>
    <w:p>
      <w:pPr>
        <w:ind w:firstLine="520"/>
        <w:rPr>
          <w:rFonts w:eastAsia="宋体"/>
          <w:spacing w:val="20"/>
          <w:szCs w:val="22"/>
          <w:lang w:eastAsia="zh-CN"/>
        </w:rPr>
      </w:pPr>
      <w:bookmarkStart w:id="191" w:name="_Hlk155938746"/>
      <w:r>
        <w:rPr>
          <w:rFonts w:hint="eastAsia" w:eastAsia="宋体"/>
          <w:spacing w:val="20"/>
          <w:szCs w:val="22"/>
          <w:lang w:eastAsia="zh-CN"/>
        </w:rPr>
        <w:t>违反本条例第二十八条规定，在历史建筑上刻划、涂污的，擅自拆卸、转让被确定为核心价值要素的构件，以及其他损坏历史建筑的行为，由县级以上人民政府确定的执法部门责令恢复原状或者采取其他补救措施，并依法处以罚款。</w:t>
      </w:r>
    </w:p>
    <w:p>
      <w:pPr>
        <w:ind w:firstLine="520"/>
        <w:rPr>
          <w:rFonts w:eastAsia="宋体"/>
          <w:spacing w:val="20"/>
          <w:szCs w:val="22"/>
          <w:lang w:eastAsia="zh-CN"/>
        </w:rPr>
      </w:pPr>
      <w:r>
        <w:rPr>
          <w:rFonts w:hint="eastAsia" w:eastAsia="宋体"/>
          <w:spacing w:val="20"/>
          <w:szCs w:val="22"/>
          <w:lang w:eastAsia="zh-CN"/>
        </w:rPr>
        <w:t>违反本条例三十一条规定，损坏或者擅自迁移、拆除历史建筑的，由县级以上人民政府确定的执法部门责令停止违法行为、限期恢复原状或者采取其他补救措施；有违法所得的，没收违法所得；逾期不恢复原状或者不采取其他补救措施的，县级以上人民政府确定的执法部门可以指定有能力的单位代为恢复原状或者采取其他补救措施，所需费用由违法者承担；造成严重后果的，对单位并处</w:t>
      </w:r>
      <w:r>
        <w:rPr>
          <w:rFonts w:eastAsia="宋体"/>
          <w:spacing w:val="20"/>
          <w:szCs w:val="22"/>
          <w:lang w:eastAsia="zh-CN"/>
        </w:rPr>
        <w:t>20</w:t>
      </w:r>
      <w:r>
        <w:rPr>
          <w:rFonts w:hint="eastAsia" w:eastAsia="宋体"/>
          <w:spacing w:val="20"/>
          <w:szCs w:val="22"/>
          <w:lang w:eastAsia="zh-CN"/>
        </w:rPr>
        <w:t>万元以上</w:t>
      </w:r>
      <w:r>
        <w:rPr>
          <w:rFonts w:eastAsia="宋体"/>
          <w:spacing w:val="20"/>
          <w:szCs w:val="22"/>
          <w:lang w:eastAsia="zh-CN"/>
        </w:rPr>
        <w:t>50</w:t>
      </w:r>
      <w:r>
        <w:rPr>
          <w:rFonts w:hint="eastAsia" w:eastAsia="宋体"/>
          <w:spacing w:val="20"/>
          <w:szCs w:val="22"/>
          <w:lang w:eastAsia="zh-CN"/>
        </w:rPr>
        <w:t>万元以下的罚款，对个人并处</w:t>
      </w:r>
      <w:r>
        <w:rPr>
          <w:rFonts w:eastAsia="宋体"/>
          <w:spacing w:val="20"/>
          <w:szCs w:val="22"/>
          <w:lang w:eastAsia="zh-CN"/>
        </w:rPr>
        <w:t>10</w:t>
      </w:r>
      <w:r>
        <w:rPr>
          <w:rFonts w:hint="eastAsia" w:eastAsia="宋体"/>
          <w:spacing w:val="20"/>
          <w:szCs w:val="22"/>
          <w:lang w:eastAsia="zh-CN"/>
        </w:rPr>
        <w:t>万元以上</w:t>
      </w:r>
      <w:r>
        <w:rPr>
          <w:rFonts w:eastAsia="宋体"/>
          <w:spacing w:val="20"/>
          <w:szCs w:val="22"/>
          <w:lang w:eastAsia="zh-CN"/>
        </w:rPr>
        <w:t>20</w:t>
      </w:r>
      <w:r>
        <w:rPr>
          <w:rFonts w:hint="eastAsia" w:eastAsia="宋体"/>
          <w:spacing w:val="20"/>
          <w:szCs w:val="22"/>
          <w:lang w:eastAsia="zh-CN"/>
        </w:rPr>
        <w:t>万元以下的罚款；造成损失的，依法承担赔偿责任。</w:t>
      </w:r>
    </w:p>
    <w:p>
      <w:pPr>
        <w:rPr>
          <w:rFonts w:eastAsia="宋体"/>
          <w:lang w:eastAsia="zh-CN"/>
        </w:rPr>
      </w:pPr>
    </w:p>
    <w:bookmarkEnd w:id="191"/>
    <w:p>
      <w:pPr>
        <w:rPr>
          <w:rFonts w:eastAsia="楷体"/>
          <w:lang w:eastAsia="zh-CN"/>
        </w:rPr>
      </w:pPr>
    </w:p>
    <w:p>
      <w:pPr>
        <w:pStyle w:val="27"/>
        <w:rPr>
          <w:rFonts w:eastAsia="宋体"/>
          <w:lang w:eastAsia="zh-CN"/>
        </w:rPr>
      </w:pPr>
      <w:bookmarkStart w:id="192" w:name="_Toc112661800"/>
      <w:bookmarkStart w:id="193" w:name="_Toc157421399"/>
      <w:r>
        <w:rPr>
          <w:rFonts w:hint="eastAsia" w:eastAsia="宋体"/>
          <w:lang w:eastAsia="zh-CN"/>
        </w:rPr>
        <w:t>【违反行政许可责任】</w:t>
      </w:r>
      <w:bookmarkEnd w:id="192"/>
      <w:bookmarkEnd w:id="193"/>
    </w:p>
    <w:p>
      <w:pPr>
        <w:rPr>
          <w:rFonts w:eastAsia="宋体"/>
          <w:strike/>
          <w:lang w:eastAsia="zh-CN"/>
        </w:rPr>
      </w:pPr>
      <w:bookmarkStart w:id="194" w:name="_Hlk155938762"/>
      <w:r>
        <w:rPr>
          <w:rFonts w:hint="eastAsia" w:eastAsia="宋体"/>
          <w:lang w:eastAsia="zh-CN"/>
        </w:rPr>
        <w:t>违反本条例规定，未经地级以上市、县级人民政府确定的保护主管部门会同文物主管部门批准，有下列行为之一的，由地级以上市、县级人民政府确定的保护主管部门责令停止违法行为、限期恢复原状或者采取其他补救措施；有违法所得的，没收违法所得；逾期不恢复原状或者不采取其他补救措施的，地级以上市、县级人民政府确定的保护主管部门可以指定有能力的单位代为恢复原状或者采取其他补救措施，所需费用由违法者承担；造成严重后果的，对单位并处5万元以上10万元以下的罚款，对个人并处1万元以上5万元以下的罚款；造成损失的，依法承担赔偿责任。</w:t>
      </w:r>
    </w:p>
    <w:p>
      <w:pPr>
        <w:rPr>
          <w:rFonts w:eastAsia="宋体"/>
          <w:lang w:eastAsia="zh-CN"/>
        </w:rPr>
      </w:pPr>
      <w:r>
        <w:rPr>
          <w:rFonts w:hint="eastAsia" w:eastAsia="宋体"/>
          <w:lang w:eastAsia="zh-CN"/>
        </w:rPr>
        <w:t>（一）对历史建筑进行外部修缮装饰、添加设施以及改变历史建筑的结构或者使用性质的。</w:t>
      </w:r>
    </w:p>
    <w:p>
      <w:pPr>
        <w:rPr>
          <w:rFonts w:eastAsia="宋体"/>
          <w:lang w:eastAsia="zh-CN"/>
        </w:rPr>
      </w:pPr>
      <w:r>
        <w:rPr>
          <w:rFonts w:hint="eastAsia" w:eastAsia="宋体"/>
          <w:lang w:eastAsia="zh-CN"/>
        </w:rPr>
        <w:t>（二）在历史文化名镇、名村、街区，历史地段核心保护范围内，拆除历史建筑以外的建筑物、构筑物或者其他设施的。</w:t>
      </w:r>
    </w:p>
    <w:bookmarkEnd w:id="194"/>
    <w:p>
      <w:pPr>
        <w:rPr>
          <w:rFonts w:eastAsia="楷体"/>
          <w:lang w:eastAsia="zh-CN"/>
        </w:rPr>
      </w:pPr>
    </w:p>
    <w:p>
      <w:pPr>
        <w:pStyle w:val="27"/>
        <w:rPr>
          <w:rFonts w:eastAsia="宋体"/>
          <w:lang w:eastAsia="zh-CN"/>
        </w:rPr>
      </w:pPr>
      <w:bookmarkStart w:id="195" w:name="_Toc112661801"/>
      <w:bookmarkEnd w:id="195"/>
      <w:bookmarkStart w:id="196" w:name="_Toc112661802"/>
      <w:bookmarkStart w:id="197" w:name="_Toc157421400"/>
      <w:r>
        <w:rPr>
          <w:rFonts w:hint="eastAsia" w:eastAsia="宋体"/>
          <w:lang w:eastAsia="zh-CN"/>
        </w:rPr>
        <w:t>【违反保护标志规定】</w:t>
      </w:r>
      <w:bookmarkEnd w:id="196"/>
      <w:bookmarkEnd w:id="197"/>
    </w:p>
    <w:p>
      <w:pPr>
        <w:rPr>
          <w:rFonts w:eastAsia="宋体"/>
          <w:strike/>
          <w:lang w:eastAsia="zh-CN"/>
        </w:rPr>
      </w:pPr>
      <w:bookmarkStart w:id="198" w:name="_Hlk155938775"/>
      <w:r>
        <w:rPr>
          <w:rFonts w:hint="eastAsia" w:eastAsia="宋体"/>
          <w:lang w:eastAsia="zh-CN"/>
        </w:rPr>
        <w:t>违反本条例第二十七条规定，擅自设置、移动、涂改或者损毁保护标志牌的，由县级以上人民政府确定的执法部门责令限期改正；逾期不改正的，对单位处1万元以上5万元以下的罚款，对个人处1000元以上1万元以下的罚款。</w:t>
      </w:r>
    </w:p>
    <w:bookmarkEnd w:id="198"/>
    <w:p>
      <w:pPr>
        <w:rPr>
          <w:rFonts w:eastAsia="楷体"/>
          <w:lang w:eastAsia="zh-CN"/>
        </w:rPr>
      </w:pPr>
      <w:r>
        <w:rPr>
          <w:rFonts w:eastAsia="楷体"/>
          <w:lang w:eastAsia="zh-CN"/>
        </w:rPr>
        <w:br w:type="page"/>
      </w:r>
    </w:p>
    <w:p>
      <w:pPr>
        <w:numPr>
          <w:ilvl w:val="0"/>
          <w:numId w:val="2"/>
        </w:numPr>
        <w:snapToGrid/>
        <w:spacing w:line="360" w:lineRule="auto"/>
        <w:ind w:left="0" w:firstLine="0" w:firstLineChars="0"/>
        <w:jc w:val="center"/>
        <w:outlineLvl w:val="0"/>
        <w:rPr>
          <w:rFonts w:ascii="黑体" w:hAnsi="黑体" w:eastAsia="黑体" w:cs="黑体"/>
          <w:kern w:val="2"/>
          <w:sz w:val="32"/>
          <w:szCs w:val="32"/>
          <w:lang w:eastAsia="zh-CN"/>
        </w:rPr>
      </w:pPr>
      <w:bookmarkStart w:id="199" w:name="_Toc157421401"/>
      <w:bookmarkStart w:id="200" w:name="_Toc112661803"/>
      <w:r>
        <w:rPr>
          <w:rFonts w:hint="eastAsia" w:ascii="黑体" w:hAnsi="黑体" w:eastAsia="黑体" w:cs="黑体"/>
          <w:kern w:val="2"/>
          <w:sz w:val="32"/>
          <w:szCs w:val="32"/>
          <w:lang w:eastAsia="zh-CN"/>
        </w:rPr>
        <w:t>附则</w:t>
      </w:r>
      <w:bookmarkEnd w:id="199"/>
      <w:bookmarkEnd w:id="200"/>
    </w:p>
    <w:p>
      <w:pPr>
        <w:pStyle w:val="27"/>
        <w:ind w:firstLine="522"/>
        <w:rPr>
          <w:rFonts w:eastAsia="宋体"/>
          <w:lang w:eastAsia="zh-CN"/>
        </w:rPr>
      </w:pPr>
      <w:bookmarkStart w:id="201" w:name="_Toc112661804"/>
      <w:bookmarkStart w:id="202" w:name="_Toc157421402"/>
      <w:r>
        <w:rPr>
          <w:rFonts w:hint="eastAsia" w:eastAsia="宋体"/>
          <w:lang w:eastAsia="zh-CN"/>
        </w:rPr>
        <w:t>【名词解释】</w:t>
      </w:r>
      <w:bookmarkEnd w:id="201"/>
      <w:bookmarkEnd w:id="202"/>
    </w:p>
    <w:p>
      <w:pPr>
        <w:rPr>
          <w:rFonts w:eastAsia="宋体"/>
          <w:lang w:eastAsia="zh-CN"/>
        </w:rPr>
      </w:pPr>
      <w:bookmarkStart w:id="203" w:name="_Hlk155938785"/>
      <w:r>
        <w:rPr>
          <w:rFonts w:hint="eastAsia" w:eastAsia="宋体"/>
          <w:lang w:eastAsia="zh-CN"/>
        </w:rPr>
        <w:t>本条例下列用语的含义：</w:t>
      </w:r>
    </w:p>
    <w:p>
      <w:pPr>
        <w:rPr>
          <w:rFonts w:eastAsia="宋体"/>
          <w:lang w:eastAsia="zh-CN"/>
        </w:rPr>
      </w:pPr>
      <w:r>
        <w:rPr>
          <w:rFonts w:hint="eastAsia" w:eastAsia="宋体"/>
          <w:lang w:eastAsia="zh-CN"/>
        </w:rPr>
        <w:t>（一）历史城区，是历史文化名城中历史文化资源相对集中的区域，一般是历史文化名城所在地的城市建成区中能体现其历史发展过程或某一发展时期风貌的地区。</w:t>
      </w:r>
    </w:p>
    <w:p>
      <w:pPr>
        <w:rPr>
          <w:rFonts w:eastAsia="宋体"/>
          <w:lang w:eastAsia="zh-CN"/>
        </w:rPr>
      </w:pPr>
      <w:r>
        <w:rPr>
          <w:rFonts w:hint="eastAsia" w:eastAsia="宋体"/>
          <w:lang w:eastAsia="zh-CN"/>
        </w:rPr>
        <w:t>（二）历史文化街区，是指经省人民政府核定公布的保存文物特别丰富、历史建筑集中成片、能够较完整和真实地体现传统格局和历史风貌，并具有一定规模的区域。</w:t>
      </w:r>
    </w:p>
    <w:p>
      <w:pPr>
        <w:rPr>
          <w:rFonts w:eastAsia="宋体"/>
          <w:lang w:eastAsia="zh-CN"/>
        </w:rPr>
      </w:pPr>
      <w:r>
        <w:rPr>
          <w:rFonts w:hint="eastAsia" w:eastAsia="宋体"/>
          <w:lang w:eastAsia="zh-CN"/>
        </w:rPr>
        <w:t>（三）历史地段，是指经省人民政府核定公布的能够真实反映一定历史时期传统风貌和民族、地方特色的区域。</w:t>
      </w:r>
    </w:p>
    <w:p>
      <w:pPr>
        <w:rPr>
          <w:rFonts w:eastAsia="宋体"/>
          <w:lang w:eastAsia="zh-CN"/>
        </w:rPr>
      </w:pPr>
      <w:r>
        <w:rPr>
          <w:rFonts w:hint="eastAsia" w:eastAsia="宋体"/>
          <w:lang w:eastAsia="zh-CN"/>
        </w:rPr>
        <w:t>（四）历史建筑，是指经城市、县人民政府确定公布的具有一定保护价值，能够反映历史风貌和地方特色，未公布为文物保护单位，也未登记为不可移动文物的建筑物、构筑物。</w:t>
      </w:r>
    </w:p>
    <w:bookmarkEnd w:id="203"/>
    <w:p>
      <w:pPr>
        <w:rPr>
          <w:rFonts w:eastAsia="楷体"/>
          <w:lang w:eastAsia="zh-CN"/>
        </w:rPr>
      </w:pPr>
    </w:p>
    <w:p>
      <w:pPr>
        <w:pStyle w:val="27"/>
        <w:ind w:firstLine="522"/>
        <w:rPr>
          <w:rFonts w:eastAsia="宋体"/>
          <w:lang w:eastAsia="zh-CN"/>
        </w:rPr>
      </w:pPr>
      <w:bookmarkStart w:id="204" w:name="_Toc112661805"/>
      <w:bookmarkStart w:id="205" w:name="_Toc157421403"/>
      <w:r>
        <w:rPr>
          <w:rFonts w:hint="eastAsia" w:eastAsia="宋体"/>
          <w:lang w:eastAsia="zh-CN"/>
        </w:rPr>
        <w:t>【实施期限】</w:t>
      </w:r>
      <w:bookmarkEnd w:id="204"/>
      <w:bookmarkEnd w:id="205"/>
    </w:p>
    <w:p>
      <w:pPr>
        <w:rPr>
          <w:rFonts w:eastAsia="宋体"/>
          <w:lang w:eastAsia="zh-CN"/>
        </w:rPr>
      </w:pPr>
      <w:r>
        <w:rPr>
          <w:rFonts w:hint="eastAsia" w:eastAsia="宋体"/>
          <w:lang w:eastAsia="zh-CN"/>
        </w:rPr>
        <w:t>本条例自</w:t>
      </w:r>
      <w:r>
        <w:rPr>
          <w:rFonts w:eastAsia="宋体"/>
          <w:lang w:eastAsia="zh-CN"/>
        </w:rPr>
        <w:t>202X</w:t>
      </w:r>
      <w:r>
        <w:rPr>
          <w:rFonts w:hint="eastAsia" w:eastAsia="宋体"/>
          <w:lang w:eastAsia="zh-CN"/>
        </w:rPr>
        <w:t>年</w:t>
      </w:r>
      <w:r>
        <w:rPr>
          <w:rFonts w:eastAsia="宋体"/>
          <w:lang w:eastAsia="zh-CN"/>
        </w:rPr>
        <w:t>XX</w:t>
      </w:r>
      <w:r>
        <w:rPr>
          <w:rFonts w:hint="eastAsia" w:eastAsia="宋体"/>
          <w:lang w:eastAsia="zh-CN"/>
        </w:rPr>
        <w:t>月</w:t>
      </w:r>
      <w:r>
        <w:rPr>
          <w:rFonts w:eastAsia="宋体"/>
          <w:lang w:eastAsia="zh-CN"/>
        </w:rPr>
        <w:t>XX</w:t>
      </w:r>
      <w:r>
        <w:rPr>
          <w:rFonts w:hint="eastAsia" w:eastAsia="宋体"/>
          <w:lang w:eastAsia="zh-CN"/>
        </w:rPr>
        <w:t>日起施行。</w:t>
      </w:r>
    </w:p>
    <w:p>
      <w:pPr>
        <w:rPr>
          <w:rFonts w:eastAsia="宋体"/>
          <w:lang w:eastAsia="zh-CN"/>
        </w:rPr>
      </w:pPr>
    </w:p>
    <w:sectPr>
      <w:footerReference r:id="rId6" w:type="default"/>
      <w:pgSz w:w="11906" w:h="16838"/>
      <w:pgMar w:top="1701" w:right="1474" w:bottom="1440" w:left="1587" w:header="708" w:footer="708" w:gutter="0"/>
      <w:pgNumType w:fmt="numberInDash"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å√¬.V.....">
    <w:altName w:val="汉仪叶叶相思体简"/>
    <w:panose1 w:val="00000000000000000000"/>
    <w:charset w:val="00"/>
    <w:family w:val="roman"/>
    <w:pitch w:val="default"/>
    <w:sig w:usb0="00000000" w:usb1="00000000" w:usb2="00000000" w:usb3="00000000" w:csb0="00000001" w:csb1="00000000"/>
  </w:font>
  <w:font w:name="Cambria">
    <w:altName w:val="Noto Sans Syriac Eastern"/>
    <w:panose1 w:val="02040503050406030204"/>
    <w:charset w:val="00"/>
    <w:family w:val="roman"/>
    <w:pitch w:val="default"/>
    <w:sig w:usb0="00000000" w:usb1="00000000" w:usb2="02000000"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NanumGothic">
    <w:panose1 w:val="020D0604000000000000"/>
    <w:charset w:val="81"/>
    <w:family w:val="auto"/>
    <w:pitch w:val="default"/>
    <w:sig w:usb0="900002A7" w:usb1="29D7FCFB" w:usb2="00000010" w:usb3="00000000" w:csb0="0008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- 47 -</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10"/>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- 47 -</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lang w:eastAsia="zh-CN"/>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81964256" name="文本框 78196425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- 47 -</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Jzcej4dAgAAKQQAAA4AAAAAAAAAAQAgAAAANQEAAGRycy9lMm9Eb2MueG1sUEsF&#10;BgAAAAAGAAYAWQEAAMQFAAAAAA==&#10;">
              <v:fill on="f" focussize="0,0"/>
              <v:stroke on="f" weight="0.5pt"/>
              <v:imagedata o:title=""/>
              <o:lock v:ext="edit" aspectratio="f"/>
              <v:textbox inset="0mm,0mm,0mm,0mm" style="mso-fit-shape-to-text:t;">
                <w:txbxContent>
                  <w:p>
                    <w:pPr>
                      <w:pStyle w:val="10"/>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- 47 -</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9B0C84"/>
    <w:multiLevelType w:val="multilevel"/>
    <w:tmpl w:val="249B0C84"/>
    <w:lvl w:ilvl="0" w:tentative="0">
      <w:start w:val="1"/>
      <w:numFmt w:val="ideographDigital"/>
      <w:lvlText w:val="第%1章"/>
      <w:lvlJc w:val="left"/>
      <w:pPr>
        <w:ind w:left="1116" w:hanging="1116"/>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EEAE253"/>
    <w:multiLevelType w:val="multilevel"/>
    <w:tmpl w:val="4EEAE253"/>
    <w:lvl w:ilvl="0" w:tentative="0">
      <w:start w:val="1"/>
      <w:numFmt w:val="chineseCounting"/>
      <w:pStyle w:val="27"/>
      <w:suff w:val="nothing"/>
      <w:lvlText w:val="第%1条"/>
      <w:lvlJc w:val="left"/>
      <w:pPr>
        <w:tabs>
          <w:tab w:val="left" w:pos="420"/>
        </w:tabs>
        <w:ind w:left="0" w:firstLine="602"/>
      </w:pPr>
      <w:rPr>
        <w:rFonts w:hint="eastAsia"/>
        <w:b/>
        <w:i w:val="0"/>
        <w:lang w:val="en-US"/>
      </w:rPr>
    </w:lvl>
    <w:lvl w:ilvl="1" w:tentative="0">
      <w:start w:val="1"/>
      <w:numFmt w:val="lowerLetter"/>
      <w:lvlText w:val="%2)"/>
      <w:lvlJc w:val="left"/>
      <w:pPr>
        <w:ind w:left="1442" w:hanging="420"/>
      </w:pPr>
      <w:rPr>
        <w:rFonts w:hint="eastAsia"/>
      </w:rPr>
    </w:lvl>
    <w:lvl w:ilvl="2" w:tentative="0">
      <w:start w:val="1"/>
      <w:numFmt w:val="lowerRoman"/>
      <w:lvlText w:val="%3."/>
      <w:lvlJc w:val="right"/>
      <w:pPr>
        <w:ind w:left="1862" w:hanging="420"/>
      </w:pPr>
      <w:rPr>
        <w:rFonts w:hint="eastAsia"/>
      </w:rPr>
    </w:lvl>
    <w:lvl w:ilvl="3" w:tentative="0">
      <w:start w:val="1"/>
      <w:numFmt w:val="decimal"/>
      <w:lvlText w:val="%4."/>
      <w:lvlJc w:val="left"/>
      <w:pPr>
        <w:ind w:left="2282" w:hanging="420"/>
      </w:pPr>
      <w:rPr>
        <w:rFonts w:hint="eastAsia"/>
      </w:rPr>
    </w:lvl>
    <w:lvl w:ilvl="4" w:tentative="0">
      <w:start w:val="1"/>
      <w:numFmt w:val="lowerLetter"/>
      <w:lvlText w:val="%5)"/>
      <w:lvlJc w:val="left"/>
      <w:pPr>
        <w:ind w:left="2702" w:hanging="420"/>
      </w:pPr>
      <w:rPr>
        <w:rFonts w:hint="eastAsia"/>
      </w:rPr>
    </w:lvl>
    <w:lvl w:ilvl="5" w:tentative="0">
      <w:start w:val="1"/>
      <w:numFmt w:val="lowerRoman"/>
      <w:lvlText w:val="%6."/>
      <w:lvlJc w:val="right"/>
      <w:pPr>
        <w:ind w:left="3122" w:hanging="420"/>
      </w:pPr>
      <w:rPr>
        <w:rFonts w:hint="eastAsia"/>
      </w:rPr>
    </w:lvl>
    <w:lvl w:ilvl="6" w:tentative="0">
      <w:start w:val="1"/>
      <w:numFmt w:val="decimal"/>
      <w:lvlText w:val="%7."/>
      <w:lvlJc w:val="left"/>
      <w:pPr>
        <w:ind w:left="3542" w:hanging="420"/>
      </w:pPr>
      <w:rPr>
        <w:rFonts w:hint="eastAsia"/>
      </w:rPr>
    </w:lvl>
    <w:lvl w:ilvl="7" w:tentative="0">
      <w:start w:val="1"/>
      <w:numFmt w:val="lowerLetter"/>
      <w:lvlText w:val="%8)"/>
      <w:lvlJc w:val="left"/>
      <w:pPr>
        <w:ind w:left="3962" w:hanging="420"/>
      </w:pPr>
      <w:rPr>
        <w:rFonts w:hint="eastAsia"/>
      </w:rPr>
    </w:lvl>
    <w:lvl w:ilvl="8" w:tentative="0">
      <w:start w:val="1"/>
      <w:numFmt w:val="lowerRoman"/>
      <w:lvlText w:val="%9."/>
      <w:lvlJc w:val="right"/>
      <w:pPr>
        <w:ind w:left="4382"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true"/>
  <w:bordersDoNotSurroundHeader w:val="true"/>
  <w:bordersDoNotSurroundFooter w:val="true"/>
  <w:documentProtection w:enforcement="0"/>
  <w:defaultTabStop w:val="720"/>
  <w:noPunctuationKerning w:val="true"/>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5YjcyY2I4NzkwMzFlMzNmZmJjNTdjYTBhMTE0NzMifQ=="/>
  </w:docVars>
  <w:rsids>
    <w:rsidRoot w:val="00A77B3E"/>
    <w:rsid w:val="0001260A"/>
    <w:rsid w:val="000143B6"/>
    <w:rsid w:val="00016204"/>
    <w:rsid w:val="000258E4"/>
    <w:rsid w:val="00025A2B"/>
    <w:rsid w:val="00032AB5"/>
    <w:rsid w:val="00042CBB"/>
    <w:rsid w:val="000457F3"/>
    <w:rsid w:val="00046299"/>
    <w:rsid w:val="00051346"/>
    <w:rsid w:val="00055088"/>
    <w:rsid w:val="0005764E"/>
    <w:rsid w:val="000602F8"/>
    <w:rsid w:val="00061565"/>
    <w:rsid w:val="0006174E"/>
    <w:rsid w:val="000635C3"/>
    <w:rsid w:val="00065180"/>
    <w:rsid w:val="00075ED8"/>
    <w:rsid w:val="0008025B"/>
    <w:rsid w:val="000834B5"/>
    <w:rsid w:val="00084B60"/>
    <w:rsid w:val="0008580F"/>
    <w:rsid w:val="0008788C"/>
    <w:rsid w:val="000A40A9"/>
    <w:rsid w:val="000A5CD0"/>
    <w:rsid w:val="000A6ADD"/>
    <w:rsid w:val="000B054C"/>
    <w:rsid w:val="000B337E"/>
    <w:rsid w:val="000B3960"/>
    <w:rsid w:val="000B451E"/>
    <w:rsid w:val="000B5A8E"/>
    <w:rsid w:val="000C02A5"/>
    <w:rsid w:val="000C1243"/>
    <w:rsid w:val="000C352C"/>
    <w:rsid w:val="000C61D2"/>
    <w:rsid w:val="000C6E31"/>
    <w:rsid w:val="000D0CC8"/>
    <w:rsid w:val="000D224D"/>
    <w:rsid w:val="000D557D"/>
    <w:rsid w:val="000D618A"/>
    <w:rsid w:val="000D7A07"/>
    <w:rsid w:val="000E66A7"/>
    <w:rsid w:val="000F5808"/>
    <w:rsid w:val="000F5A48"/>
    <w:rsid w:val="000F5AC3"/>
    <w:rsid w:val="001022F4"/>
    <w:rsid w:val="00110607"/>
    <w:rsid w:val="00112564"/>
    <w:rsid w:val="001139B5"/>
    <w:rsid w:val="001152C1"/>
    <w:rsid w:val="001173C2"/>
    <w:rsid w:val="0012344D"/>
    <w:rsid w:val="001248E9"/>
    <w:rsid w:val="001336C1"/>
    <w:rsid w:val="001354F8"/>
    <w:rsid w:val="00147254"/>
    <w:rsid w:val="00150488"/>
    <w:rsid w:val="001528B4"/>
    <w:rsid w:val="00154FC5"/>
    <w:rsid w:val="00160EB0"/>
    <w:rsid w:val="00164F34"/>
    <w:rsid w:val="00165E47"/>
    <w:rsid w:val="0016750E"/>
    <w:rsid w:val="00172458"/>
    <w:rsid w:val="00175DF3"/>
    <w:rsid w:val="0017726B"/>
    <w:rsid w:val="001812FE"/>
    <w:rsid w:val="00185DFA"/>
    <w:rsid w:val="00190704"/>
    <w:rsid w:val="0019454A"/>
    <w:rsid w:val="0019707E"/>
    <w:rsid w:val="001A2F3C"/>
    <w:rsid w:val="001A39FE"/>
    <w:rsid w:val="001A4B7F"/>
    <w:rsid w:val="001B2CA6"/>
    <w:rsid w:val="001C30DF"/>
    <w:rsid w:val="001C3635"/>
    <w:rsid w:val="001C64D9"/>
    <w:rsid w:val="001D144D"/>
    <w:rsid w:val="001E304F"/>
    <w:rsid w:val="001E4115"/>
    <w:rsid w:val="001E42AD"/>
    <w:rsid w:val="001E6D48"/>
    <w:rsid w:val="001F2EB3"/>
    <w:rsid w:val="001F5E99"/>
    <w:rsid w:val="001F7CF9"/>
    <w:rsid w:val="00204829"/>
    <w:rsid w:val="00207DCD"/>
    <w:rsid w:val="002108AA"/>
    <w:rsid w:val="002121AE"/>
    <w:rsid w:val="0022006E"/>
    <w:rsid w:val="0022222D"/>
    <w:rsid w:val="0022311A"/>
    <w:rsid w:val="00226E3B"/>
    <w:rsid w:val="0023301B"/>
    <w:rsid w:val="00242102"/>
    <w:rsid w:val="00247422"/>
    <w:rsid w:val="00247C15"/>
    <w:rsid w:val="00247E76"/>
    <w:rsid w:val="002566F1"/>
    <w:rsid w:val="0026481E"/>
    <w:rsid w:val="002655BC"/>
    <w:rsid w:val="00275652"/>
    <w:rsid w:val="0027616F"/>
    <w:rsid w:val="00277604"/>
    <w:rsid w:val="00281298"/>
    <w:rsid w:val="00281693"/>
    <w:rsid w:val="002824AB"/>
    <w:rsid w:val="00282B14"/>
    <w:rsid w:val="002878DC"/>
    <w:rsid w:val="00290B01"/>
    <w:rsid w:val="002911E8"/>
    <w:rsid w:val="002A1CF8"/>
    <w:rsid w:val="002A6D1C"/>
    <w:rsid w:val="002C5222"/>
    <w:rsid w:val="002C600F"/>
    <w:rsid w:val="002C63E1"/>
    <w:rsid w:val="002D1608"/>
    <w:rsid w:val="002D68AB"/>
    <w:rsid w:val="002D6A0F"/>
    <w:rsid w:val="002F00C9"/>
    <w:rsid w:val="002F27B5"/>
    <w:rsid w:val="00301A90"/>
    <w:rsid w:val="00304F28"/>
    <w:rsid w:val="0030516F"/>
    <w:rsid w:val="00311CF2"/>
    <w:rsid w:val="00321B03"/>
    <w:rsid w:val="003271BD"/>
    <w:rsid w:val="00333F96"/>
    <w:rsid w:val="003350D2"/>
    <w:rsid w:val="00335AAB"/>
    <w:rsid w:val="00337CFF"/>
    <w:rsid w:val="00342D5D"/>
    <w:rsid w:val="00351D6F"/>
    <w:rsid w:val="003658C9"/>
    <w:rsid w:val="0039202E"/>
    <w:rsid w:val="003920CD"/>
    <w:rsid w:val="00397124"/>
    <w:rsid w:val="003A215A"/>
    <w:rsid w:val="003A5CA0"/>
    <w:rsid w:val="003A6A6C"/>
    <w:rsid w:val="003A792F"/>
    <w:rsid w:val="003B2C5C"/>
    <w:rsid w:val="003B5387"/>
    <w:rsid w:val="003B748A"/>
    <w:rsid w:val="003B7644"/>
    <w:rsid w:val="003C076F"/>
    <w:rsid w:val="003C46D3"/>
    <w:rsid w:val="003C7727"/>
    <w:rsid w:val="003D3860"/>
    <w:rsid w:val="003F1F16"/>
    <w:rsid w:val="003F3FA0"/>
    <w:rsid w:val="004013E0"/>
    <w:rsid w:val="0040645F"/>
    <w:rsid w:val="00406CDB"/>
    <w:rsid w:val="00411867"/>
    <w:rsid w:val="0042362C"/>
    <w:rsid w:val="00427DB3"/>
    <w:rsid w:val="004305C5"/>
    <w:rsid w:val="00430A65"/>
    <w:rsid w:val="00436268"/>
    <w:rsid w:val="00440CBC"/>
    <w:rsid w:val="00441997"/>
    <w:rsid w:val="00447167"/>
    <w:rsid w:val="00450C92"/>
    <w:rsid w:val="00457832"/>
    <w:rsid w:val="00462AAE"/>
    <w:rsid w:val="0046312E"/>
    <w:rsid w:val="00465532"/>
    <w:rsid w:val="00470EE0"/>
    <w:rsid w:val="00471E65"/>
    <w:rsid w:val="00472324"/>
    <w:rsid w:val="00473F34"/>
    <w:rsid w:val="0047465A"/>
    <w:rsid w:val="004825BD"/>
    <w:rsid w:val="00482AE9"/>
    <w:rsid w:val="00482E04"/>
    <w:rsid w:val="00483747"/>
    <w:rsid w:val="0048494E"/>
    <w:rsid w:val="004857B4"/>
    <w:rsid w:val="0048582A"/>
    <w:rsid w:val="004B113A"/>
    <w:rsid w:val="004B3B56"/>
    <w:rsid w:val="004B5080"/>
    <w:rsid w:val="004B5386"/>
    <w:rsid w:val="004B59F4"/>
    <w:rsid w:val="004C127F"/>
    <w:rsid w:val="004C5142"/>
    <w:rsid w:val="004C7212"/>
    <w:rsid w:val="004D491D"/>
    <w:rsid w:val="004D55D9"/>
    <w:rsid w:val="004D72B9"/>
    <w:rsid w:val="004F31CD"/>
    <w:rsid w:val="004F61A6"/>
    <w:rsid w:val="00502431"/>
    <w:rsid w:val="0050296D"/>
    <w:rsid w:val="00503507"/>
    <w:rsid w:val="00505D95"/>
    <w:rsid w:val="00511F7C"/>
    <w:rsid w:val="00514C1F"/>
    <w:rsid w:val="00515C7A"/>
    <w:rsid w:val="00516DEA"/>
    <w:rsid w:val="0052247E"/>
    <w:rsid w:val="005227C0"/>
    <w:rsid w:val="00522F93"/>
    <w:rsid w:val="0052391F"/>
    <w:rsid w:val="005302F1"/>
    <w:rsid w:val="0053038F"/>
    <w:rsid w:val="005373CE"/>
    <w:rsid w:val="00542420"/>
    <w:rsid w:val="00551873"/>
    <w:rsid w:val="00553727"/>
    <w:rsid w:val="00554AAC"/>
    <w:rsid w:val="00556308"/>
    <w:rsid w:val="0056026E"/>
    <w:rsid w:val="005609C6"/>
    <w:rsid w:val="00561230"/>
    <w:rsid w:val="005617D4"/>
    <w:rsid w:val="00561EAF"/>
    <w:rsid w:val="00563953"/>
    <w:rsid w:val="005650C2"/>
    <w:rsid w:val="0057533A"/>
    <w:rsid w:val="00576287"/>
    <w:rsid w:val="00577765"/>
    <w:rsid w:val="00581BD6"/>
    <w:rsid w:val="005841AD"/>
    <w:rsid w:val="00584F38"/>
    <w:rsid w:val="0058540A"/>
    <w:rsid w:val="00586179"/>
    <w:rsid w:val="00591E51"/>
    <w:rsid w:val="00591F86"/>
    <w:rsid w:val="00592731"/>
    <w:rsid w:val="00593B88"/>
    <w:rsid w:val="005A21B6"/>
    <w:rsid w:val="005A24DD"/>
    <w:rsid w:val="005A3BAE"/>
    <w:rsid w:val="005A3C05"/>
    <w:rsid w:val="005B2136"/>
    <w:rsid w:val="005B5FEF"/>
    <w:rsid w:val="005C22AA"/>
    <w:rsid w:val="005C3D97"/>
    <w:rsid w:val="005C4083"/>
    <w:rsid w:val="005D0411"/>
    <w:rsid w:val="005D285E"/>
    <w:rsid w:val="005D5772"/>
    <w:rsid w:val="005E009A"/>
    <w:rsid w:val="005E2BE4"/>
    <w:rsid w:val="005E340B"/>
    <w:rsid w:val="005E4A52"/>
    <w:rsid w:val="005E4BD4"/>
    <w:rsid w:val="005F096F"/>
    <w:rsid w:val="005F5E87"/>
    <w:rsid w:val="00600390"/>
    <w:rsid w:val="0060138D"/>
    <w:rsid w:val="00601544"/>
    <w:rsid w:val="0060317B"/>
    <w:rsid w:val="00604B0C"/>
    <w:rsid w:val="006108AF"/>
    <w:rsid w:val="00610F96"/>
    <w:rsid w:val="0061565B"/>
    <w:rsid w:val="006167E0"/>
    <w:rsid w:val="006310F1"/>
    <w:rsid w:val="0063193A"/>
    <w:rsid w:val="00634619"/>
    <w:rsid w:val="006362FF"/>
    <w:rsid w:val="00637A92"/>
    <w:rsid w:val="006516E2"/>
    <w:rsid w:val="00652609"/>
    <w:rsid w:val="006526CE"/>
    <w:rsid w:val="00652B85"/>
    <w:rsid w:val="0065315F"/>
    <w:rsid w:val="0065602F"/>
    <w:rsid w:val="006604F2"/>
    <w:rsid w:val="00663F67"/>
    <w:rsid w:val="00664D0C"/>
    <w:rsid w:val="006673D9"/>
    <w:rsid w:val="006676D2"/>
    <w:rsid w:val="00671114"/>
    <w:rsid w:val="00673635"/>
    <w:rsid w:val="0067476B"/>
    <w:rsid w:val="00675FE1"/>
    <w:rsid w:val="00680B1D"/>
    <w:rsid w:val="00683A90"/>
    <w:rsid w:val="00692B07"/>
    <w:rsid w:val="0069307A"/>
    <w:rsid w:val="00693411"/>
    <w:rsid w:val="006A0DA1"/>
    <w:rsid w:val="006A7808"/>
    <w:rsid w:val="006A7E6A"/>
    <w:rsid w:val="006B35A1"/>
    <w:rsid w:val="006B4AD7"/>
    <w:rsid w:val="006C08ED"/>
    <w:rsid w:val="006D27B1"/>
    <w:rsid w:val="006D2A8F"/>
    <w:rsid w:val="006D2E08"/>
    <w:rsid w:val="006D4D58"/>
    <w:rsid w:val="006E14A3"/>
    <w:rsid w:val="006E2CB0"/>
    <w:rsid w:val="006F120E"/>
    <w:rsid w:val="006F1F21"/>
    <w:rsid w:val="006F3FA1"/>
    <w:rsid w:val="00702B5E"/>
    <w:rsid w:val="007031CC"/>
    <w:rsid w:val="00707011"/>
    <w:rsid w:val="00707F18"/>
    <w:rsid w:val="00710462"/>
    <w:rsid w:val="00715CBC"/>
    <w:rsid w:val="00717393"/>
    <w:rsid w:val="007205AD"/>
    <w:rsid w:val="00722A8E"/>
    <w:rsid w:val="007244EB"/>
    <w:rsid w:val="00724616"/>
    <w:rsid w:val="00725F40"/>
    <w:rsid w:val="0073431B"/>
    <w:rsid w:val="00742BF5"/>
    <w:rsid w:val="00744FB0"/>
    <w:rsid w:val="007453D0"/>
    <w:rsid w:val="007506E2"/>
    <w:rsid w:val="00754CD9"/>
    <w:rsid w:val="00756882"/>
    <w:rsid w:val="00756CEF"/>
    <w:rsid w:val="00756F23"/>
    <w:rsid w:val="0076114E"/>
    <w:rsid w:val="0076169A"/>
    <w:rsid w:val="00761BE3"/>
    <w:rsid w:val="007808E4"/>
    <w:rsid w:val="00784123"/>
    <w:rsid w:val="007878AC"/>
    <w:rsid w:val="007903CD"/>
    <w:rsid w:val="0079742A"/>
    <w:rsid w:val="007A1AB7"/>
    <w:rsid w:val="007B0B1F"/>
    <w:rsid w:val="007B2194"/>
    <w:rsid w:val="007B4EBA"/>
    <w:rsid w:val="007B530B"/>
    <w:rsid w:val="007C62B2"/>
    <w:rsid w:val="007C637B"/>
    <w:rsid w:val="007D1057"/>
    <w:rsid w:val="007D29FB"/>
    <w:rsid w:val="007D337C"/>
    <w:rsid w:val="007D3DFA"/>
    <w:rsid w:val="007D6865"/>
    <w:rsid w:val="007D6DA0"/>
    <w:rsid w:val="007E0AD8"/>
    <w:rsid w:val="007E5DDB"/>
    <w:rsid w:val="007E632B"/>
    <w:rsid w:val="007F0EAC"/>
    <w:rsid w:val="007F36B0"/>
    <w:rsid w:val="008014A6"/>
    <w:rsid w:val="00817E2B"/>
    <w:rsid w:val="00822B7D"/>
    <w:rsid w:val="00823949"/>
    <w:rsid w:val="008256D8"/>
    <w:rsid w:val="00832B69"/>
    <w:rsid w:val="008336B6"/>
    <w:rsid w:val="00834E22"/>
    <w:rsid w:val="00837900"/>
    <w:rsid w:val="0084381F"/>
    <w:rsid w:val="00845D3B"/>
    <w:rsid w:val="008553F8"/>
    <w:rsid w:val="00856922"/>
    <w:rsid w:val="00862385"/>
    <w:rsid w:val="00862808"/>
    <w:rsid w:val="00866AE0"/>
    <w:rsid w:val="00870DD3"/>
    <w:rsid w:val="00873610"/>
    <w:rsid w:val="00874834"/>
    <w:rsid w:val="008760E1"/>
    <w:rsid w:val="008766E1"/>
    <w:rsid w:val="00877010"/>
    <w:rsid w:val="008770F9"/>
    <w:rsid w:val="00886CFA"/>
    <w:rsid w:val="00887C11"/>
    <w:rsid w:val="00887EE7"/>
    <w:rsid w:val="008960DA"/>
    <w:rsid w:val="00896428"/>
    <w:rsid w:val="00897B49"/>
    <w:rsid w:val="00897D41"/>
    <w:rsid w:val="008B0B50"/>
    <w:rsid w:val="008C17B9"/>
    <w:rsid w:val="008C68DD"/>
    <w:rsid w:val="008D3C17"/>
    <w:rsid w:val="008E627F"/>
    <w:rsid w:val="008F2E3B"/>
    <w:rsid w:val="008F34B6"/>
    <w:rsid w:val="008F3610"/>
    <w:rsid w:val="008F7777"/>
    <w:rsid w:val="00901A34"/>
    <w:rsid w:val="00917471"/>
    <w:rsid w:val="00927AFF"/>
    <w:rsid w:val="0093233B"/>
    <w:rsid w:val="00932355"/>
    <w:rsid w:val="0093596F"/>
    <w:rsid w:val="00935CD0"/>
    <w:rsid w:val="009369C6"/>
    <w:rsid w:val="00937990"/>
    <w:rsid w:val="0094599A"/>
    <w:rsid w:val="0094709F"/>
    <w:rsid w:val="00947202"/>
    <w:rsid w:val="00947D74"/>
    <w:rsid w:val="00950250"/>
    <w:rsid w:val="00962426"/>
    <w:rsid w:val="009675BD"/>
    <w:rsid w:val="00974A86"/>
    <w:rsid w:val="0098477B"/>
    <w:rsid w:val="00993D45"/>
    <w:rsid w:val="00993F62"/>
    <w:rsid w:val="009A56C7"/>
    <w:rsid w:val="009B0BA8"/>
    <w:rsid w:val="009B111A"/>
    <w:rsid w:val="009B5275"/>
    <w:rsid w:val="009C1A3C"/>
    <w:rsid w:val="009C55FE"/>
    <w:rsid w:val="009C5D56"/>
    <w:rsid w:val="009C7A1C"/>
    <w:rsid w:val="009D1314"/>
    <w:rsid w:val="009D2587"/>
    <w:rsid w:val="009D50D7"/>
    <w:rsid w:val="009D6439"/>
    <w:rsid w:val="009E131F"/>
    <w:rsid w:val="009E627E"/>
    <w:rsid w:val="009E6C68"/>
    <w:rsid w:val="009F57BB"/>
    <w:rsid w:val="00A018BD"/>
    <w:rsid w:val="00A03D99"/>
    <w:rsid w:val="00A13727"/>
    <w:rsid w:val="00A15A56"/>
    <w:rsid w:val="00A21B23"/>
    <w:rsid w:val="00A26C90"/>
    <w:rsid w:val="00A32408"/>
    <w:rsid w:val="00A33956"/>
    <w:rsid w:val="00A375F5"/>
    <w:rsid w:val="00A406A2"/>
    <w:rsid w:val="00A419CC"/>
    <w:rsid w:val="00A438B5"/>
    <w:rsid w:val="00A4747B"/>
    <w:rsid w:val="00A54A5D"/>
    <w:rsid w:val="00A574A7"/>
    <w:rsid w:val="00A60424"/>
    <w:rsid w:val="00A604F7"/>
    <w:rsid w:val="00A6123D"/>
    <w:rsid w:val="00A72878"/>
    <w:rsid w:val="00A74404"/>
    <w:rsid w:val="00A77B3E"/>
    <w:rsid w:val="00A804C4"/>
    <w:rsid w:val="00A83797"/>
    <w:rsid w:val="00A841E1"/>
    <w:rsid w:val="00A854D0"/>
    <w:rsid w:val="00A9518B"/>
    <w:rsid w:val="00AA1C94"/>
    <w:rsid w:val="00AA22CB"/>
    <w:rsid w:val="00AA668D"/>
    <w:rsid w:val="00AB00FE"/>
    <w:rsid w:val="00AB1A47"/>
    <w:rsid w:val="00AB2636"/>
    <w:rsid w:val="00AB343F"/>
    <w:rsid w:val="00AB352F"/>
    <w:rsid w:val="00AC31B9"/>
    <w:rsid w:val="00AC51A6"/>
    <w:rsid w:val="00AD12A1"/>
    <w:rsid w:val="00AD13AB"/>
    <w:rsid w:val="00AE18F4"/>
    <w:rsid w:val="00AF03C0"/>
    <w:rsid w:val="00AF4032"/>
    <w:rsid w:val="00AF7034"/>
    <w:rsid w:val="00B10AC8"/>
    <w:rsid w:val="00B12ABB"/>
    <w:rsid w:val="00B16F26"/>
    <w:rsid w:val="00B20489"/>
    <w:rsid w:val="00B2224A"/>
    <w:rsid w:val="00B30711"/>
    <w:rsid w:val="00B330E8"/>
    <w:rsid w:val="00B37851"/>
    <w:rsid w:val="00B4049D"/>
    <w:rsid w:val="00B407B7"/>
    <w:rsid w:val="00B40FD9"/>
    <w:rsid w:val="00B4142D"/>
    <w:rsid w:val="00B43270"/>
    <w:rsid w:val="00B44606"/>
    <w:rsid w:val="00B44800"/>
    <w:rsid w:val="00B46BA7"/>
    <w:rsid w:val="00B47053"/>
    <w:rsid w:val="00B4707C"/>
    <w:rsid w:val="00B6758B"/>
    <w:rsid w:val="00B71D0B"/>
    <w:rsid w:val="00B72F27"/>
    <w:rsid w:val="00B74ED8"/>
    <w:rsid w:val="00B75C45"/>
    <w:rsid w:val="00B80F31"/>
    <w:rsid w:val="00B860EE"/>
    <w:rsid w:val="00B8797B"/>
    <w:rsid w:val="00BA3C9A"/>
    <w:rsid w:val="00BA44FE"/>
    <w:rsid w:val="00BA5750"/>
    <w:rsid w:val="00BB06C7"/>
    <w:rsid w:val="00BB19AD"/>
    <w:rsid w:val="00BB2587"/>
    <w:rsid w:val="00BB2673"/>
    <w:rsid w:val="00BB7668"/>
    <w:rsid w:val="00BC12A0"/>
    <w:rsid w:val="00BC2CF8"/>
    <w:rsid w:val="00BC65D5"/>
    <w:rsid w:val="00BD40F0"/>
    <w:rsid w:val="00BD7ACB"/>
    <w:rsid w:val="00BE2731"/>
    <w:rsid w:val="00BE27FC"/>
    <w:rsid w:val="00BE3AC6"/>
    <w:rsid w:val="00BF3475"/>
    <w:rsid w:val="00BF6542"/>
    <w:rsid w:val="00C027C5"/>
    <w:rsid w:val="00C05F7A"/>
    <w:rsid w:val="00C170F3"/>
    <w:rsid w:val="00C23D16"/>
    <w:rsid w:val="00C27D9D"/>
    <w:rsid w:val="00C312C5"/>
    <w:rsid w:val="00C3163B"/>
    <w:rsid w:val="00C3377B"/>
    <w:rsid w:val="00C43E4F"/>
    <w:rsid w:val="00C51264"/>
    <w:rsid w:val="00C51D63"/>
    <w:rsid w:val="00C52DC7"/>
    <w:rsid w:val="00C52F85"/>
    <w:rsid w:val="00C6071A"/>
    <w:rsid w:val="00C7145E"/>
    <w:rsid w:val="00C71693"/>
    <w:rsid w:val="00C7441C"/>
    <w:rsid w:val="00C76120"/>
    <w:rsid w:val="00C80251"/>
    <w:rsid w:val="00C8072F"/>
    <w:rsid w:val="00C80913"/>
    <w:rsid w:val="00C839DC"/>
    <w:rsid w:val="00C839F3"/>
    <w:rsid w:val="00C84C64"/>
    <w:rsid w:val="00C86766"/>
    <w:rsid w:val="00C90044"/>
    <w:rsid w:val="00C93347"/>
    <w:rsid w:val="00C94252"/>
    <w:rsid w:val="00C94C36"/>
    <w:rsid w:val="00CA2A55"/>
    <w:rsid w:val="00CA30C6"/>
    <w:rsid w:val="00CA3C49"/>
    <w:rsid w:val="00CA6656"/>
    <w:rsid w:val="00CA799D"/>
    <w:rsid w:val="00CB4304"/>
    <w:rsid w:val="00CB5A7D"/>
    <w:rsid w:val="00CC3EA9"/>
    <w:rsid w:val="00CC67B6"/>
    <w:rsid w:val="00CD25FA"/>
    <w:rsid w:val="00CD4DCC"/>
    <w:rsid w:val="00CE457F"/>
    <w:rsid w:val="00CE4B27"/>
    <w:rsid w:val="00CE79C0"/>
    <w:rsid w:val="00CF001A"/>
    <w:rsid w:val="00CF2A85"/>
    <w:rsid w:val="00CF4C17"/>
    <w:rsid w:val="00CF7DCC"/>
    <w:rsid w:val="00D0049E"/>
    <w:rsid w:val="00D03DB2"/>
    <w:rsid w:val="00D109F8"/>
    <w:rsid w:val="00D11494"/>
    <w:rsid w:val="00D12E4D"/>
    <w:rsid w:val="00D27878"/>
    <w:rsid w:val="00D27959"/>
    <w:rsid w:val="00D34E15"/>
    <w:rsid w:val="00D47900"/>
    <w:rsid w:val="00D47EC2"/>
    <w:rsid w:val="00D5033A"/>
    <w:rsid w:val="00D50501"/>
    <w:rsid w:val="00D51EF1"/>
    <w:rsid w:val="00D57CAB"/>
    <w:rsid w:val="00D57E9D"/>
    <w:rsid w:val="00D64E84"/>
    <w:rsid w:val="00D66212"/>
    <w:rsid w:val="00D759C9"/>
    <w:rsid w:val="00D87143"/>
    <w:rsid w:val="00D903AC"/>
    <w:rsid w:val="00DA1E4B"/>
    <w:rsid w:val="00DA3BA1"/>
    <w:rsid w:val="00DA5100"/>
    <w:rsid w:val="00DB05CF"/>
    <w:rsid w:val="00DB3122"/>
    <w:rsid w:val="00DB64E1"/>
    <w:rsid w:val="00DC0BA6"/>
    <w:rsid w:val="00DD1D2E"/>
    <w:rsid w:val="00DD79B2"/>
    <w:rsid w:val="00DE0B2C"/>
    <w:rsid w:val="00DE1895"/>
    <w:rsid w:val="00DE39DE"/>
    <w:rsid w:val="00DF34B8"/>
    <w:rsid w:val="00DF5588"/>
    <w:rsid w:val="00DF67D9"/>
    <w:rsid w:val="00DF7C56"/>
    <w:rsid w:val="00E02CFC"/>
    <w:rsid w:val="00E0480C"/>
    <w:rsid w:val="00E05538"/>
    <w:rsid w:val="00E057A0"/>
    <w:rsid w:val="00E12F77"/>
    <w:rsid w:val="00E13E2D"/>
    <w:rsid w:val="00E279BC"/>
    <w:rsid w:val="00E334C8"/>
    <w:rsid w:val="00E43AC0"/>
    <w:rsid w:val="00E46144"/>
    <w:rsid w:val="00E47592"/>
    <w:rsid w:val="00E54D5E"/>
    <w:rsid w:val="00E55E28"/>
    <w:rsid w:val="00E65520"/>
    <w:rsid w:val="00E665BA"/>
    <w:rsid w:val="00E73053"/>
    <w:rsid w:val="00E74DFC"/>
    <w:rsid w:val="00E75F2C"/>
    <w:rsid w:val="00E75FC9"/>
    <w:rsid w:val="00E76270"/>
    <w:rsid w:val="00E8596E"/>
    <w:rsid w:val="00E85EC0"/>
    <w:rsid w:val="00E91399"/>
    <w:rsid w:val="00E92241"/>
    <w:rsid w:val="00E936E2"/>
    <w:rsid w:val="00EA0EC3"/>
    <w:rsid w:val="00EA2C10"/>
    <w:rsid w:val="00EB0CD9"/>
    <w:rsid w:val="00EB2B52"/>
    <w:rsid w:val="00EB3A62"/>
    <w:rsid w:val="00ED0FEB"/>
    <w:rsid w:val="00ED2C3C"/>
    <w:rsid w:val="00EE0583"/>
    <w:rsid w:val="00EE22A9"/>
    <w:rsid w:val="00EE5FE6"/>
    <w:rsid w:val="00EF2D63"/>
    <w:rsid w:val="00EF5644"/>
    <w:rsid w:val="00EF684D"/>
    <w:rsid w:val="00F10C99"/>
    <w:rsid w:val="00F1264A"/>
    <w:rsid w:val="00F1378A"/>
    <w:rsid w:val="00F2494B"/>
    <w:rsid w:val="00F26E35"/>
    <w:rsid w:val="00F30410"/>
    <w:rsid w:val="00F312A2"/>
    <w:rsid w:val="00F3216B"/>
    <w:rsid w:val="00F36EDD"/>
    <w:rsid w:val="00F44565"/>
    <w:rsid w:val="00F45C1D"/>
    <w:rsid w:val="00F46522"/>
    <w:rsid w:val="00F507E8"/>
    <w:rsid w:val="00F529D6"/>
    <w:rsid w:val="00F81B92"/>
    <w:rsid w:val="00F86F79"/>
    <w:rsid w:val="00F9450C"/>
    <w:rsid w:val="00FA25BA"/>
    <w:rsid w:val="00FA5156"/>
    <w:rsid w:val="00FB0CCE"/>
    <w:rsid w:val="00FB40F2"/>
    <w:rsid w:val="00FB540D"/>
    <w:rsid w:val="00FB7A19"/>
    <w:rsid w:val="00FC0054"/>
    <w:rsid w:val="00FC35B6"/>
    <w:rsid w:val="00FC4EA6"/>
    <w:rsid w:val="00FC61B3"/>
    <w:rsid w:val="00FD04C8"/>
    <w:rsid w:val="00FE0AAC"/>
    <w:rsid w:val="00FE49A0"/>
    <w:rsid w:val="00FE4EE7"/>
    <w:rsid w:val="00FE6BE3"/>
    <w:rsid w:val="00FF54C5"/>
    <w:rsid w:val="00FF5563"/>
    <w:rsid w:val="00FF60B8"/>
    <w:rsid w:val="00FF7A1F"/>
    <w:rsid w:val="045A035A"/>
    <w:rsid w:val="081C3BE6"/>
    <w:rsid w:val="0ACD54F3"/>
    <w:rsid w:val="0CFA5376"/>
    <w:rsid w:val="0D843357"/>
    <w:rsid w:val="0FD6C83A"/>
    <w:rsid w:val="10751BA7"/>
    <w:rsid w:val="11140943"/>
    <w:rsid w:val="12905123"/>
    <w:rsid w:val="16037E0D"/>
    <w:rsid w:val="172F2873"/>
    <w:rsid w:val="1D3C1A75"/>
    <w:rsid w:val="221F6158"/>
    <w:rsid w:val="26555452"/>
    <w:rsid w:val="29762045"/>
    <w:rsid w:val="2C9B451C"/>
    <w:rsid w:val="2E440231"/>
    <w:rsid w:val="2FC55F59"/>
    <w:rsid w:val="30320093"/>
    <w:rsid w:val="349B57C2"/>
    <w:rsid w:val="35CC0836"/>
    <w:rsid w:val="3BDA0962"/>
    <w:rsid w:val="3C4E402F"/>
    <w:rsid w:val="3DFE2113"/>
    <w:rsid w:val="3E1A7E7D"/>
    <w:rsid w:val="3ED060FB"/>
    <w:rsid w:val="3FDFCAD8"/>
    <w:rsid w:val="41325D57"/>
    <w:rsid w:val="443C14C6"/>
    <w:rsid w:val="46A9191C"/>
    <w:rsid w:val="482D592F"/>
    <w:rsid w:val="484F3A57"/>
    <w:rsid w:val="4E3D4242"/>
    <w:rsid w:val="4E5A00BD"/>
    <w:rsid w:val="4FFF0D98"/>
    <w:rsid w:val="56FF1958"/>
    <w:rsid w:val="576B78C3"/>
    <w:rsid w:val="57FFEA77"/>
    <w:rsid w:val="59FDF679"/>
    <w:rsid w:val="5EE44B1E"/>
    <w:rsid w:val="5FA50B89"/>
    <w:rsid w:val="645E5E1E"/>
    <w:rsid w:val="6A9A3A4F"/>
    <w:rsid w:val="6E9F3D94"/>
    <w:rsid w:val="6EBFCEEE"/>
    <w:rsid w:val="6EF15B9D"/>
    <w:rsid w:val="70C46BED"/>
    <w:rsid w:val="75E60EBD"/>
    <w:rsid w:val="775070B9"/>
    <w:rsid w:val="77EEDC38"/>
    <w:rsid w:val="7A4258B6"/>
    <w:rsid w:val="7A9834D8"/>
    <w:rsid w:val="7B6479A1"/>
    <w:rsid w:val="7BD60D89"/>
    <w:rsid w:val="7D6C49BF"/>
    <w:rsid w:val="7D9B73D1"/>
    <w:rsid w:val="7DA2E3BE"/>
    <w:rsid w:val="7DCC55AA"/>
    <w:rsid w:val="7DEE9D66"/>
    <w:rsid w:val="7E29A141"/>
    <w:rsid w:val="7E372D8F"/>
    <w:rsid w:val="8DFA305B"/>
    <w:rsid w:val="977FD867"/>
    <w:rsid w:val="9AD6F96E"/>
    <w:rsid w:val="9FFF62C3"/>
    <w:rsid w:val="B6F7F77D"/>
    <w:rsid w:val="B76E932F"/>
    <w:rsid w:val="BBF1D31D"/>
    <w:rsid w:val="BF7FBF20"/>
    <w:rsid w:val="BFD7DDB0"/>
    <w:rsid w:val="D1FBAB08"/>
    <w:rsid w:val="DE96C59C"/>
    <w:rsid w:val="EF6F24A4"/>
    <w:rsid w:val="FABFFDC7"/>
    <w:rsid w:val="FB7E5388"/>
    <w:rsid w:val="FE8A75B4"/>
    <w:rsid w:val="FF3E4FB5"/>
    <w:rsid w:val="FFFE6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400" w:lineRule="exact"/>
      <w:ind w:firstLine="480" w:firstLineChars="200"/>
      <w:jc w:val="both"/>
    </w:pPr>
    <w:rPr>
      <w:rFonts w:ascii="Times New Roman" w:hAnsi="Times New Roman" w:eastAsia="Times New Roman" w:cs="Times New Roman"/>
      <w:sz w:val="24"/>
      <w:szCs w:val="24"/>
      <w:lang w:val="en-US" w:eastAsia="en-US" w:bidi="ar-SA"/>
    </w:rPr>
  </w:style>
  <w:style w:type="paragraph" w:styleId="2">
    <w:name w:val="heading 1"/>
    <w:basedOn w:val="1"/>
    <w:next w:val="1"/>
    <w:link w:val="33"/>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36"/>
    <w:unhideWhenUsed/>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qFormat/>
    <w:uiPriority w:val="39"/>
    <w:rPr>
      <w:rFonts w:asciiTheme="minorHAnsi" w:hAnsiTheme="minorHAnsi" w:cstheme="minorHAnsi"/>
      <w:sz w:val="22"/>
      <w:szCs w:val="22"/>
    </w:rPr>
  </w:style>
  <w:style w:type="paragraph" w:styleId="5">
    <w:name w:val="annotation text"/>
    <w:basedOn w:val="1"/>
    <w:link w:val="29"/>
    <w:qFormat/>
    <w:uiPriority w:val="0"/>
  </w:style>
  <w:style w:type="paragraph" w:styleId="6">
    <w:name w:val="toc 5"/>
    <w:basedOn w:val="1"/>
    <w:next w:val="1"/>
    <w:qFormat/>
    <w:uiPriority w:val="39"/>
    <w:rPr>
      <w:rFonts w:asciiTheme="minorHAnsi" w:hAnsiTheme="minorHAnsi" w:cstheme="minorHAnsi"/>
      <w:sz w:val="22"/>
      <w:szCs w:val="22"/>
    </w:rPr>
  </w:style>
  <w:style w:type="paragraph" w:styleId="7">
    <w:name w:val="toc 3"/>
    <w:basedOn w:val="1"/>
    <w:next w:val="1"/>
    <w:unhideWhenUsed/>
    <w:qFormat/>
    <w:uiPriority w:val="39"/>
    <w:rPr>
      <w:rFonts w:asciiTheme="minorHAnsi" w:hAnsiTheme="minorHAnsi" w:cstheme="minorHAnsi"/>
      <w:smallCaps/>
      <w:sz w:val="22"/>
      <w:szCs w:val="22"/>
    </w:rPr>
  </w:style>
  <w:style w:type="paragraph" w:styleId="8">
    <w:name w:val="toc 8"/>
    <w:basedOn w:val="1"/>
    <w:next w:val="1"/>
    <w:qFormat/>
    <w:uiPriority w:val="39"/>
    <w:rPr>
      <w:rFonts w:asciiTheme="minorHAnsi" w:hAnsiTheme="minorHAnsi" w:cstheme="minorHAnsi"/>
      <w:sz w:val="22"/>
      <w:szCs w:val="22"/>
    </w:rPr>
  </w:style>
  <w:style w:type="paragraph" w:styleId="9">
    <w:name w:val="Balloon Text"/>
    <w:basedOn w:val="1"/>
    <w:link w:val="28"/>
    <w:unhideWhenUsed/>
    <w:qFormat/>
    <w:uiPriority w:val="0"/>
    <w:rPr>
      <w:sz w:val="18"/>
      <w:szCs w:val="18"/>
    </w:rPr>
  </w:style>
  <w:style w:type="paragraph" w:styleId="10">
    <w:name w:val="footer"/>
    <w:basedOn w:val="1"/>
    <w:link w:val="26"/>
    <w:qFormat/>
    <w:uiPriority w:val="0"/>
    <w:pPr>
      <w:tabs>
        <w:tab w:val="center" w:pos="4153"/>
        <w:tab w:val="right" w:pos="8306"/>
      </w:tabs>
      <w:ind w:firstLine="360"/>
    </w:pPr>
    <w:rPr>
      <w:sz w:val="18"/>
      <w:szCs w:val="18"/>
    </w:rPr>
  </w:style>
  <w:style w:type="paragraph" w:styleId="11">
    <w:name w:val="header"/>
    <w:basedOn w:val="1"/>
    <w:link w:val="25"/>
    <w:qFormat/>
    <w:uiPriority w:val="0"/>
    <w:pPr>
      <w:tabs>
        <w:tab w:val="center" w:pos="4153"/>
        <w:tab w:val="right" w:pos="8306"/>
      </w:tabs>
      <w:ind w:firstLine="360"/>
      <w:jc w:val="center"/>
    </w:pPr>
    <w:rPr>
      <w:sz w:val="18"/>
      <w:szCs w:val="18"/>
    </w:rPr>
  </w:style>
  <w:style w:type="paragraph" w:styleId="12">
    <w:name w:val="toc 1"/>
    <w:basedOn w:val="1"/>
    <w:next w:val="1"/>
    <w:unhideWhenUsed/>
    <w:qFormat/>
    <w:uiPriority w:val="39"/>
    <w:pPr>
      <w:tabs>
        <w:tab w:val="left" w:pos="1315"/>
        <w:tab w:val="right" w:leader="dot" w:pos="8835"/>
      </w:tabs>
      <w:spacing w:before="120" w:beforeLines="50"/>
      <w:ind w:firstLine="442"/>
    </w:pPr>
    <w:rPr>
      <w:rFonts w:asciiTheme="minorHAnsi" w:hAnsiTheme="minorHAnsi" w:cstheme="minorHAnsi"/>
      <w:b/>
      <w:bCs/>
      <w:caps/>
      <w:sz w:val="22"/>
      <w:szCs w:val="22"/>
      <w:u w:val="single"/>
    </w:rPr>
  </w:style>
  <w:style w:type="paragraph" w:styleId="13">
    <w:name w:val="toc 4"/>
    <w:basedOn w:val="1"/>
    <w:next w:val="1"/>
    <w:qFormat/>
    <w:uiPriority w:val="39"/>
    <w:rPr>
      <w:rFonts w:asciiTheme="minorHAnsi" w:hAnsiTheme="minorHAnsi" w:cstheme="minorHAnsi"/>
      <w:sz w:val="22"/>
      <w:szCs w:val="22"/>
    </w:rPr>
  </w:style>
  <w:style w:type="paragraph" w:styleId="14">
    <w:name w:val="index heading"/>
    <w:basedOn w:val="1"/>
    <w:next w:val="15"/>
    <w:qFormat/>
    <w:uiPriority w:val="0"/>
    <w:rPr>
      <w:rFonts w:ascii="Arial" w:hAnsi="Arial"/>
      <w:b/>
    </w:rPr>
  </w:style>
  <w:style w:type="paragraph" w:styleId="15">
    <w:name w:val="index 1"/>
    <w:basedOn w:val="1"/>
    <w:next w:val="1"/>
    <w:qFormat/>
    <w:uiPriority w:val="0"/>
  </w:style>
  <w:style w:type="paragraph" w:styleId="16">
    <w:name w:val="toc 6"/>
    <w:basedOn w:val="1"/>
    <w:next w:val="1"/>
    <w:qFormat/>
    <w:uiPriority w:val="39"/>
    <w:rPr>
      <w:rFonts w:asciiTheme="minorHAnsi" w:hAnsiTheme="minorHAnsi" w:cstheme="minorHAnsi"/>
      <w:sz w:val="22"/>
      <w:szCs w:val="22"/>
    </w:rPr>
  </w:style>
  <w:style w:type="paragraph" w:styleId="17">
    <w:name w:val="toc 2"/>
    <w:basedOn w:val="1"/>
    <w:next w:val="1"/>
    <w:unhideWhenUsed/>
    <w:qFormat/>
    <w:uiPriority w:val="39"/>
    <w:pPr>
      <w:tabs>
        <w:tab w:val="right" w:leader="dot" w:pos="8835"/>
      </w:tabs>
      <w:ind w:firstLine="442"/>
    </w:pPr>
    <w:rPr>
      <w:rFonts w:asciiTheme="minorHAnsi" w:hAnsiTheme="minorHAnsi" w:cstheme="minorHAnsi"/>
      <w:b/>
      <w:bCs/>
      <w:smallCaps/>
      <w:sz w:val="22"/>
      <w:szCs w:val="22"/>
    </w:rPr>
  </w:style>
  <w:style w:type="paragraph" w:styleId="18">
    <w:name w:val="toc 9"/>
    <w:basedOn w:val="1"/>
    <w:next w:val="1"/>
    <w:qFormat/>
    <w:uiPriority w:val="39"/>
    <w:rPr>
      <w:rFonts w:asciiTheme="minorHAnsi" w:hAnsiTheme="minorHAnsi" w:cstheme="minorHAnsi"/>
      <w:sz w:val="22"/>
      <w:szCs w:val="22"/>
    </w:rPr>
  </w:style>
  <w:style w:type="paragraph" w:styleId="19">
    <w:name w:val="Normal (Web)"/>
    <w:basedOn w:val="1"/>
    <w:unhideWhenUsed/>
    <w:qFormat/>
    <w:uiPriority w:val="99"/>
    <w:pPr>
      <w:spacing w:before="100" w:beforeAutospacing="1" w:after="100" w:afterAutospacing="1"/>
    </w:pPr>
    <w:rPr>
      <w:rFonts w:ascii="宋体" w:hAnsi="宋体" w:eastAsia="宋体" w:cs="宋体"/>
      <w:lang w:eastAsia="zh-CN"/>
    </w:rPr>
  </w:style>
  <w:style w:type="paragraph" w:styleId="20">
    <w:name w:val="annotation subject"/>
    <w:basedOn w:val="5"/>
    <w:next w:val="5"/>
    <w:link w:val="31"/>
    <w:unhideWhenUsed/>
    <w:qFormat/>
    <w:uiPriority w:val="0"/>
    <w:pPr>
      <w:ind w:firstLine="0" w:firstLineChars="0"/>
    </w:pPr>
    <w:rPr>
      <w:b/>
      <w:bCs/>
    </w:rPr>
  </w:style>
  <w:style w:type="character" w:styleId="23">
    <w:name w:val="Hyperlink"/>
    <w:basedOn w:val="22"/>
    <w:unhideWhenUsed/>
    <w:qFormat/>
    <w:uiPriority w:val="99"/>
    <w:rPr>
      <w:color w:val="0000FF" w:themeColor="hyperlink"/>
      <w:u w:val="single"/>
      <w14:textFill>
        <w14:solidFill>
          <w14:schemeClr w14:val="hlink"/>
        </w14:solidFill>
      </w14:textFill>
    </w:rPr>
  </w:style>
  <w:style w:type="character" w:styleId="24">
    <w:name w:val="annotation reference"/>
    <w:basedOn w:val="22"/>
    <w:qFormat/>
    <w:uiPriority w:val="0"/>
    <w:rPr>
      <w:sz w:val="21"/>
      <w:szCs w:val="21"/>
    </w:rPr>
  </w:style>
  <w:style w:type="character" w:customStyle="1" w:styleId="25">
    <w:name w:val="页眉 字符"/>
    <w:basedOn w:val="22"/>
    <w:link w:val="11"/>
    <w:qFormat/>
    <w:uiPriority w:val="0"/>
    <w:rPr>
      <w:rFonts w:eastAsia="Times New Roman"/>
      <w:sz w:val="18"/>
      <w:szCs w:val="18"/>
      <w:lang w:eastAsia="en-US"/>
    </w:rPr>
  </w:style>
  <w:style w:type="character" w:customStyle="1" w:styleId="26">
    <w:name w:val="页脚 字符"/>
    <w:basedOn w:val="22"/>
    <w:link w:val="10"/>
    <w:qFormat/>
    <w:uiPriority w:val="0"/>
    <w:rPr>
      <w:rFonts w:eastAsia="Times New Roman"/>
      <w:sz w:val="18"/>
      <w:szCs w:val="18"/>
      <w:lang w:eastAsia="en-US"/>
    </w:rPr>
  </w:style>
  <w:style w:type="paragraph" w:customStyle="1" w:styleId="27">
    <w:name w:val="列表段落1"/>
    <w:basedOn w:val="1"/>
    <w:qFormat/>
    <w:uiPriority w:val="99"/>
    <w:pPr>
      <w:numPr>
        <w:ilvl w:val="0"/>
        <w:numId w:val="1"/>
      </w:numPr>
      <w:ind w:firstLine="0" w:firstLineChars="0"/>
      <w:outlineLvl w:val="1"/>
    </w:pPr>
  </w:style>
  <w:style w:type="character" w:customStyle="1" w:styleId="28">
    <w:name w:val="批注框文本 字符"/>
    <w:basedOn w:val="22"/>
    <w:link w:val="9"/>
    <w:semiHidden/>
    <w:qFormat/>
    <w:uiPriority w:val="0"/>
    <w:rPr>
      <w:rFonts w:eastAsia="Times New Roman"/>
      <w:sz w:val="18"/>
      <w:szCs w:val="18"/>
      <w:lang w:eastAsia="en-US"/>
    </w:rPr>
  </w:style>
  <w:style w:type="character" w:customStyle="1" w:styleId="29">
    <w:name w:val="批注文字 字符"/>
    <w:basedOn w:val="22"/>
    <w:link w:val="5"/>
    <w:qFormat/>
    <w:uiPriority w:val="0"/>
    <w:rPr>
      <w:rFonts w:eastAsia="Times New Roman"/>
      <w:sz w:val="24"/>
      <w:szCs w:val="24"/>
      <w:lang w:eastAsia="en-US"/>
    </w:rPr>
  </w:style>
  <w:style w:type="paragraph" w:customStyle="1" w:styleId="30">
    <w:name w:val="修订1"/>
    <w:hidden/>
    <w:semiHidden/>
    <w:qFormat/>
    <w:uiPriority w:val="99"/>
    <w:rPr>
      <w:rFonts w:ascii="Times New Roman" w:hAnsi="Times New Roman" w:eastAsia="Times New Roman" w:cs="Times New Roman"/>
      <w:sz w:val="24"/>
      <w:szCs w:val="24"/>
      <w:lang w:val="en-US" w:eastAsia="en-US" w:bidi="ar-SA"/>
    </w:rPr>
  </w:style>
  <w:style w:type="character" w:customStyle="1" w:styleId="31">
    <w:name w:val="批注主题 字符"/>
    <w:basedOn w:val="29"/>
    <w:link w:val="20"/>
    <w:semiHidden/>
    <w:qFormat/>
    <w:uiPriority w:val="0"/>
    <w:rPr>
      <w:rFonts w:eastAsia="Times New Roman"/>
      <w:b/>
      <w:bCs/>
      <w:sz w:val="24"/>
      <w:szCs w:val="24"/>
      <w:lang w:eastAsia="en-US"/>
    </w:rPr>
  </w:style>
  <w:style w:type="paragraph" w:customStyle="1" w:styleId="32">
    <w:name w:val="Default"/>
    <w:qFormat/>
    <w:uiPriority w:val="0"/>
    <w:pPr>
      <w:widowControl w:val="0"/>
      <w:autoSpaceDE w:val="0"/>
      <w:autoSpaceDN w:val="0"/>
      <w:adjustRightInd w:val="0"/>
    </w:pPr>
    <w:rPr>
      <w:rFonts w:ascii="¿å√¬.V....." w:hAnsi="¿å√¬.V....." w:cs="¿å√¬.V....." w:eastAsiaTheme="minorEastAsia"/>
      <w:color w:val="000000"/>
      <w:sz w:val="24"/>
      <w:szCs w:val="24"/>
      <w:lang w:val="en-US" w:eastAsia="zh-CN" w:bidi="ar-SA"/>
    </w:rPr>
  </w:style>
  <w:style w:type="character" w:customStyle="1" w:styleId="33">
    <w:name w:val="标题 1 字符"/>
    <w:basedOn w:val="22"/>
    <w:link w:val="2"/>
    <w:qFormat/>
    <w:uiPriority w:val="0"/>
    <w:rPr>
      <w:rFonts w:eastAsia="Times New Roman"/>
      <w:b/>
      <w:bCs/>
      <w:kern w:val="44"/>
      <w:sz w:val="44"/>
      <w:szCs w:val="44"/>
      <w:lang w:eastAsia="en-US"/>
    </w:rPr>
  </w:style>
  <w:style w:type="paragraph" w:customStyle="1" w:styleId="34">
    <w:name w:val="TOC 标题1"/>
    <w:basedOn w:val="2"/>
    <w:next w:val="1"/>
    <w:unhideWhenUsed/>
    <w:qFormat/>
    <w:uiPriority w:val="39"/>
    <w:pPr>
      <w:spacing w:before="480" w:after="0" w:line="276" w:lineRule="auto"/>
      <w:outlineLvl w:val="9"/>
    </w:pPr>
    <w:rPr>
      <w:rFonts w:asciiTheme="majorHAnsi" w:hAnsiTheme="majorHAnsi" w:eastAsiaTheme="majorEastAsia" w:cstheme="majorBidi"/>
      <w:color w:val="376092" w:themeColor="accent1" w:themeShade="BF"/>
      <w:kern w:val="0"/>
      <w:sz w:val="28"/>
      <w:szCs w:val="28"/>
      <w:lang w:eastAsia="zh-CN"/>
    </w:rPr>
  </w:style>
  <w:style w:type="character" w:customStyle="1" w:styleId="35">
    <w:name w:val="未处理的提及1"/>
    <w:basedOn w:val="22"/>
    <w:unhideWhenUsed/>
    <w:qFormat/>
    <w:uiPriority w:val="99"/>
    <w:rPr>
      <w:color w:val="605E5C"/>
      <w:shd w:val="clear" w:color="auto" w:fill="E1DFDD"/>
    </w:rPr>
  </w:style>
  <w:style w:type="character" w:customStyle="1" w:styleId="36">
    <w:name w:val="标题 3 字符"/>
    <w:basedOn w:val="22"/>
    <w:link w:val="3"/>
    <w:semiHidden/>
    <w:qFormat/>
    <w:uiPriority w:val="0"/>
    <w:rPr>
      <w:rFonts w:eastAsia="Times New Roman"/>
      <w:b/>
      <w:bCs/>
      <w:sz w:val="32"/>
      <w:szCs w:val="32"/>
      <w:lang w:eastAsia="en-US"/>
    </w:rPr>
  </w:style>
  <w:style w:type="paragraph" w:customStyle="1" w:styleId="37">
    <w:name w:val="修订2"/>
    <w:hidden/>
    <w:semiHidden/>
    <w:qFormat/>
    <w:uiPriority w:val="99"/>
    <w:rPr>
      <w:rFonts w:ascii="Times New Roman" w:hAnsi="Times New Roman" w:eastAsia="Times New Roman" w:cs="Times New Roman"/>
      <w:sz w:val="24"/>
      <w:szCs w:val="24"/>
      <w:lang w:val="en-US" w:eastAsia="en-US" w:bidi="ar-SA"/>
    </w:rPr>
  </w:style>
  <w:style w:type="paragraph" w:customStyle="1" w:styleId="38">
    <w:name w:val="列表段落2"/>
    <w:basedOn w:val="1"/>
    <w:qFormat/>
    <w:uiPriority w:val="99"/>
    <w:pPr>
      <w:ind w:firstLine="420"/>
    </w:pPr>
  </w:style>
  <w:style w:type="paragraph" w:customStyle="1" w:styleId="39">
    <w:name w:val="修订3"/>
    <w:hidden/>
    <w:semiHidden/>
    <w:qFormat/>
    <w:uiPriority w:val="99"/>
    <w:rPr>
      <w:rFonts w:ascii="Times New Roman" w:hAnsi="Times New Roman" w:eastAsia="Times New Roman" w:cs="Times New Roman"/>
      <w:sz w:val="24"/>
      <w:szCs w:val="24"/>
      <w:lang w:val="en-US" w:eastAsia="en-US" w:bidi="ar-SA"/>
    </w:rPr>
  </w:style>
  <w:style w:type="paragraph" w:customStyle="1" w:styleId="40">
    <w:name w:val="列表段落3"/>
    <w:basedOn w:val="1"/>
    <w:qFormat/>
    <w:uiPriority w:val="99"/>
    <w:pPr>
      <w:ind w:firstLine="420"/>
    </w:pPr>
  </w:style>
  <w:style w:type="paragraph" w:customStyle="1" w:styleId="41">
    <w:name w:val="修订4"/>
    <w:hidden/>
    <w:semiHidden/>
    <w:qFormat/>
    <w:uiPriority w:val="99"/>
    <w:rPr>
      <w:rFonts w:ascii="Times New Roman" w:hAnsi="Times New Roman" w:eastAsia="Times New Roman" w:cs="Times New Roman"/>
      <w:sz w:val="24"/>
      <w:szCs w:val="24"/>
      <w:lang w:val="en-US" w:eastAsia="en-US" w:bidi="ar-SA"/>
    </w:rPr>
  </w:style>
  <w:style w:type="paragraph" w:customStyle="1" w:styleId="42">
    <w:name w:val="修订5"/>
    <w:hidden/>
    <w:semiHidden/>
    <w:qFormat/>
    <w:uiPriority w:val="99"/>
    <w:rPr>
      <w:rFonts w:ascii="Times New Roman" w:hAnsi="Times New Roman" w:eastAsia="Times New Roman" w:cs="Times New Roman"/>
      <w:sz w:val="24"/>
      <w:szCs w:val="24"/>
      <w:lang w:val="en-US" w:eastAsia="en-US" w:bidi="ar-SA"/>
    </w:rPr>
  </w:style>
  <w:style w:type="paragraph" w:customStyle="1" w:styleId="43">
    <w:name w:val="修订6"/>
    <w:hidden/>
    <w:semiHidden/>
    <w:qFormat/>
    <w:uiPriority w:val="99"/>
    <w:rPr>
      <w:rFonts w:ascii="Times New Roman" w:hAnsi="Times New Roman" w:eastAsia="Times New Roman" w:cs="Times New Roma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21</Pages>
  <Words>2326</Words>
  <Characters>13259</Characters>
  <Lines>110</Lines>
  <Paragraphs>31</Paragraphs>
  <TotalTime>3</TotalTime>
  <ScaleCrop>false</ScaleCrop>
  <LinksUpToDate>false</LinksUpToDate>
  <CharactersWithSpaces>15554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2024-01-29T11:49:00Z</dcterms:created>
  <dc:creator>PC</dc:creator>
  <cp:lastModifiedBy>szj</cp:lastModifiedBy>
  <cp:lastPrinted>2024-01-29T19:18:00Z</cp:lastPrinted>
  <dcterms:modified xsi:type="dcterms:W3CDTF">2024-01-29T16:08:00Z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ribbonExt">
    <vt:lpwstr>{"WPSExtOfficeTab":{"OnGetEnabled":false,"OnGetVisible":false}}</vt:lpwstr>
  </property>
  <property fmtid="{D5CDD505-2E9C-101B-9397-08002B2CF9AE}" pid="4" name="ICV">
    <vt:lpwstr>EDC29D48C14541F8AD79B75980CF7F98_13</vt:lpwstr>
  </property>
</Properties>
</file>